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ベトナム市場マクロ環境レポート</w:t>
      </w:r>
    </w:p>
    <w:p>
      <w:pPr>
        <w:jc w:val="center"/>
      </w:pPr>
      <w:r>
        <w:rPr>
          <w:sz w:val="28"/>
        </w:rPr>
        <w:t>— 家電（電気・白物）メーカー向け市場参入の基礎資料 —</w:t>
      </w:r>
    </w:p>
    <w:p>
      <w:pPr>
        <w:jc w:val="center"/>
      </w:pPr>
      <w:r>
        <w:rPr>
          <w:sz w:val="22"/>
        </w:rPr>
        <w:t>国際事業本部　市場分析チーム（作成）</w:t>
        <w:br/>
        <w:t>2025-10-15</w:t>
      </w:r>
    </w:p>
    <w:p>
      <w:r>
        <w:br w:type="page"/>
      </w:r>
    </w:p>
    <w:p>
      <w:pPr>
        <w:pStyle w:val="Heading1"/>
      </w:pPr>
      <w:r>
        <w:t>エグゼクティブサマリー</w:t>
      </w:r>
    </w:p>
    <w:p>
      <w:pPr>
        <w:spacing w:lineRule="auto" w:line="360" w:after="120"/>
      </w:pPr>
      <w:r>
        <w:t>本レポートは、ベトナムにおけるマクロ経済・人口動態およびインフラ環境を、主要な公的ソース（国際通貨基金（IMF）、世界銀行（World Bank）、ベトナム統計総局（GSO）、アジア開発銀行（ADB））を中心に整理したものです。家電メーカーの中期的な事業展開判断に資するよう、過去5年の推移、今後5年の見通し（可能な限りIMFの最新中期枠組み）と、所得・都市化・中間層、物流・電力のインフラ指標をテキストと表で提示します。グラフは含めません。</w:t>
      </w:r>
    </w:p>
    <w:p>
      <w:pPr>
        <w:spacing w:lineRule="auto" w:line="360" w:after="120"/>
      </w:pPr>
      <w:r>
        <w:t>IMF 2025年Article IVスタッフ・レポートの中期表によれば、実質GDP成長率は2024年に7.1％、2025年6.5％、2026年5.6％、2027年5.8％、2028年5.6％、2029年5.3％、2030年5.3％と見込まれ、外需と投資の調整を織り込みつつも中期的な5％台後半の成長がベースラインです（詳細は本文参照）。物流面では世界銀行のLPI 2023で総合スコア3.3・世界43位で、通関・追跡・定時性など構成要素も概ね中位〜上位に位置します。可処分所得の公的な国際比較系列は限られるものの、GSOの家計統計は2024年の一人当たり月間所得が前年比+7.8％と増勢を示しています。</w:t>
      </w:r>
    </w:p>
    <w:p>
      <w:pPr>
        <w:pStyle w:val="Heading1"/>
      </w:pPr>
      <w:r>
        <w:t>1. マクロ経済の概況：過去推移と5年見通し</w:t>
      </w:r>
    </w:p>
    <w:p>
      <w:pPr>
        <w:spacing w:lineRule="auto" w:line="360" w:after="120"/>
      </w:pPr>
      <w:r>
        <w:t>IMF『ベトナム 2025年Article IVスタッフ・レポート』の「中期見通し（2021–2030年）」表に基づき、直近実績および先行きの実質GDP成長率を整理しました。2024年は輸出回復と政策支援で高成長、2025年は対外環境（関税動向等）の影響で伸びがやや鈍化、その後は5％台半ばで安定推移という前提です。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c>
          <w:tcPr>
            <w:tcW w:type="dxa" w:w="851"/>
          </w:tcPr>
          <w:p>
            <w:pPr>
              <w:spacing w:after="0"/>
            </w:pPr>
            <w:r>
              <w:t>区分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2021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2022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2023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2024（推定）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2025（予測）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2026（予測）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2027（予測）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2028（予測）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2029（予測）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2030（予測）</w:t>
            </w:r>
          </w:p>
        </w:tc>
      </w:tr>
      <w:tr>
        <w:tc>
          <w:tcPr>
            <w:tcW w:type="dxa" w:w="851"/>
          </w:tcPr>
          <w:p>
            <w:pPr>
              <w:spacing w:after="0"/>
            </w:pPr>
            <w:r>
              <w:t>実質GDP成長率（％）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2.6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8.5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5.1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7.1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6.5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5.6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5.8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5.6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5.3</w:t>
            </w:r>
          </w:p>
        </w:tc>
        <w:tc>
          <w:tcPr>
            <w:tcW w:type="dxa" w:w="851"/>
          </w:tcPr>
          <w:p>
            <w:pPr>
              <w:spacing w:after="0"/>
            </w:pPr>
            <w:r>
              <w:t>5.3</w:t>
            </w:r>
          </w:p>
        </w:tc>
      </w:tr>
    </w:tbl>
    <w:p>
      <w:pPr>
        <w:spacing w:before="80" w:after="160"/>
        <w:jc w:val="center"/>
      </w:pPr>
      <w:r>
        <w:rPr>
          <w:i/>
        </w:rPr>
        <w:t>出所：IMF『Vietnam: 2025 Article IV Consultation – Staff Report』Table 2（2021–2030年）</w:t>
      </w:r>
    </w:p>
    <w:p>
      <w:pPr>
        <w:spacing w:lineRule="auto" w:line="360" w:after="120"/>
      </w:pPr>
      <w:r>
        <w:t>過去5年のトレンドとしては、パンデミック後の2021年は2.6％に減速したものの、2022年に8.5％とリバウンドし、2023年は5.1％、2024年は7.1％と回復しました。今後5年（2026–2030年）は5.3〜5.8％のレンジで、高めの潜在成長率を維持しつつも、外需・投資サイクルと政策対応のバランスがカギとなります。</w:t>
      </w:r>
    </w:p>
    <w:p>
      <w:pPr>
        <w:pStyle w:val="Heading1"/>
      </w:pPr>
      <w:r>
        <w:t>2. 所得水準と可処分所得</w:t>
      </w:r>
    </w:p>
    <w:p>
      <w:pPr>
        <w:spacing w:lineRule="auto" w:line="360" w:after="120"/>
      </w:pPr>
      <w:r>
        <w:t>国民一人当たり所得については、GSOが公表する2023年の推定で4,284.5米ドル（名目、年平均）とされています。IMFスタッフ・レポートのメモ欄では、名目GDPおよび一人当たりGDPの推計として2024年4,536米ドル、2025年4,745米ドル、2026年4,965米ドルが併記されています。可処分所得の厳密な国際比較系列は限られますが、GSOの家計調査に基づく速報では、2024年の一人当たり月間所得が前年比+7.8％と増加し、2024年第1四半期の一人当たり月間所得は推計で約520万VND規模と報じられています（名目）。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pPr>
              <w:spacing w:after="0"/>
            </w:pPr>
            <w:r>
              <w:t>指標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2023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2024（推定/速報）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2025（予測）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2026（予測）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備考・出所</w:t>
            </w:r>
          </w:p>
        </w:tc>
      </w:tr>
      <w:tr>
        <w:tc>
          <w:tcPr>
            <w:tcW w:type="dxa" w:w="1560"/>
          </w:tcPr>
          <w:p>
            <w:pPr>
              <w:spacing w:after="0"/>
            </w:pPr>
            <w:r>
              <w:t>一人当たりGDP（USD）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4,284.5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4,536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4,745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4,965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2023：GSO、2024–26：IMFスタッフ・レポートTable 1メモ欄</w:t>
            </w:r>
          </w:p>
        </w:tc>
      </w:tr>
      <w:tr>
        <w:tc>
          <w:tcPr>
            <w:tcW w:type="dxa" w:w="1560"/>
          </w:tcPr>
          <w:p>
            <w:pPr>
              <w:spacing w:after="0"/>
            </w:pPr>
            <w:r>
              <w:t>一人当たり月間所得（VND）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—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前年比+7.8%（2024年通年）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—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—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GSOプレス資料（2024年）</w:t>
            </w:r>
          </w:p>
        </w:tc>
      </w:tr>
      <w:tr>
        <w:tc>
          <w:tcPr>
            <w:tcW w:type="dxa" w:w="1560"/>
          </w:tcPr>
          <w:p>
            <w:pPr>
              <w:spacing w:after="0"/>
            </w:pPr>
            <w:r>
              <w:t>一人当たり月間所得（VND）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—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約520万（2024年Q1推計）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—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—</w:t>
            </w:r>
          </w:p>
        </w:tc>
        <w:tc>
          <w:tcPr>
            <w:tcW w:type="dxa" w:w="1560"/>
          </w:tcPr>
          <w:p>
            <w:pPr>
              <w:spacing w:after="0"/>
            </w:pPr>
            <w:r>
              <w:t>GSO速報（2024年Q1）</w:t>
            </w:r>
          </w:p>
        </w:tc>
      </w:tr>
    </w:tbl>
    <w:p>
      <w:pPr>
        <w:spacing w:before="80" w:after="160"/>
        <w:jc w:val="center"/>
      </w:pPr>
      <w:r>
        <w:rPr>
          <w:i/>
        </w:rPr>
        <w:t>一人当たり所得と家計所得の動向（名目）</w:t>
      </w:r>
    </w:p>
    <w:p>
      <w:pPr>
        <w:spacing w:lineRule="auto" w:line="360" w:after="120"/>
      </w:pPr>
      <w:r>
        <w:t>注：可処分所得（disposable income）の厳密な国際比較値は各国制度差により系列整備が不十分です。本レポートではGSOの家計調査に基づく月間所得（名目）を近似指標として参照しています。購買力や物価上昇の影響を考慮した実質変化の把握には、別途CPI系列との組み合わせが必要です。</w:t>
      </w:r>
    </w:p>
    <w:p>
      <w:pPr>
        <w:pStyle w:val="Heading1"/>
      </w:pPr>
      <w:r>
        <w:t>3. 人口動態・都市化（都市／農村の人口構成）</w:t>
      </w:r>
    </w:p>
    <w:p>
      <w:pPr>
        <w:spacing w:lineRule="auto" w:line="360" w:after="120"/>
      </w:pPr>
      <w:r>
        <w:t>最新の都市化率（都市人口比率）は世界銀行WDIの『Urban population (% of total population)』で把握可能です。直近年は4割弱まで漸増しており、年率で約0.7〜1.0ポイントのペースで都市化が進展してきました。都市圏の拡大（ホーチミン市圏、ハノイ首都圏等）と産業集積の進展が家電需要の地域偏在（大都市・沿岸工業地帯）をもたらす一方、農村部では電化製品の普及余地がなお大きい状況です。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spacing w:after="0"/>
            </w:pPr>
            <w:r>
              <w:t>指標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最新年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値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備考・出所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都市人口比率（％）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最新入手年（WDI）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約38〜40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世界銀行WDI（SP.URB.TOTL.IN.ZS）— 直近年値。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総人口（百万人）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—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約100超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IMF/GSOの直近公表値に整合。</w:t>
            </w:r>
          </w:p>
        </w:tc>
      </w:tr>
    </w:tbl>
    <w:p>
      <w:pPr>
        <w:spacing w:before="80" w:after="160"/>
        <w:jc w:val="center"/>
      </w:pPr>
      <w:r>
        <w:rPr>
          <w:i/>
        </w:rPr>
        <w:t>都市／農村の人口構成（概要）</w:t>
      </w:r>
    </w:p>
    <w:p>
      <w:pPr>
        <w:spacing w:lineRule="auto" w:line="360" w:after="120"/>
      </w:pPr>
      <w:r>
        <w:t>注：厳密な年次値はWDIの該当年データに依拠してください（本報告では概数表記）。</w:t>
      </w:r>
    </w:p>
    <w:p>
      <w:pPr>
        <w:pStyle w:val="Heading1"/>
      </w:pPr>
      <w:r>
        <w:t>4. 中間層の規模と成長</w:t>
      </w:r>
    </w:p>
    <w:p>
      <w:pPr>
        <w:spacing w:lineRule="auto" w:line="360" w:after="120"/>
      </w:pPr>
      <w:r>
        <w:t>中間層の定義は機関により異なります。ADBは購買力平価（PPP）ベースの1人1日当たり消費水準で階層区分する手法（例：$3.2・$5.5・$10・$20・$50ライン）を用いた分析を提示してきました。ベトナムでは2000年代以降、貧困層の縮小とともに“中間所得層”の拡大が顕著で、都市部・輸出製造業集積地帯を中心に消費の質的高度化が進展しています。最新の人口分布（所得階層別）については、ADB『Key Indicators』および世界銀行のPoverty &amp; Inequality Platform（PIP）が参照点となります。家電市場では、耐久消費材の多機能化・高効率化（省エネ）へのシフトが想定されます。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spacing w:after="0"/>
            </w:pPr>
            <w:r>
              <w:t>項目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定義例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示唆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主なデータソース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中間層（例）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1日$10〜$50（2017/2011 PPP）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都市部を中心に拡大基調（長期）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ADB『Key Indicators』、世界銀行PIP（VHLSSベース）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近似指標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上位所得五分位の比重や家計平均所得の伸び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実需の底上げを示唆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GSO家計調査（VHLSS）</w:t>
            </w:r>
          </w:p>
        </w:tc>
      </w:tr>
    </w:tbl>
    <w:p>
      <w:pPr>
        <w:spacing w:before="80" w:after="160"/>
        <w:jc w:val="center"/>
      </w:pPr>
      <w:r>
        <w:rPr>
          <w:i/>
        </w:rPr>
        <w:t>中間層の把握：定義と実務的示唆</w:t>
      </w:r>
    </w:p>
    <w:p>
      <w:pPr>
        <w:pStyle w:val="Heading1"/>
      </w:pPr>
      <w:r>
        <w:t>5. インフラ品質：物流・電力</w:t>
      </w:r>
    </w:p>
    <w:p>
      <w:pPr>
        <w:spacing w:lineRule="auto" w:line="360" w:after="120"/>
      </w:pPr>
      <w:r>
        <w:t>物流パフォーマンスは世界銀行の『Logistics Performance Index（LPI）2023』に拠れば、総合スコア3.3、世界43位。構成要素別では通関3.1（順位43位）、インフラ3.2（47位）、国際輸送3.3（38位）、物流能力3.2（53位）、追跡・追跡性3.3（59位）、定時性3.4（41位）です。家電のサプライチェーン運用上、国際輸送と定時性が相対的に強みで、通関・物流能力のばらつきは引き続き改善余地を示します。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spacing w:after="0"/>
            </w:pPr>
            <w:r>
              <w:t>指標（LPI 2023）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スコア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順位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出所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総合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3.3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43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World Bank LPI 2023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通関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3.1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43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同上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インフラ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3.2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47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同上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国際輸送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3.3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38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同上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物流能力（サービス）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3.2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53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同上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追跡・追跡性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3.3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59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同上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定時性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3.4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41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同上</w:t>
            </w:r>
          </w:p>
        </w:tc>
      </w:tr>
    </w:tbl>
    <w:p>
      <w:pPr>
        <w:spacing w:before="80" w:after="160"/>
        <w:jc w:val="center"/>
      </w:pPr>
      <w:r>
        <w:rPr>
          <w:i/>
        </w:rPr>
        <w:t>世界銀行LPI 2023：ベトナムの物流パフォーマンス（構成要素別）</w:t>
      </w:r>
    </w:p>
    <w:p>
      <w:pPr>
        <w:spacing w:lineRule="auto" w:line="360" w:after="120"/>
      </w:pPr>
      <w:r>
        <w:t>電力系統については、電化率は99％超とほぼユニバーサル・アクセスを達成し、送配電ロスの低下や系統強化が続いています。供給信頼度（停電指標）は地域や年により変動するため、現地ユーティリティ（EVN）の年次報告や世界銀行Enterprise Surveys等の信頼性指標を併読し、製造拠点の立地判断やバックアップ電源計画（無停電電源、内製発電等）に反映させる必要があります。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spacing w:after="0"/>
            </w:pPr>
            <w:r>
              <w:t>電力関連指標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最新状況（概要）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実務上の含意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推奨ソース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電化率（％）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全国でほぼユニバーサル（99％超）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農村部の最終需要も取り込み可能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世界銀行WDI（SE.AD.ELEC.ZS）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送配電ロス（％）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中位水準（低下傾向）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製造拠点の安定稼働に影響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世界銀行WDI（EG.ELC.LOSS.ZS）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停電指標（SAIDI/SAIFI等）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地域差あり（年次変動）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冗長化・自家発の検討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EVN年報、WB Enterprise Surveys</w:t>
            </w:r>
          </w:p>
        </w:tc>
      </w:tr>
    </w:tbl>
    <w:p>
      <w:pPr>
        <w:spacing w:before="80" w:after="160"/>
        <w:jc w:val="center"/>
      </w:pPr>
      <w:r>
        <w:rPr>
          <w:i/>
        </w:rPr>
        <w:t>電力インフラの安定性と参照データ</w:t>
      </w:r>
    </w:p>
    <w:p>
      <w:pPr>
        <w:pStyle w:val="Heading1"/>
      </w:pPr>
      <w:r>
        <w:t>6. 家電市場への含意（需要・供給・価格）</w:t>
      </w:r>
    </w:p>
    <w:p>
      <w:pPr>
        <w:spacing w:lineRule="auto" w:line="360" w:after="120"/>
      </w:pPr>
      <w:r>
        <w:t>需要面では、都市化と中間層の拡大、所得上昇を背景に、冷蔵庫・洗濯機・エアコン等の普及率と買い替え需要が継続的に伸長。省エネ規制・電気料金の動向は高効率機種（インバータ、ヒートポンプ等）の需要に追い風となる見込み。供給面では、電子・電機のサプライチェーンが北部（ハイフォン〜バクニン）と南部（ホーチミン市周辺）で集積しており、輸出組立と国内販売の両立がしやすい一方、通関・倉庫・港湾のボトルネックに留意が必要です。</w:t>
      </w:r>
    </w:p>
    <w:p>
      <w:pPr>
        <w:spacing w:lineRule="auto" w:line="360" w:after="120"/>
      </w:pPr>
      <w:r>
        <w:t>価格・収益面では、為替（VND/USD）の変動、対中・対米の関税・通関動向、部材コモディティ（鋼材・銅・冷媒等）の市況、および現地賃金・物流費の上昇がマージンに影響。品目別の現地部材調達率を引き上げることで、価格競争力と在庫運用の柔軟性を高める余地があります。中期的には販売金融（分割／BNPL）やアフターサービス網の拡充がシェア拡大の鍵となります。</w:t>
      </w:r>
    </w:p>
    <w:p>
      <w:pPr>
        <w:pStyle w:val="Heading1"/>
      </w:pPr>
      <w:r>
        <w:t>7. リスクとシナリオ</w:t>
      </w:r>
    </w:p>
    <w:p>
      <w:pPr>
        <w:spacing w:lineRule="auto" w:line="360" w:after="120"/>
      </w:pPr>
      <w:r>
        <w:t>ベースラインに対する下振れリスクとして、（1）対外関税や地政学的緊張の激化、（2）世界的な金融環境の引締め再開、（3）国内不動産・金融の調整長期化、（4）エネルギー供給や海上輸送の混乱が挙げられます。上振れとしては、（A）大型インフラの着実な前倒し執行、（B）サプライチェーン再編の受け皿化、（C）観光・サービスの強い回復等。各シナリオの確率と感応度を踏まえ、在庫・調達・価格政策の柔軟性を確保することが望まれます。</w:t>
      </w:r>
    </w:p>
    <w:p>
      <w:pPr>
        <w:pStyle w:val="Heading1"/>
      </w:pPr>
      <w:r>
        <w:t>8. 主要データ表（再掲・要約）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spacing w:after="0"/>
            </w:pPr>
            <w:r>
              <w:t>カテゴリ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主要指標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最新値・レンジ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出所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成長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実質GDP成長率（2024/25/26/27/28/29/30）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7.1 / 6.5 / 5.6 / 5.8 / 5.6 / 5.3 / 5.3（％）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IMF 2025 Article IV Table 2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所得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一人当たりGDP（USD）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2023：4,284.5；2024：4,536；2025：4,745；2026：4,965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GSO（2023）、IMF（2024–26）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家計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一人当たり月間所得（名目）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2024年通年：前年比+7.8%；2024Q1：約520万VND/月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GSO 速報・プレス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都市化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都市人口比率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約38〜40％（直近年）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世界銀行WDI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物流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LPI総合スコア・順位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3.3（43位、2023年）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World Bank LPI 2023（公式配布データ）</w:t>
            </w:r>
          </w:p>
        </w:tc>
      </w:tr>
      <w:tr>
        <w:tc>
          <w:tcPr>
            <w:tcW w:type="dxa" w:w="2340"/>
          </w:tcPr>
          <w:p>
            <w:pPr>
              <w:spacing w:after="0"/>
            </w:pPr>
            <w:r>
              <w:t>電力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電化率／送配電ロス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電化率ほぼ100％／ロスは中位水準</w:t>
            </w:r>
          </w:p>
        </w:tc>
        <w:tc>
          <w:tcPr>
            <w:tcW w:type="dxa" w:w="2340"/>
          </w:tcPr>
          <w:p>
            <w:pPr>
              <w:spacing w:after="0"/>
            </w:pPr>
            <w:r>
              <w:t>世界銀行WDI、EVN/Enterprise Surveys</w:t>
            </w:r>
          </w:p>
        </w:tc>
      </w:tr>
    </w:tbl>
    <w:p>
      <w:pPr>
        <w:spacing w:before="80" w:after="160"/>
        <w:jc w:val="center"/>
      </w:pPr>
      <w:r>
        <w:rPr>
          <w:i/>
        </w:rPr>
        <w:t>要約表</w:t>
      </w:r>
    </w:p>
    <w:p>
      <w:pPr>
        <w:pStyle w:val="Heading1"/>
      </w:pPr>
      <w:r>
        <w:t>参考文献・データ出所（主要）</w:t>
      </w:r>
    </w:p>
    <w:p>
      <w:pPr>
        <w:spacing w:lineRule="auto" w:line="360" w:after="120"/>
      </w:pPr>
      <w:r>
        <w:t>・IMF（2025）『Vietnam: 2025 Article IV Consultation—Press Release; Staff Report; and Statement by the Executive Director for Vietnam』Table 1, Table 2. https://www.imf.org/en/Publications/CR/Issues/2025/10/03/Vietnam-2025-Article-IV-Consultation-Press-Release-Staff-Report-and-Statement-by-the-570895</w:t>
      </w:r>
    </w:p>
    <w:p>
      <w:pPr>
        <w:spacing w:lineRule="auto" w:line="360" w:after="120"/>
      </w:pPr>
      <w:r>
        <w:t>・IMF『Vietnam and the IMF』At a Glance. https://www.imf.org/en/Countries/VNM</w:t>
      </w:r>
    </w:p>
    <w:p>
      <w:pPr>
        <w:spacing w:lineRule="auto" w:line="360" w:after="120"/>
      </w:pPr>
      <w:r>
        <w:t>・World Bank（2023）Logistics Performance Index 2023：公式配布データ（International_LPI_from_2007_to_2023_0.xlsx）https://lpi.worldbank.org/</w:t>
      </w:r>
    </w:p>
    <w:p>
      <w:pPr>
        <w:spacing w:lineRule="auto" w:line="360" w:after="120"/>
      </w:pPr>
      <w:r>
        <w:t>・World Bank DataBank / World Development Indicators（WDI）：都市人口比率（SP.URB.TOTL.IN.ZS）、電化率（SE.AD.ELEC.ZS）、送配電ロス（EG.ELC.LOSS.ZS）等。https://databank.worldbank.org/source/world-development-indicators</w:t>
      </w:r>
    </w:p>
    <w:p>
      <w:pPr>
        <w:spacing w:lineRule="auto" w:line="360" w:after="120"/>
      </w:pPr>
      <w:r>
        <w:t>・GSO（ベトナム統計総局）『Socio-economic situation in the fourth quarter and 2023』（2024年2月1日発表、英語版）— 2023年一人当たりGDP（USD）等。https://www.gso.gov.vn/</w:t>
      </w:r>
    </w:p>
    <w:p>
      <w:pPr>
        <w:spacing w:lineRule="auto" w:line="360" w:after="120"/>
      </w:pPr>
      <w:r>
        <w:t>・GSO プレス資料（2024年9月）『01-REPORT-9-2024』— 2024年の一人当たり月間所得の前年比伸び（+7.8％）。https://www.gso.gov.vn/</w:t>
      </w:r>
    </w:p>
    <w:p>
      <w:pPr>
        <w:spacing w:lineRule="auto" w:line="360" w:after="120"/>
      </w:pPr>
      <w:r>
        <w:t>・GSO プレス資料（2024年3月）『Press release socio-economic situation in the First quarter of 2024』— 2024Q1一人当たり月間所得（概数）。https://www.gso.gov.vn/</w:t>
      </w:r>
    </w:p>
    <w:p>
      <w:pPr>
        <w:spacing w:lineRule="auto" w:line="360" w:after="120"/>
      </w:pPr>
      <w:r>
        <w:t>・ADB『Key Indicators for Asia and the Pacific』— 所得階層の定義・参考。https://www.adb.org/</w:t>
      </w:r>
    </w:p>
    <w:p>
      <w:pPr>
        <w:pStyle w:val="Heading1"/>
      </w:pPr>
      <w:r>
        <w:t>付録：指標定義・読替え上の留意事項</w:t>
      </w:r>
    </w:p>
    <w:p>
      <w:pPr>
        <w:spacing w:lineRule="auto" w:line="360" w:after="120"/>
      </w:pPr>
      <w:r>
        <w:t>・本レポートの成長見通しはIMF 2025年Article IVスタッフ・レポートの“Baseline”に基づきます。今後の関税・金融環境・国内政策の変化に応じて更新されうる点に留意ください。</w:t>
        <w:br/>
        <w:t>・可処分所得は制度定義上のばらつきが大きいため、家計調査ベースの月間所得を補助指標として用いています。</w:t>
        <w:br/>
        <w:t>・都市化率や電力関連の年次値は、世界銀行WDIの最新年（公表ラグあり）を参照してください。</w:t>
      </w:r>
    </w:p>
    <w:p>
      <w:pPr>
        <w:pStyle w:val="Heading1"/>
      </w:pPr>
      <w:r>
        <w:t>補足：家電メーカーの実務的チェックリスト</w:t>
      </w:r>
    </w:p>
    <w:p>
      <w:pPr>
        <w:spacing w:lineRule="auto" w:line="360" w:after="120"/>
      </w:pPr>
      <w:r>
        <w:t>・サプライチェーン立地：主要港湾・空港へのアクセス、通関所要時間、保税倉庫の有無。</w:t>
      </w:r>
    </w:p>
    <w:p>
      <w:pPr>
        <w:spacing w:lineRule="auto" w:line="360" w:after="120"/>
      </w:pPr>
      <w:r>
        <w:t>・電力供給：停電頻度・復旧時間（SAIDI/SAIFI）、バックアップ電源（UPS・自家発）のコスト。</w:t>
      </w:r>
    </w:p>
    <w:p>
      <w:pPr>
        <w:spacing w:lineRule="auto" w:line="360" w:after="120"/>
      </w:pPr>
      <w:r>
        <w:t>・販売金融：分割・BNPLの利用動向、延滞率の水準。</w:t>
      </w:r>
    </w:p>
    <w:p>
      <w:pPr>
        <w:spacing w:lineRule="auto" w:line="360" w:after="120"/>
      </w:pPr>
      <w:r>
        <w:t>・省エネ規制：効率ラベルの義務化、将来の最小効率基準（MEPS）改定予定。</w:t>
      </w:r>
    </w:p>
    <w:p>
      <w:pPr>
        <w:spacing w:lineRule="auto" w:line="360" w:after="120"/>
      </w:pPr>
      <w:r>
        <w:t>・アフターサービス：設置・修理のSLA、主要都市と地方のネットワーク密度。</w:t>
      </w:r>
    </w:p>
    <w:p>
      <w:pPr>
        <w:spacing w:lineRule="auto" w:line="360" w:after="120"/>
      </w:pPr>
      <w:r>
        <w:t>・価格政策：為替感応度、コモディティ価格ヘッジ、現地調達率の引上げ目標。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S Mincho" w:hAnsi="MS Mincho" w:eastAsia="MS Mincho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