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а-ля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без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без ведома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безо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благодаря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близ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близко от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виде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зависимости от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интересах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качестве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лице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отличие от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отношении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пандан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пользу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преддверии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продолжение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результате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роли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связи 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силу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случае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соответствии 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течение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целях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честь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вблизи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ввиду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вглубь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вдогон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вдоль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вдоль по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взамен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включая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вкруг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вместо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вне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внизу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внутрь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во имя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во славу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вовнутрь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возле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вокруг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вопреки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вослед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вплоть до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впредь до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вразрез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вроде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вслед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вслед за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вследствие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встречу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выключая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для-ради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 вычетом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за исключением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за счёт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замест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заместо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из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из-за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из-под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из-подо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изнутри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изо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исключая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исходя из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касаемо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касательно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кончая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кроме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кругом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лицом к лицу с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меж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между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мимо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на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на благо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на виду у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на глазах у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на предмет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наверху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навроде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навстречу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над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надо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назад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назади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назло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накануне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наместо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наперекор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наперерез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наперехват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наподобие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наподобье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напротив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наряду с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насупротив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насчёт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начиная с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не без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не считая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невзирая на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недалеко от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независимо от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несмотря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несмотря на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ниже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о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об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обо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обок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обочь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около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окрест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окроме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окромя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округ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опосля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опричь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от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от имени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от лица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относительно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ото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перед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передо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по линии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по мере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по направлению к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по поводу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по причине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по случаю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по сравнению с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по-за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по-над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по-под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поблизости от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повдоль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поверх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под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под видом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под эгидой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подле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подо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подобно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позади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позадь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позднее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помимо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поперёд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поперёк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порядка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посверху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посереди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посередине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посерёдке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посередь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посреди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посредине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посредством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пред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предо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преж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прежде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при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при помощи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применительно к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про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промеж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промежду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против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противно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противу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путём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ради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рядом с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с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 ведома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с помощью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с прицелом на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с точки зрения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с целью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сверх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сверху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б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ведь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верно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вероятно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вестимо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вишь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во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вон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вообще-то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вот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вот-вот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вроде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вряд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вряд ли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всё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всё-таки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всего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ещё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ж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же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иль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именно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кажется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как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как бы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конечно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куда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ладно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ли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мол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на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не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с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так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тоже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уж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уже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хотя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якобы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