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NSI Report</w:t>
      </w:r>
    </w:p>
    <w:p>
      <w:r>
        <w:rPr>
          <w:b/>
        </w:rPr>
        <w:t xml:space="preserve">Baseline: </w:t>
      </w:r>
      <w:r>
        <w:t>Baseline1.1</w:t>
      </w:r>
      <w:r>
        <w:rPr>
          <w:b/>
        </w:rPr>
        <w:t xml:space="preserve">    Comparison: </w:t>
      </w:r>
      <w:r>
        <w:t>1.1Secondrun</w:t>
      </w:r>
      <w:r>
        <w:rPr>
          <w:b/>
        </w:rPr>
        <w:t xml:space="preserve">    Phase offset: </w:t>
      </w:r>
      <w:r>
        <w:t>0.000 s</w:t>
      </w:r>
    </w:p>
    <w:p>
      <w:r>
        <w:rPr>
          <w:b/>
        </w:rPr>
        <w:t xml:space="preserve">Device assessment: </w:t>
      </w:r>
      <w:r>
        <w:t>REVIEW</w:t>
      </w:r>
    </w:p>
    <w:p>
      <w:pPr>
        <w:pStyle w:val="Heading2"/>
      </w:pPr>
      <w:r>
        <w:t>Reason for review</w:t>
      </w:r>
    </w:p>
    <w:p>
      <w:pPr>
        <w:pStyle w:val="ListBullet"/>
      </w:pPr>
      <w:r>
        <w:t>Phase 1 has 13 strong waveform outlier finding(s).</w:t>
      </w:r>
    </w:p>
    <w:p>
      <w:pPr>
        <w:pStyle w:val="ListBullet"/>
      </w:pPr>
      <w:r>
        <w:t>Phase 2 has 2 strong waveform outlier finding(s).</w:t>
      </w:r>
    </w:p>
    <w:p>
      <w:pPr>
        <w:pStyle w:val="ListBullet"/>
      </w:pPr>
      <w:r>
        <w:t>Phase 1 range 3.291-3.989 s: 12 comparison cycles vs expected 12 (difference 0).</w:t>
      </w:r>
    </w:p>
    <w:p>
      <w:pPr>
        <w:pStyle w:val="ListBullet"/>
      </w:pPr>
      <w:r>
        <w:t>Phase 1 range 5.529-6.202 s: 10 comparison cycles vs expected 11 (difference 1).</w:t>
      </w:r>
    </w:p>
    <w:p>
      <w:pPr>
        <w:pStyle w:val="ListBullet"/>
      </w:pPr>
      <w:r>
        <w:t>Phase 1 range 7.734-8.407 s: 11 comparison cycles vs expected 11 (difference 0).</w:t>
      </w:r>
    </w:p>
    <w:p>
      <w:pPr>
        <w:pStyle w:val="ListBullet"/>
      </w:pPr>
      <w:r>
        <w:t>Phase 1 mean peak-to-peak amplitude: comparison 18.78 px; allowed 16.24 to 24.58 px based on baseline mean 20.41, SD 1.389, n=63.</w:t>
      </w:r>
    </w:p>
    <w:p>
      <w:pPr>
        <w:pStyle w:val="ListBullet"/>
      </w:pPr>
      <w:r>
        <w:t>Phase 1 mean period: comparison 0.05969 s; allowed 0.01778 to 0.0999 s based on baseline mean 0.05884, SD 0.01369, n=32.</w:t>
      </w:r>
    </w:p>
    <w:p>
      <w:pPr>
        <w:pStyle w:val="ListBullet"/>
      </w:pPr>
      <w:r>
        <w:t>Phase 2 range 3.989-5.024 s: 55 comparison cycles; baseline mean 52.3, SD 2.31; difference 1.15 SD.</w:t>
      </w:r>
    </w:p>
    <w:p>
      <w:pPr>
        <w:pStyle w:val="ListBullet"/>
      </w:pPr>
      <w:r>
        <w:t>Phase 2 range 6.202-7.184 s: 48 comparison cycles; baseline mean 52.3, SD 2.31; difference 1.88 SD.</w:t>
      </w:r>
    </w:p>
    <w:p>
      <w:pPr>
        <w:pStyle w:val="ListBullet"/>
      </w:pPr>
      <w:r>
        <w:t>Phase 2 range 8.407-9.438 s: 54 comparison cycles; baseline mean 52.3, SD 2.31; difference 0.72 SD.</w:t>
      </w:r>
    </w:p>
    <w:p>
      <w:pPr>
        <w:pStyle w:val="ListBullet"/>
      </w:pPr>
      <w:r>
        <w:t>Phase 2 mean peak-to-peak amplitude: comparison 14.61 px; allowed -4.586 to 34.16 px based on baseline mean 14.79, SD 6.457, n=269.</w:t>
      </w:r>
    </w:p>
    <w:p>
      <w:pPr>
        <w:pStyle w:val="ListBullet"/>
      </w:pPr>
      <w:r>
        <w:t>Phase 2 mean period: comparison 0.01883 s; allowed -0.00718 to 0.04542 s based on baseline mean 0.01912, SD 0.008766, n=155.</w:t>
      </w:r>
    </w:p>
    <w:p>
      <w:pPr>
        <w:pStyle w:val="ListBullet"/>
      </w:pPr>
      <w:r>
        <w:t>Weighted Fisher-z correlation was 0.977; the passing limit is 0.90 or higher.</w:t>
      </w:r>
    </w:p>
    <w:p>
      <w:r>
        <w:t>Assessment criteria: Phase 1 and Phase 2 only. Phase 1 cycle counts may differ from the expected count by 0–1 (no review) or 2+ (review); 0 expected cycles uses the detected baseline count. Phase 2 cycle counts are compared with the mean and sample SD across selected baseline ranges (at least two ranges are required; within 2 SD requires no review and over 2 SD requires review; the entered Expected cycles value does not override this rule). Mean amplitude and period must be within baseline mean ±3 sample SD; cycle-count and strong waveform outlier findings can require review but do not independently cause failure; amplitude sensitivity 3 σ applies to outliers. The weighted Phase 1/Phase 2 Fisher-z correlation passes at 0.90 or higher, requires review from 0.70 to below 0.90, and fails below 0.70. Phase 3 is excluded.</w:t>
      </w:r>
    </w:p>
    <w:p>
      <w:pPr>
        <w:pStyle w:val="Heading2"/>
        <w:jc w:val="center"/>
      </w:pPr>
      <w:r>
        <w:t>Phase 1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Measurement differences</w:t>
            </w:r>
          </w:p>
        </w:tc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Comparison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Mean pk-pk (px)</w:t>
            </w:r>
          </w:p>
        </w:tc>
        <w:tc>
          <w:tcPr>
            <w:tcW w:type="dxa" w:w="2880"/>
            <w:vAlign w:val="center"/>
          </w:tcPr>
          <w:p>
            <w:r>
              <w:t>20.411 px</w:t>
            </w:r>
          </w:p>
        </w:tc>
        <w:tc>
          <w:tcPr>
            <w:tcW w:type="dxa" w:w="2880"/>
            <w:vAlign w:val="center"/>
          </w:tcPr>
          <w:p>
            <w:r>
              <w:t>18.782 px (Δ -1.629 px, -8.0%)</w:t>
            </w:r>
          </w:p>
        </w:tc>
      </w:tr>
      <w:tr>
        <w:tc>
          <w:tcPr>
            <w:tcW w:type="dxa" w:w="2880"/>
            <w:vAlign w:val="center"/>
          </w:tcPr>
          <w:p>
            <w:r>
              <w:t>Mean pk-pk (mm)</w:t>
            </w:r>
          </w:p>
        </w:tc>
        <w:tc>
          <w:tcPr>
            <w:tcW w:type="dxa" w:w="2880"/>
            <w:vAlign w:val="center"/>
          </w:tcPr>
          <w:p>
            <w:r>
              <w:t>2.041 mm</w:t>
            </w:r>
          </w:p>
        </w:tc>
        <w:tc>
          <w:tcPr>
            <w:tcW w:type="dxa" w:w="2880"/>
            <w:vAlign w:val="center"/>
          </w:tcPr>
          <w:p>
            <w:r>
              <w:t>1.878 mm (Δ -0.163 mm, -8.0%)</w:t>
            </w:r>
          </w:p>
        </w:tc>
      </w:tr>
      <w:tr>
        <w:tc>
          <w:tcPr>
            <w:tcW w:type="dxa" w:w="2880"/>
            <w:vAlign w:val="center"/>
          </w:tcPr>
          <w:p>
            <w:r>
              <w:t>Period (s)</w:t>
            </w:r>
          </w:p>
        </w:tc>
        <w:tc>
          <w:tcPr>
            <w:tcW w:type="dxa" w:w="2880"/>
            <w:vAlign w:val="center"/>
          </w:tcPr>
          <w:p>
            <w:r>
              <w:t>0.059 s</w:t>
            </w:r>
          </w:p>
        </w:tc>
        <w:tc>
          <w:tcPr>
            <w:tcW w:type="dxa" w:w="2880"/>
            <w:vAlign w:val="center"/>
          </w:tcPr>
          <w:p>
            <w:r>
              <w:t>0.060 s (Δ +0.001 s, +1.5%)</w:t>
            </w:r>
          </w:p>
        </w:tc>
      </w:tr>
      <w:tr>
        <w:tc>
          <w:tcPr>
            <w:tcW w:type="dxa" w:w="2880"/>
            <w:vAlign w:val="center"/>
          </w:tcPr>
          <w:p>
            <w:r>
              <w:t>Number of cycles</w:t>
            </w:r>
          </w:p>
        </w:tc>
        <w:tc>
          <w:tcPr>
            <w:tcW w:type="dxa" w:w="2880"/>
            <w:vAlign w:val="center"/>
          </w:tcPr>
          <w:p>
            <w:r>
              <w:t>34</w:t>
            </w:r>
          </w:p>
        </w:tc>
        <w:tc>
          <w:tcPr>
            <w:tcW w:type="dxa" w:w="2880"/>
            <w:vAlign w:val="center"/>
          </w:tcPr>
          <w:p>
            <w:r>
              <w:t>33 (Δ -1, -2.9%)</w:t>
            </w:r>
          </w:p>
        </w:tc>
      </w:tr>
      <w:tr>
        <w:tc>
          <w:tcPr>
            <w:tcW w:type="dxa" w:w="2880"/>
            <w:vAlign w:val="center"/>
          </w:tcPr>
          <w:p>
            <w:r>
              <w:t>Number of confirmed outliers</w:t>
            </w:r>
          </w:p>
        </w:tc>
        <w:tc>
          <w:tcPr>
            <w:tcW w:type="dxa" w:w="2880"/>
            <w:vAlign w:val="center"/>
          </w:tcPr>
          <w:p>
            <w:r>
              <w:t>Reference</w:t>
            </w:r>
          </w:p>
        </w:tc>
        <w:tc>
          <w:tcPr>
            <w:tcW w:type="dxa" w:w="2880"/>
            <w:vAlign w:val="center"/>
          </w:tcPr>
          <w:p>
            <w:r>
              <w:t>13</w:t>
            </w:r>
          </w:p>
        </w:tc>
      </w:tr>
      <w:tr>
        <w:tc>
          <w:tcPr>
            <w:tcW w:type="dxa" w:w="2880"/>
            <w:vAlign w:val="center"/>
          </w:tcPr>
          <w:p>
            <w:r>
              <w:t>Correlation score</w:t>
            </w:r>
          </w:p>
        </w:tc>
        <w:tc>
          <w:tcPr>
            <w:tcW w:type="dxa" w:w="2880"/>
            <w:vAlign w:val="center"/>
          </w:tcPr>
          <w:p>
            <w:r>
              <w:t>Reference</w:t>
            </w:r>
          </w:p>
        </w:tc>
        <w:tc>
          <w:tcPr>
            <w:tcW w:type="dxa" w:w="2880"/>
            <w:vAlign w:val="center"/>
          </w:tcPr>
          <w:p>
            <w:r>
              <w:t>0.981</w:t>
            </w:r>
          </w:p>
        </w:tc>
      </w:tr>
    </w:tbl>
    <w:p>
      <w:pPr>
        <w:jc w:val="center"/>
      </w:pPr>
      <w:r>
        <w:t>Phase 1 waveform comparison (time shown relative to the start of each selected range)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Phase 1 waveform comparison in millimeters (1 mm = 10 px)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NSI quality assurance notes (Phase 1): </w:t>
      </w:r>
      <w:r>
        <w:t>____________________________</w:t>
      </w:r>
    </w:p>
    <w:p>
      <w:pPr>
        <w:pStyle w:val="Heading2"/>
        <w:jc w:val="center"/>
      </w:pPr>
      <w:r>
        <w:t>Phase 2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Measurement differences</w:t>
            </w:r>
          </w:p>
        </w:tc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Comparison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Mean pk-pk (px)</w:t>
            </w:r>
          </w:p>
        </w:tc>
        <w:tc>
          <w:tcPr>
            <w:tcW w:type="dxa" w:w="2880"/>
            <w:vAlign w:val="center"/>
          </w:tcPr>
          <w:p>
            <w:r>
              <w:t>14.786 px</w:t>
            </w:r>
          </w:p>
        </w:tc>
        <w:tc>
          <w:tcPr>
            <w:tcW w:type="dxa" w:w="2880"/>
            <w:vAlign w:val="center"/>
          </w:tcPr>
          <w:p>
            <w:r>
              <w:t>14.607 px (Δ -0.179 px, -1.2%)</w:t>
            </w:r>
          </w:p>
        </w:tc>
      </w:tr>
      <w:tr>
        <w:tc>
          <w:tcPr>
            <w:tcW w:type="dxa" w:w="2880"/>
            <w:vAlign w:val="center"/>
          </w:tcPr>
          <w:p>
            <w:r>
              <w:t>Mean pk-pk (mm)</w:t>
            </w:r>
          </w:p>
        </w:tc>
        <w:tc>
          <w:tcPr>
            <w:tcW w:type="dxa" w:w="2880"/>
            <w:vAlign w:val="center"/>
          </w:tcPr>
          <w:p>
            <w:r>
              <w:t>1.479 mm</w:t>
            </w:r>
          </w:p>
        </w:tc>
        <w:tc>
          <w:tcPr>
            <w:tcW w:type="dxa" w:w="2880"/>
            <w:vAlign w:val="center"/>
          </w:tcPr>
          <w:p>
            <w:r>
              <w:t>1.461 mm (Δ -0.018 mm, -1.2%)</w:t>
            </w:r>
          </w:p>
        </w:tc>
      </w:tr>
      <w:tr>
        <w:tc>
          <w:tcPr>
            <w:tcW w:type="dxa" w:w="2880"/>
            <w:vAlign w:val="center"/>
          </w:tcPr>
          <w:p>
            <w:r>
              <w:t>Period (s)</w:t>
            </w:r>
          </w:p>
        </w:tc>
        <w:tc>
          <w:tcPr>
            <w:tcW w:type="dxa" w:w="2880"/>
            <w:vAlign w:val="center"/>
          </w:tcPr>
          <w:p>
            <w:r>
              <w:t>0.019 s</w:t>
            </w:r>
          </w:p>
        </w:tc>
        <w:tc>
          <w:tcPr>
            <w:tcW w:type="dxa" w:w="2880"/>
            <w:vAlign w:val="center"/>
          </w:tcPr>
          <w:p>
            <w:r>
              <w:t>0.019 s (Δ -0.000 s, -1.5%)</w:t>
            </w:r>
          </w:p>
        </w:tc>
      </w:tr>
      <w:tr>
        <w:tc>
          <w:tcPr>
            <w:tcW w:type="dxa" w:w="2880"/>
            <w:vAlign w:val="center"/>
          </w:tcPr>
          <w:p>
            <w:r>
              <w:t>Number of cycles</w:t>
            </w:r>
          </w:p>
        </w:tc>
        <w:tc>
          <w:tcPr>
            <w:tcW w:type="dxa" w:w="2880"/>
            <w:vAlign w:val="center"/>
          </w:tcPr>
          <w:p>
            <w:r>
              <w:t>157</w:t>
            </w:r>
          </w:p>
        </w:tc>
        <w:tc>
          <w:tcPr>
            <w:tcW w:type="dxa" w:w="2880"/>
            <w:vAlign w:val="center"/>
          </w:tcPr>
          <w:p>
            <w:r>
              <w:t>157 (Δ +0, +0.0%)</w:t>
            </w:r>
          </w:p>
        </w:tc>
      </w:tr>
      <w:tr>
        <w:tc>
          <w:tcPr>
            <w:tcW w:type="dxa" w:w="2880"/>
            <w:vAlign w:val="center"/>
          </w:tcPr>
          <w:p>
            <w:r>
              <w:t>Number of confirmed outliers</w:t>
            </w:r>
          </w:p>
        </w:tc>
        <w:tc>
          <w:tcPr>
            <w:tcW w:type="dxa" w:w="2880"/>
            <w:vAlign w:val="center"/>
          </w:tcPr>
          <w:p>
            <w:r>
              <w:t>Reference</w:t>
            </w:r>
          </w:p>
        </w:tc>
        <w:tc>
          <w:tcPr>
            <w:tcW w:type="dxa" w:w="2880"/>
            <w:vAlign w:val="center"/>
          </w:tcPr>
          <w:p>
            <w:r>
              <w:t>2</w:t>
            </w:r>
          </w:p>
        </w:tc>
      </w:tr>
      <w:tr>
        <w:tc>
          <w:tcPr>
            <w:tcW w:type="dxa" w:w="2880"/>
            <w:vAlign w:val="center"/>
          </w:tcPr>
          <w:p>
            <w:r>
              <w:t>Correlation score</w:t>
            </w:r>
          </w:p>
        </w:tc>
        <w:tc>
          <w:tcPr>
            <w:tcW w:type="dxa" w:w="2880"/>
            <w:vAlign w:val="center"/>
          </w:tcPr>
          <w:p>
            <w:r>
              <w:t>Reference</w:t>
            </w:r>
          </w:p>
        </w:tc>
        <w:tc>
          <w:tcPr>
            <w:tcW w:type="dxa" w:w="2880"/>
            <w:vAlign w:val="center"/>
          </w:tcPr>
          <w:p>
            <w:r>
              <w:t>0.972</w:t>
            </w:r>
          </w:p>
        </w:tc>
      </w:tr>
    </w:tbl>
    <w:p>
      <w:pPr>
        <w:jc w:val="center"/>
      </w:pPr>
      <w:r>
        <w:t>Phase 2 waveform comparison (time shown relative to the start of each selected range)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Phase 2 waveform comparison in millimeters (1 mm = 10 px)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NSI quality assurance notes (Phase 2): </w:t>
      </w:r>
      <w:r>
        <w:t>____________________________</w:t>
      </w:r>
    </w:p>
    <w:p>
      <w:pPr>
        <w:pStyle w:val="Heading2"/>
        <w:jc w:val="center"/>
      </w:pPr>
      <w:r>
        <w:t>Phase 3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Measurement differences</w:t>
            </w:r>
          </w:p>
        </w:tc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880"/>
            <w:vAlign w:val="center"/>
            <w:shd w:fill="F2F2F2"/>
          </w:tcPr>
          <w:p>
            <w:r>
              <w:rPr>
                <w:b/>
              </w:rPr>
              <w:t>Comparison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Mean pk-pk (px)</w:t>
            </w:r>
          </w:p>
        </w:tc>
        <w:tc>
          <w:tcPr>
            <w:tcW w:type="dxa" w:w="2880"/>
            <w:vAlign w:val="center"/>
          </w:tcPr>
          <w:p>
            <w:r>
              <w:t>3.399 px</w:t>
            </w:r>
          </w:p>
        </w:tc>
        <w:tc>
          <w:tcPr>
            <w:tcW w:type="dxa" w:w="2880"/>
            <w:vAlign w:val="center"/>
          </w:tcPr>
          <w:p>
            <w:r>
              <w:t>2.169 px (Δ -1.230 px, -36.2%)</w:t>
            </w:r>
          </w:p>
        </w:tc>
      </w:tr>
      <w:tr>
        <w:tc>
          <w:tcPr>
            <w:tcW w:type="dxa" w:w="2880"/>
            <w:vAlign w:val="center"/>
          </w:tcPr>
          <w:p>
            <w:r>
              <w:t>Mean pk-pk (mm)</w:t>
            </w:r>
          </w:p>
        </w:tc>
        <w:tc>
          <w:tcPr>
            <w:tcW w:type="dxa" w:w="2880"/>
            <w:vAlign w:val="center"/>
          </w:tcPr>
          <w:p>
            <w:r>
              <w:t>0.340 mm</w:t>
            </w:r>
          </w:p>
        </w:tc>
        <w:tc>
          <w:tcPr>
            <w:tcW w:type="dxa" w:w="2880"/>
            <w:vAlign w:val="center"/>
          </w:tcPr>
          <w:p>
            <w:r>
              <w:t>0.217 mm (Δ -0.123 mm, -36.2%)</w:t>
            </w:r>
          </w:p>
        </w:tc>
      </w:tr>
      <w:tr>
        <w:tc>
          <w:tcPr>
            <w:tcW w:type="dxa" w:w="2880"/>
            <w:vAlign w:val="center"/>
          </w:tcPr>
          <w:p>
            <w:r>
              <w:t>Period (s)</w:t>
            </w:r>
          </w:p>
        </w:tc>
        <w:tc>
          <w:tcPr>
            <w:tcW w:type="dxa" w:w="2880"/>
            <w:vAlign w:val="center"/>
          </w:tcPr>
          <w:p>
            <w:r>
              <w:t>0.034 s</w:t>
            </w:r>
          </w:p>
        </w:tc>
        <w:tc>
          <w:tcPr>
            <w:tcW w:type="dxa" w:w="2880"/>
            <w:vAlign w:val="center"/>
          </w:tcPr>
          <w:p>
            <w:r>
              <w:t>0.068 s (Δ +0.034 s, +99.0%)</w:t>
            </w:r>
          </w:p>
        </w:tc>
      </w:tr>
      <w:tr>
        <w:tc>
          <w:tcPr>
            <w:tcW w:type="dxa" w:w="2880"/>
            <w:vAlign w:val="center"/>
          </w:tcPr>
          <w:p>
            <w:r>
              <w:t>Number of cycles</w:t>
            </w:r>
          </w:p>
        </w:tc>
        <w:tc>
          <w:tcPr>
            <w:tcW w:type="dxa" w:w="2880"/>
            <w:vAlign w:val="center"/>
          </w:tcPr>
          <w:p>
            <w:r>
              <w:t>45</w:t>
            </w:r>
          </w:p>
        </w:tc>
        <w:tc>
          <w:tcPr>
            <w:tcW w:type="dxa" w:w="2880"/>
            <w:vAlign w:val="center"/>
          </w:tcPr>
          <w:p>
            <w:r>
              <w:t>20 (Δ -25, -55.6%)</w:t>
            </w:r>
          </w:p>
        </w:tc>
      </w:tr>
      <w:tr>
        <w:tc>
          <w:tcPr>
            <w:tcW w:type="dxa" w:w="2880"/>
            <w:vAlign w:val="center"/>
          </w:tcPr>
          <w:p>
            <w:r>
              <w:t>Number of confirmed outliers</w:t>
            </w:r>
          </w:p>
        </w:tc>
        <w:tc>
          <w:tcPr>
            <w:tcW w:type="dxa" w:w="2880"/>
            <w:vAlign w:val="center"/>
          </w:tcPr>
          <w:p>
            <w:r>
              <w:t>Reference</w:t>
            </w:r>
          </w:p>
        </w:tc>
        <w:tc>
          <w:tcPr>
            <w:tcW w:type="dxa" w:w="2880"/>
            <w:vAlign w:val="center"/>
          </w:tcPr>
          <w:p>
            <w:r>
              <w:t>7</w:t>
            </w:r>
          </w:p>
        </w:tc>
      </w:tr>
      <w:tr>
        <w:tc>
          <w:tcPr>
            <w:tcW w:type="dxa" w:w="2880"/>
            <w:vAlign w:val="center"/>
          </w:tcPr>
          <w:p>
            <w:r>
              <w:t>Correlation score</w:t>
            </w:r>
          </w:p>
        </w:tc>
        <w:tc>
          <w:tcPr>
            <w:tcW w:type="dxa" w:w="2880"/>
            <w:vAlign w:val="center"/>
          </w:tcPr>
          <w:p>
            <w:r>
              <w:t>Reference</w:t>
            </w:r>
          </w:p>
        </w:tc>
        <w:tc>
          <w:tcPr>
            <w:tcW w:type="dxa" w:w="2880"/>
            <w:vAlign w:val="center"/>
          </w:tcPr>
          <w:p>
            <w:r>
              <w:t>0.911</w:t>
            </w:r>
          </w:p>
        </w:tc>
      </w:tr>
    </w:tbl>
    <w:p>
      <w:pPr>
        <w:jc w:val="center"/>
      </w:pPr>
      <w:r>
        <w:t>Phase 3 waveform comparison (time shown relative to the start of each selected range)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Phase 3 waveform comparison in millimeters (1 mm = 10 px)</w:t>
      </w:r>
    </w:p>
    <w:p>
      <w:r>
        <w:drawing>
          <wp:inline xmlns:a="http://schemas.openxmlformats.org/drawingml/2006/main" xmlns:pic="http://schemas.openxmlformats.org/drawingml/2006/picture">
            <wp:extent cx="5760720" cy="4224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NSI quality assurance notes (Phase 3): </w:t>
      </w:r>
      <w:r>
        <w:t>Phase III is excluded from the overall weighted correlation.</w:t>
      </w:r>
    </w:p>
    <w:p>
      <w:r>
        <w:rPr>
          <w:b/>
        </w:rPr>
        <w:t xml:space="preserve">Overall weighted correlation: </w:t>
      </w:r>
      <w:r>
        <w:t>0.977. Pearson correlation is calculated per phase from aligned samples. Comparison differences are relative to the baseline reference. Amplitude values are in pixels.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