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NSI Client Report</w:t>
      </w:r>
    </w:p>
    <w:p>
      <w:r>
        <w:rPr>
          <w:b/>
        </w:rPr>
        <w:t xml:space="preserve">Baseline: </w:t>
      </w:r>
      <w:r>
        <w:t>Baseline1.1</w:t>
      </w:r>
      <w:r>
        <w:rPr>
          <w:b/>
        </w:rPr>
        <w:t xml:space="preserve">    Comparison: </w:t>
      </w:r>
      <w:r>
        <w:t>1.1Secondrun</w:t>
      </w:r>
    </w:p>
    <w:p>
      <w:pPr>
        <w:pStyle w:val="Heading2"/>
      </w:pPr>
      <w:r>
        <w:t>Results summary</w:t>
      </w:r>
    </w:p>
    <w:p>
      <w:r>
        <w:t>Some results were close to the acceptance limits and require additional review. Please contact NSI.</w:t>
      </w:r>
    </w:p>
    <w:p>
      <w:r>
        <w:t>The following graphs show the baseline and comparison waveform shapes for 1.1Secondrun against Baseline1.1.</w:t>
      </w:r>
    </w:p>
    <w:p>
      <w:pPr>
        <w:pStyle w:val="Heading2"/>
        <w:jc w:val="center"/>
      </w:pPr>
      <w:r>
        <w:t>Phase 1 waveform</w:t>
      </w:r>
    </w:p>
    <w:p>
      <w:pPr>
        <w:jc w:val="center"/>
      </w:pPr>
      <w:r>
        <w:t>Phase 1 waveform shape (colors distinguish selected ranges)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Phase 1 waveform comparison in millimeters (1 mm = 10 px)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Phase 2 waveform</w:t>
      </w:r>
    </w:p>
    <w:p>
      <w:pPr>
        <w:jc w:val="center"/>
      </w:pPr>
      <w:r>
        <w:t>Phase 2 waveform shape (colors distinguish selected ranges)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Phase 2 waveform comparison in millimeters (1 mm = 10 px)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t>Phase 3 waveform</w:t>
      </w:r>
    </w:p>
    <w:p>
      <w:pPr>
        <w:jc w:val="center"/>
      </w:pPr>
      <w:r>
        <w:t>Phase 3 waveform shape (colors distinguish selected ranges)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Phase 3 waveform comparison in millimeters (1 mm = 10 px)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