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7F9A" w14:textId="724F4DCC" w:rsidR="00D90A45" w:rsidRPr="007318FA" w:rsidRDefault="00000000" w:rsidP="007318FA">
      <w:pPr>
        <w:pStyle w:val="Title"/>
        <w:jc w:val="center"/>
        <w:rPr>
          <w:rFonts w:cstheme="majorHAnsi"/>
          <w:b/>
          <w:bCs/>
          <w:sz w:val="48"/>
          <w:szCs w:val="48"/>
        </w:rPr>
      </w:pPr>
      <w:r w:rsidRPr="007318FA">
        <w:rPr>
          <w:rFonts w:cstheme="majorHAnsi"/>
          <w:b/>
          <w:bCs/>
          <w:sz w:val="48"/>
          <w:szCs w:val="48"/>
        </w:rPr>
        <w:t>Virgin Mobile KSA App</w:t>
      </w:r>
      <w:r w:rsidR="007318FA">
        <w:rPr>
          <w:rFonts w:cstheme="majorHAnsi"/>
          <w:b/>
          <w:bCs/>
          <w:sz w:val="48"/>
          <w:szCs w:val="48"/>
        </w:rPr>
        <w:t xml:space="preserve"> (Customer Account)</w:t>
      </w:r>
    </w:p>
    <w:p w14:paraId="7E9BF176" w14:textId="7777777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sz w:val="24"/>
          <w:szCs w:val="24"/>
        </w:rPr>
        <w:t>This document provides a comprehensive and formal explanation of the features and user interface of the Virgin Mobile KSA application. Each section of the app is described in detail, with accompanying screenshots for clarity. The flow starts from the Home Page and navigates through the app's key functionalities, including payment setup, usage monitoring, and support features.</w:t>
      </w:r>
    </w:p>
    <w:p w14:paraId="3F8B36C0" w14:textId="77777777" w:rsidR="00D90A45" w:rsidRPr="007318FA" w:rsidRDefault="00000000" w:rsidP="007318FA">
      <w:pPr>
        <w:pStyle w:val="Heading1"/>
        <w:rPr>
          <w:rFonts w:cstheme="majorHAnsi"/>
          <w:sz w:val="32"/>
          <w:szCs w:val="32"/>
        </w:rPr>
      </w:pPr>
      <w:r w:rsidRPr="007318FA">
        <w:rPr>
          <w:rFonts w:cstheme="majorHAnsi"/>
          <w:sz w:val="32"/>
          <w:szCs w:val="32"/>
        </w:rPr>
        <w:t>1. Home Page (الصفحة الرئيسية)</w:t>
      </w:r>
    </w:p>
    <w:p w14:paraId="0466A904" w14:textId="77777777" w:rsidR="007318FA" w:rsidRPr="007318FA" w:rsidRDefault="007318FA" w:rsidP="007318FA">
      <w:pPr>
        <w:rPr>
          <w:rFonts w:asciiTheme="majorHAnsi" w:hAnsiTheme="majorHAnsi" w:cstheme="majorHAnsi"/>
          <w:sz w:val="24"/>
          <w:szCs w:val="24"/>
        </w:rPr>
      </w:pPr>
    </w:p>
    <w:p w14:paraId="1B66A2C6" w14:textId="29F8275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noProof/>
          <w:sz w:val="24"/>
          <w:szCs w:val="24"/>
        </w:rPr>
        <w:drawing>
          <wp:inline distT="0" distB="0" distL="0" distR="0" wp14:anchorId="3E897E01" wp14:editId="10B4BC2A">
            <wp:extent cx="2560320" cy="5082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png"/>
                    <pic:cNvPicPr/>
                  </pic:nvPicPr>
                  <pic:blipFill>
                    <a:blip r:embed="rId6"/>
                    <a:stretch>
                      <a:fillRect/>
                    </a:stretch>
                  </pic:blipFill>
                  <pic:spPr>
                    <a:xfrm>
                      <a:off x="0" y="0"/>
                      <a:ext cx="2565742" cy="5093304"/>
                    </a:xfrm>
                    <a:prstGeom prst="rect">
                      <a:avLst/>
                    </a:prstGeom>
                  </pic:spPr>
                </pic:pic>
              </a:graphicData>
            </a:graphic>
          </wp:inline>
        </w:drawing>
      </w:r>
      <w:r w:rsidR="007318FA" w:rsidRPr="007318FA">
        <w:rPr>
          <w:rFonts w:asciiTheme="majorHAnsi" w:hAnsiTheme="majorHAnsi" w:cstheme="majorHAnsi"/>
          <w:noProof/>
          <w:sz w:val="24"/>
          <w:szCs w:val="24"/>
        </w:rPr>
        <w:drawing>
          <wp:inline distT="0" distB="0" distL="0" distR="0" wp14:anchorId="3E1A88EC" wp14:editId="14D222D8">
            <wp:extent cx="2247900" cy="506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_2.png"/>
                    <pic:cNvPicPr/>
                  </pic:nvPicPr>
                  <pic:blipFill>
                    <a:blip r:embed="rId7"/>
                    <a:stretch>
                      <a:fillRect/>
                    </a:stretch>
                  </pic:blipFill>
                  <pic:spPr>
                    <a:xfrm>
                      <a:off x="0" y="0"/>
                      <a:ext cx="2247940" cy="5067391"/>
                    </a:xfrm>
                    <a:prstGeom prst="rect">
                      <a:avLst/>
                    </a:prstGeom>
                  </pic:spPr>
                </pic:pic>
              </a:graphicData>
            </a:graphic>
          </wp:inline>
        </w:drawing>
      </w:r>
    </w:p>
    <w:p w14:paraId="4B7F398E" w14:textId="7777777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noProof/>
          <w:sz w:val="24"/>
          <w:szCs w:val="24"/>
        </w:rPr>
        <w:lastRenderedPageBreak/>
        <w:drawing>
          <wp:inline distT="0" distB="0" distL="0" distR="0" wp14:anchorId="4F2CDCA5" wp14:editId="04851D6A">
            <wp:extent cx="2705000" cy="46101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_3.png"/>
                    <pic:cNvPicPr/>
                  </pic:nvPicPr>
                  <pic:blipFill>
                    <a:blip r:embed="rId8"/>
                    <a:stretch>
                      <a:fillRect/>
                    </a:stretch>
                  </pic:blipFill>
                  <pic:spPr>
                    <a:xfrm>
                      <a:off x="0" y="0"/>
                      <a:ext cx="2725847" cy="4645630"/>
                    </a:xfrm>
                    <a:prstGeom prst="rect">
                      <a:avLst/>
                    </a:prstGeom>
                  </pic:spPr>
                </pic:pic>
              </a:graphicData>
            </a:graphic>
          </wp:inline>
        </w:drawing>
      </w:r>
    </w:p>
    <w:p w14:paraId="25C6CC01" w14:textId="77777777" w:rsidR="007318FA" w:rsidRPr="007318FA" w:rsidRDefault="007318FA" w:rsidP="007318FA">
      <w:pPr>
        <w:rPr>
          <w:rFonts w:asciiTheme="majorHAnsi" w:hAnsiTheme="majorHAnsi" w:cstheme="majorHAnsi"/>
          <w:sz w:val="24"/>
          <w:szCs w:val="24"/>
        </w:rPr>
      </w:pPr>
    </w:p>
    <w:p w14:paraId="6ACFDC31" w14:textId="61E6859B"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sz w:val="24"/>
          <w:szCs w:val="24"/>
        </w:rPr>
        <w:t>The Home Page is the central hub of the Virgin Mobile KSA app, displaying the primary account information and quick access to essential services.</w:t>
      </w:r>
      <w:r w:rsidRPr="007318FA">
        <w:rPr>
          <w:rFonts w:asciiTheme="majorHAnsi" w:hAnsiTheme="majorHAnsi" w:cstheme="majorHAnsi"/>
          <w:sz w:val="24"/>
          <w:szCs w:val="24"/>
        </w:rPr>
        <w:br/>
      </w:r>
      <w:r w:rsidRPr="007318FA">
        <w:rPr>
          <w:rFonts w:asciiTheme="majorHAnsi" w:hAnsiTheme="majorHAnsi" w:cstheme="majorHAnsi"/>
          <w:sz w:val="24"/>
          <w:szCs w:val="24"/>
        </w:rPr>
        <w:br/>
        <w:t>Key Features:</w:t>
      </w:r>
      <w:r w:rsidRPr="007318FA">
        <w:rPr>
          <w:rFonts w:asciiTheme="majorHAnsi" w:hAnsiTheme="majorHAnsi" w:cstheme="majorHAnsi"/>
          <w:sz w:val="24"/>
          <w:szCs w:val="24"/>
        </w:rPr>
        <w:br/>
        <w:t>- Mobile Number:</w:t>
      </w:r>
      <w:r w:rsidR="00550C10">
        <w:rPr>
          <w:rFonts w:asciiTheme="majorHAnsi" w:hAnsiTheme="majorHAnsi" w:cstheme="majorHAnsi"/>
          <w:sz w:val="24"/>
          <w:szCs w:val="24"/>
        </w:rPr>
        <w:t xml:space="preserve"> </w:t>
      </w:r>
      <w:r w:rsidRPr="007318FA">
        <w:rPr>
          <w:rFonts w:asciiTheme="majorHAnsi" w:hAnsiTheme="majorHAnsi" w:cstheme="majorHAnsi"/>
          <w:sz w:val="24"/>
          <w:szCs w:val="24"/>
        </w:rPr>
        <w:t>Displays the active mobile number associated with the account.</w:t>
      </w:r>
      <w:r w:rsidRPr="007318FA">
        <w:rPr>
          <w:rFonts w:asciiTheme="majorHAnsi" w:hAnsiTheme="majorHAnsi" w:cstheme="majorHAnsi"/>
          <w:sz w:val="24"/>
          <w:szCs w:val="24"/>
        </w:rPr>
        <w:br/>
        <w:t>- Share Balance: Enables the user to share up to 250 SAR with other Virgin Mobile users.</w:t>
      </w:r>
      <w:r w:rsidRPr="007318FA">
        <w:rPr>
          <w:rFonts w:asciiTheme="majorHAnsi" w:hAnsiTheme="majorHAnsi" w:cstheme="majorHAnsi"/>
          <w:sz w:val="24"/>
          <w:szCs w:val="24"/>
        </w:rPr>
        <w:br/>
        <w:t>- Wallet Balance:</w:t>
      </w:r>
      <w:r w:rsidR="00550C10">
        <w:rPr>
          <w:rFonts w:asciiTheme="majorHAnsi" w:hAnsiTheme="majorHAnsi" w:cstheme="majorHAnsi"/>
          <w:sz w:val="24"/>
          <w:szCs w:val="24"/>
        </w:rPr>
        <w:t xml:space="preserve"> </w:t>
      </w:r>
      <w:r w:rsidRPr="007318FA">
        <w:rPr>
          <w:rFonts w:asciiTheme="majorHAnsi" w:hAnsiTheme="majorHAnsi" w:cstheme="majorHAnsi"/>
          <w:sz w:val="24"/>
          <w:szCs w:val="24"/>
        </w:rPr>
        <w:t>Shows the current wallet balance and provides an option to add credit.</w:t>
      </w:r>
      <w:r w:rsidRPr="007318FA">
        <w:rPr>
          <w:rFonts w:asciiTheme="majorHAnsi" w:hAnsiTheme="majorHAnsi" w:cstheme="majorHAnsi"/>
          <w:sz w:val="24"/>
          <w:szCs w:val="24"/>
        </w:rPr>
        <w:br/>
        <w:t>- Quick Access Services:</w:t>
      </w:r>
      <w:r w:rsidR="00550C10">
        <w:rPr>
          <w:rFonts w:asciiTheme="majorHAnsi" w:hAnsiTheme="majorHAnsi" w:cstheme="majorHAnsi"/>
          <w:sz w:val="24"/>
          <w:szCs w:val="24"/>
        </w:rPr>
        <w:t xml:space="preserve"> </w:t>
      </w:r>
      <w:r w:rsidRPr="007318FA">
        <w:rPr>
          <w:rFonts w:asciiTheme="majorHAnsi" w:hAnsiTheme="majorHAnsi" w:cstheme="majorHAnsi"/>
          <w:sz w:val="24"/>
          <w:szCs w:val="24"/>
        </w:rPr>
        <w:t xml:space="preserve"> Includes icons for International Roaming and International Calls.</w:t>
      </w:r>
      <w:r w:rsidRPr="007318FA">
        <w:rPr>
          <w:rFonts w:asciiTheme="majorHAnsi" w:hAnsiTheme="majorHAnsi" w:cstheme="majorHAnsi"/>
          <w:sz w:val="24"/>
          <w:szCs w:val="24"/>
        </w:rPr>
        <w:br/>
        <w:t>- Plan Information: Displays whether the user has an active plan. If no plan is active, usage is calculated per MB or per minute. It also includes an option to toggle data usage and shows the 'Frozen' status if no balance or plan is available.</w:t>
      </w:r>
      <w:r w:rsidRPr="007318FA">
        <w:rPr>
          <w:rFonts w:asciiTheme="majorHAnsi" w:hAnsiTheme="majorHAnsi" w:cstheme="majorHAnsi"/>
          <w:sz w:val="24"/>
          <w:szCs w:val="24"/>
        </w:rPr>
        <w:br/>
        <w:t xml:space="preserve">- Account Validity: A warning is shown if the account is approaching termination, with </w:t>
      </w:r>
      <w:r w:rsidRPr="007318FA">
        <w:rPr>
          <w:rFonts w:asciiTheme="majorHAnsi" w:hAnsiTheme="majorHAnsi" w:cstheme="majorHAnsi"/>
          <w:sz w:val="24"/>
          <w:szCs w:val="24"/>
        </w:rPr>
        <w:lastRenderedPageBreak/>
        <w:t>the option to renew or add a bundle.</w:t>
      </w:r>
      <w:r w:rsidRPr="007318FA">
        <w:rPr>
          <w:rFonts w:asciiTheme="majorHAnsi" w:hAnsiTheme="majorHAnsi" w:cstheme="majorHAnsi"/>
          <w:sz w:val="24"/>
          <w:szCs w:val="24"/>
        </w:rPr>
        <w:br/>
      </w:r>
    </w:p>
    <w:p w14:paraId="433F3B50" w14:textId="77777777" w:rsidR="00D90A45" w:rsidRPr="007318FA" w:rsidRDefault="00000000" w:rsidP="007318FA">
      <w:pPr>
        <w:pStyle w:val="Heading1"/>
        <w:rPr>
          <w:rFonts w:cstheme="majorHAnsi"/>
          <w:sz w:val="32"/>
          <w:szCs w:val="32"/>
        </w:rPr>
      </w:pPr>
      <w:r w:rsidRPr="007318FA">
        <w:rPr>
          <w:rFonts w:cstheme="majorHAnsi"/>
          <w:sz w:val="32"/>
          <w:szCs w:val="32"/>
        </w:rPr>
        <w:t>2. Payment Method (إعداد طريقة الدفع)</w:t>
      </w:r>
    </w:p>
    <w:p w14:paraId="206ECC5A" w14:textId="77777777" w:rsidR="007318FA" w:rsidRPr="007318FA" w:rsidRDefault="007318FA" w:rsidP="007318FA">
      <w:pPr>
        <w:rPr>
          <w:rFonts w:asciiTheme="majorHAnsi" w:hAnsiTheme="majorHAnsi" w:cstheme="majorHAnsi"/>
          <w:sz w:val="24"/>
          <w:szCs w:val="24"/>
        </w:rPr>
      </w:pPr>
    </w:p>
    <w:p w14:paraId="6BD33B1C" w14:textId="7777777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noProof/>
          <w:sz w:val="24"/>
          <w:szCs w:val="24"/>
        </w:rPr>
        <w:drawing>
          <wp:inline distT="0" distB="0" distL="0" distR="0" wp14:anchorId="77BB13A9" wp14:editId="05744395">
            <wp:extent cx="5028565" cy="42976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Payment_method.png"/>
                    <pic:cNvPicPr/>
                  </pic:nvPicPr>
                  <pic:blipFill>
                    <a:blip r:embed="rId9"/>
                    <a:stretch>
                      <a:fillRect/>
                    </a:stretch>
                  </pic:blipFill>
                  <pic:spPr>
                    <a:xfrm>
                      <a:off x="0" y="0"/>
                      <a:ext cx="5043232" cy="4310215"/>
                    </a:xfrm>
                    <a:prstGeom prst="rect">
                      <a:avLst/>
                    </a:prstGeom>
                  </pic:spPr>
                </pic:pic>
              </a:graphicData>
            </a:graphic>
          </wp:inline>
        </w:drawing>
      </w:r>
    </w:p>
    <w:p w14:paraId="218F9337" w14:textId="2B4E5873"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sz w:val="24"/>
          <w:szCs w:val="24"/>
        </w:rPr>
        <w:t>This section allows the user to securely add and manage payment methods.</w:t>
      </w:r>
      <w:r w:rsidRPr="007318FA">
        <w:rPr>
          <w:rFonts w:asciiTheme="majorHAnsi" w:hAnsiTheme="majorHAnsi" w:cstheme="majorHAnsi"/>
          <w:sz w:val="24"/>
          <w:szCs w:val="24"/>
        </w:rPr>
        <w:br/>
      </w:r>
      <w:r w:rsidRPr="007318FA">
        <w:rPr>
          <w:rFonts w:asciiTheme="majorHAnsi" w:hAnsiTheme="majorHAnsi" w:cstheme="majorHAnsi"/>
          <w:sz w:val="24"/>
          <w:szCs w:val="24"/>
        </w:rPr>
        <w:br/>
        <w:t>Key Features:</w:t>
      </w:r>
      <w:r w:rsidRPr="007318FA">
        <w:rPr>
          <w:rFonts w:asciiTheme="majorHAnsi" w:hAnsiTheme="majorHAnsi" w:cstheme="majorHAnsi"/>
          <w:sz w:val="24"/>
          <w:szCs w:val="24"/>
        </w:rPr>
        <w:br/>
        <w:t>- Card Entry Fields: The user is required to enter the card number, expiry date, CVV (security code), and the name as printed on the card.</w:t>
      </w:r>
      <w:r w:rsidRPr="007318FA">
        <w:rPr>
          <w:rFonts w:asciiTheme="majorHAnsi" w:hAnsiTheme="majorHAnsi" w:cstheme="majorHAnsi"/>
          <w:sz w:val="24"/>
          <w:szCs w:val="24"/>
        </w:rPr>
        <w:br/>
        <w:t>- Save Card Option: Toggle to save the card for future payments.</w:t>
      </w:r>
      <w:r w:rsidRPr="007318FA">
        <w:rPr>
          <w:rFonts w:asciiTheme="majorHAnsi" w:hAnsiTheme="majorHAnsi" w:cstheme="majorHAnsi"/>
          <w:sz w:val="24"/>
          <w:szCs w:val="24"/>
        </w:rPr>
        <w:br/>
        <w:t>- Supported Cards: The interface supports VISA and MasterCard.</w:t>
      </w:r>
      <w:r w:rsidRPr="007318FA">
        <w:rPr>
          <w:rFonts w:asciiTheme="majorHAnsi" w:hAnsiTheme="majorHAnsi" w:cstheme="majorHAnsi"/>
          <w:sz w:val="24"/>
          <w:szCs w:val="24"/>
        </w:rPr>
        <w:br/>
        <w:t>- Pay/Cancel Options: Users can choose to proceed with the payment or cancel the process.</w:t>
      </w:r>
      <w:r w:rsidRPr="007318FA">
        <w:rPr>
          <w:rFonts w:asciiTheme="majorHAnsi" w:hAnsiTheme="majorHAnsi" w:cstheme="majorHAnsi"/>
          <w:sz w:val="24"/>
          <w:szCs w:val="24"/>
        </w:rPr>
        <w:br/>
      </w:r>
    </w:p>
    <w:p w14:paraId="1C0F6A24" w14:textId="77777777" w:rsidR="00D90A45" w:rsidRPr="007318FA" w:rsidRDefault="00000000" w:rsidP="007318FA">
      <w:pPr>
        <w:pStyle w:val="Heading1"/>
        <w:rPr>
          <w:rFonts w:cstheme="majorHAnsi"/>
          <w:sz w:val="32"/>
          <w:szCs w:val="32"/>
        </w:rPr>
      </w:pPr>
      <w:r w:rsidRPr="007318FA">
        <w:rPr>
          <w:rFonts w:cstheme="majorHAnsi"/>
          <w:sz w:val="32"/>
          <w:szCs w:val="32"/>
        </w:rPr>
        <w:lastRenderedPageBreak/>
        <w:t>3. Payment Preferences (خيارات الدفع والشحن)</w:t>
      </w:r>
    </w:p>
    <w:p w14:paraId="01231823" w14:textId="77777777" w:rsidR="007318FA" w:rsidRPr="007318FA" w:rsidRDefault="007318FA" w:rsidP="007318FA">
      <w:pPr>
        <w:rPr>
          <w:rFonts w:asciiTheme="majorHAnsi" w:hAnsiTheme="majorHAnsi" w:cstheme="majorHAnsi"/>
        </w:rPr>
      </w:pPr>
    </w:p>
    <w:p w14:paraId="1667B3A8" w14:textId="7777777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noProof/>
          <w:sz w:val="24"/>
          <w:szCs w:val="24"/>
        </w:rPr>
        <w:drawing>
          <wp:inline distT="0" distB="0" distL="0" distR="0" wp14:anchorId="75BDA091" wp14:editId="277C2BC5">
            <wp:extent cx="5028969" cy="356616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page.png"/>
                    <pic:cNvPicPr/>
                  </pic:nvPicPr>
                  <pic:blipFill>
                    <a:blip r:embed="rId10"/>
                    <a:stretch>
                      <a:fillRect/>
                    </a:stretch>
                  </pic:blipFill>
                  <pic:spPr>
                    <a:xfrm>
                      <a:off x="0" y="0"/>
                      <a:ext cx="5041336" cy="3574930"/>
                    </a:xfrm>
                    <a:prstGeom prst="rect">
                      <a:avLst/>
                    </a:prstGeom>
                  </pic:spPr>
                </pic:pic>
              </a:graphicData>
            </a:graphic>
          </wp:inline>
        </w:drawing>
      </w:r>
    </w:p>
    <w:p w14:paraId="2363FFF0" w14:textId="18007401"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sz w:val="24"/>
          <w:szCs w:val="24"/>
        </w:rPr>
        <w:t>This area allows users to manage their recharge preferences and stored wallet balance.</w:t>
      </w:r>
      <w:r w:rsidRPr="007318FA">
        <w:rPr>
          <w:rFonts w:asciiTheme="majorHAnsi" w:hAnsiTheme="majorHAnsi" w:cstheme="majorHAnsi"/>
          <w:sz w:val="24"/>
          <w:szCs w:val="24"/>
        </w:rPr>
        <w:br/>
      </w:r>
      <w:r w:rsidRPr="007318FA">
        <w:rPr>
          <w:rFonts w:asciiTheme="majorHAnsi" w:hAnsiTheme="majorHAnsi" w:cstheme="majorHAnsi"/>
          <w:sz w:val="24"/>
          <w:szCs w:val="24"/>
        </w:rPr>
        <w:br/>
        <w:t>Key Features:</w:t>
      </w:r>
      <w:r w:rsidRPr="007318FA">
        <w:rPr>
          <w:rFonts w:asciiTheme="majorHAnsi" w:hAnsiTheme="majorHAnsi" w:cstheme="majorHAnsi"/>
          <w:sz w:val="24"/>
          <w:szCs w:val="24"/>
        </w:rPr>
        <w:br/>
        <w:t>- Set Primary Payment Method: Users can define the default method for recharging.</w:t>
      </w:r>
      <w:r w:rsidRPr="007318FA">
        <w:rPr>
          <w:rFonts w:asciiTheme="majorHAnsi" w:hAnsiTheme="majorHAnsi" w:cstheme="majorHAnsi"/>
          <w:sz w:val="24"/>
          <w:szCs w:val="24"/>
        </w:rPr>
        <w:br/>
        <w:t>- Wallet Overview: Displays the current wallet balance (0 SAR in the sample).</w:t>
      </w:r>
      <w:r w:rsidRPr="007318FA">
        <w:rPr>
          <w:rFonts w:asciiTheme="majorHAnsi" w:hAnsiTheme="majorHAnsi" w:cstheme="majorHAnsi"/>
          <w:sz w:val="24"/>
          <w:szCs w:val="24"/>
        </w:rPr>
        <w:br/>
        <w:t>- Recharge Controls: Users can add balance manually or automate balance recharge.</w:t>
      </w:r>
      <w:r w:rsidRPr="007318FA">
        <w:rPr>
          <w:rFonts w:asciiTheme="majorHAnsi" w:hAnsiTheme="majorHAnsi" w:cstheme="majorHAnsi"/>
          <w:sz w:val="24"/>
          <w:szCs w:val="24"/>
        </w:rPr>
        <w:br/>
      </w:r>
    </w:p>
    <w:p w14:paraId="47BEB3DB" w14:textId="7A06C161" w:rsidR="007318FA" w:rsidRPr="007318FA" w:rsidRDefault="00000000" w:rsidP="007318FA">
      <w:pPr>
        <w:pStyle w:val="Heading1"/>
        <w:rPr>
          <w:rFonts w:cstheme="majorHAnsi"/>
          <w:sz w:val="32"/>
          <w:szCs w:val="32"/>
        </w:rPr>
      </w:pPr>
      <w:r w:rsidRPr="007318FA">
        <w:rPr>
          <w:rFonts w:cstheme="majorHAnsi"/>
          <w:sz w:val="32"/>
          <w:szCs w:val="32"/>
        </w:rPr>
        <w:lastRenderedPageBreak/>
        <w:t>4. Usage History (سجل الاستخدام)</w:t>
      </w:r>
    </w:p>
    <w:p w14:paraId="12D9244E" w14:textId="7777777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noProof/>
          <w:sz w:val="24"/>
          <w:szCs w:val="24"/>
        </w:rPr>
        <w:drawing>
          <wp:inline distT="0" distB="0" distL="0" distR="0" wp14:anchorId="702B52E4" wp14:editId="173E21D9">
            <wp:extent cx="5028565" cy="387096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age_page.png"/>
                    <pic:cNvPicPr/>
                  </pic:nvPicPr>
                  <pic:blipFill>
                    <a:blip r:embed="rId11"/>
                    <a:stretch>
                      <a:fillRect/>
                    </a:stretch>
                  </pic:blipFill>
                  <pic:spPr>
                    <a:xfrm>
                      <a:off x="0" y="0"/>
                      <a:ext cx="5037078" cy="3877513"/>
                    </a:xfrm>
                    <a:prstGeom prst="rect">
                      <a:avLst/>
                    </a:prstGeom>
                  </pic:spPr>
                </pic:pic>
              </a:graphicData>
            </a:graphic>
          </wp:inline>
        </w:drawing>
      </w:r>
    </w:p>
    <w:p w14:paraId="2F52733E" w14:textId="056A8B48"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sz w:val="24"/>
          <w:szCs w:val="24"/>
        </w:rPr>
        <w:t>This section provides a breakdown of the user’s activity over different categories and time periods.</w:t>
      </w:r>
      <w:r w:rsidRPr="007318FA">
        <w:rPr>
          <w:rFonts w:asciiTheme="majorHAnsi" w:hAnsiTheme="majorHAnsi" w:cstheme="majorHAnsi"/>
          <w:sz w:val="24"/>
          <w:szCs w:val="24"/>
        </w:rPr>
        <w:br/>
      </w:r>
      <w:r w:rsidRPr="007318FA">
        <w:rPr>
          <w:rFonts w:asciiTheme="majorHAnsi" w:hAnsiTheme="majorHAnsi" w:cstheme="majorHAnsi"/>
          <w:sz w:val="24"/>
          <w:szCs w:val="24"/>
        </w:rPr>
        <w:br/>
        <w:t>Key Features:</w:t>
      </w:r>
      <w:r w:rsidRPr="007318FA">
        <w:rPr>
          <w:rFonts w:asciiTheme="majorHAnsi" w:hAnsiTheme="majorHAnsi" w:cstheme="majorHAnsi"/>
          <w:sz w:val="24"/>
          <w:szCs w:val="24"/>
        </w:rPr>
        <w:br/>
        <w:t>- Data Usage Overview: Visual graph showing data used per month.</w:t>
      </w:r>
      <w:r w:rsidRPr="007318FA">
        <w:rPr>
          <w:rFonts w:asciiTheme="majorHAnsi" w:hAnsiTheme="majorHAnsi" w:cstheme="majorHAnsi"/>
          <w:sz w:val="24"/>
          <w:szCs w:val="24"/>
        </w:rPr>
        <w:br/>
        <w:t>- Category Tabs: Includes local and international calls, SMS, and data usage.</w:t>
      </w:r>
      <w:r w:rsidRPr="007318FA">
        <w:rPr>
          <w:rFonts w:asciiTheme="majorHAnsi" w:hAnsiTheme="majorHAnsi" w:cstheme="majorHAnsi"/>
          <w:sz w:val="24"/>
          <w:szCs w:val="24"/>
        </w:rPr>
        <w:br/>
        <w:t>- Cumulative View Toggle: Option to switch between monthly and cumulative data.</w:t>
      </w:r>
      <w:r w:rsidRPr="007318FA">
        <w:rPr>
          <w:rFonts w:asciiTheme="majorHAnsi" w:hAnsiTheme="majorHAnsi" w:cstheme="majorHAnsi"/>
          <w:sz w:val="24"/>
          <w:szCs w:val="24"/>
        </w:rPr>
        <w:br/>
        <w:t>- Detailed Breakdown: Lists the total data usage via plan or pay-as-you-go method.</w:t>
      </w:r>
      <w:r w:rsidRPr="007318FA">
        <w:rPr>
          <w:rFonts w:asciiTheme="majorHAnsi" w:hAnsiTheme="majorHAnsi" w:cstheme="majorHAnsi"/>
          <w:sz w:val="24"/>
          <w:szCs w:val="24"/>
        </w:rPr>
        <w:br/>
      </w:r>
    </w:p>
    <w:p w14:paraId="091BE020" w14:textId="77777777" w:rsidR="00D90A45" w:rsidRPr="007318FA" w:rsidRDefault="00000000" w:rsidP="007318FA">
      <w:pPr>
        <w:pStyle w:val="Heading1"/>
        <w:rPr>
          <w:rFonts w:cstheme="majorHAnsi"/>
          <w:sz w:val="32"/>
          <w:szCs w:val="32"/>
        </w:rPr>
      </w:pPr>
      <w:r w:rsidRPr="007318FA">
        <w:rPr>
          <w:rFonts w:cstheme="majorHAnsi"/>
          <w:sz w:val="32"/>
          <w:szCs w:val="32"/>
        </w:rPr>
        <w:lastRenderedPageBreak/>
        <w:t>5. Additional Services and Settings</w:t>
      </w:r>
    </w:p>
    <w:p w14:paraId="0D71F3DC" w14:textId="77777777"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noProof/>
          <w:sz w:val="24"/>
          <w:szCs w:val="24"/>
        </w:rPr>
        <w:drawing>
          <wp:inline distT="0" distB="0" distL="0" distR="0" wp14:anchorId="38031B83" wp14:editId="08E5F2BC">
            <wp:extent cx="5028905" cy="423672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e_page.png"/>
                    <pic:cNvPicPr/>
                  </pic:nvPicPr>
                  <pic:blipFill>
                    <a:blip r:embed="rId12"/>
                    <a:stretch>
                      <a:fillRect/>
                    </a:stretch>
                  </pic:blipFill>
                  <pic:spPr>
                    <a:xfrm>
                      <a:off x="0" y="0"/>
                      <a:ext cx="5036000" cy="4242698"/>
                    </a:xfrm>
                    <a:prstGeom prst="rect">
                      <a:avLst/>
                    </a:prstGeom>
                  </pic:spPr>
                </pic:pic>
              </a:graphicData>
            </a:graphic>
          </wp:inline>
        </w:drawing>
      </w:r>
    </w:p>
    <w:p w14:paraId="67A4F64B" w14:textId="256F485A" w:rsidR="00D90A45" w:rsidRPr="007318FA" w:rsidRDefault="00000000" w:rsidP="007318FA">
      <w:pPr>
        <w:rPr>
          <w:rFonts w:asciiTheme="majorHAnsi" w:hAnsiTheme="majorHAnsi" w:cstheme="majorHAnsi"/>
          <w:sz w:val="24"/>
          <w:szCs w:val="24"/>
        </w:rPr>
      </w:pPr>
      <w:r w:rsidRPr="007318FA">
        <w:rPr>
          <w:rFonts w:asciiTheme="majorHAnsi" w:hAnsiTheme="majorHAnsi" w:cstheme="majorHAnsi"/>
          <w:sz w:val="24"/>
          <w:szCs w:val="24"/>
        </w:rPr>
        <w:t>This section contains all additional account services and settings.</w:t>
      </w:r>
      <w:r w:rsidRPr="007318FA">
        <w:rPr>
          <w:rFonts w:asciiTheme="majorHAnsi" w:hAnsiTheme="majorHAnsi" w:cstheme="majorHAnsi"/>
          <w:sz w:val="24"/>
          <w:szCs w:val="24"/>
        </w:rPr>
        <w:br/>
      </w:r>
      <w:r w:rsidRPr="007318FA">
        <w:rPr>
          <w:rFonts w:asciiTheme="majorHAnsi" w:hAnsiTheme="majorHAnsi" w:cstheme="majorHAnsi"/>
          <w:sz w:val="24"/>
          <w:szCs w:val="24"/>
        </w:rPr>
        <w:br/>
        <w:t>Key Features:</w:t>
      </w:r>
      <w:r w:rsidRPr="007318FA">
        <w:rPr>
          <w:rFonts w:asciiTheme="majorHAnsi" w:hAnsiTheme="majorHAnsi" w:cstheme="majorHAnsi"/>
          <w:sz w:val="24"/>
          <w:szCs w:val="24"/>
        </w:rPr>
        <w:br/>
        <w:t>- SIM Management:</w:t>
      </w:r>
      <w:r w:rsidR="00550C10">
        <w:rPr>
          <w:rFonts w:asciiTheme="majorHAnsi" w:hAnsiTheme="majorHAnsi" w:cstheme="majorHAnsi"/>
          <w:sz w:val="24"/>
          <w:szCs w:val="24"/>
        </w:rPr>
        <w:t xml:space="preserve"> </w:t>
      </w:r>
      <w:r w:rsidRPr="007318FA">
        <w:rPr>
          <w:rFonts w:asciiTheme="majorHAnsi" w:hAnsiTheme="majorHAnsi" w:cstheme="majorHAnsi"/>
          <w:sz w:val="24"/>
          <w:szCs w:val="24"/>
        </w:rPr>
        <w:t>Add and manage new Virgin Mobile SIM cards.</w:t>
      </w:r>
      <w:r w:rsidRPr="007318FA">
        <w:rPr>
          <w:rFonts w:asciiTheme="majorHAnsi" w:hAnsiTheme="majorHAnsi" w:cstheme="majorHAnsi"/>
          <w:sz w:val="24"/>
          <w:szCs w:val="24"/>
        </w:rPr>
        <w:br/>
        <w:t>- Services:</w:t>
      </w:r>
      <w:r w:rsidR="00550C10">
        <w:rPr>
          <w:rFonts w:asciiTheme="majorHAnsi" w:hAnsiTheme="majorHAnsi" w:cstheme="majorHAnsi"/>
          <w:sz w:val="24"/>
          <w:szCs w:val="24"/>
        </w:rPr>
        <w:t xml:space="preserve"> </w:t>
      </w:r>
      <w:r w:rsidRPr="007318FA">
        <w:rPr>
          <w:rFonts w:asciiTheme="majorHAnsi" w:hAnsiTheme="majorHAnsi" w:cstheme="majorHAnsi"/>
          <w:sz w:val="24"/>
          <w:szCs w:val="24"/>
        </w:rPr>
        <w:t>View or change service-related features.</w:t>
      </w:r>
      <w:r w:rsidRPr="007318FA">
        <w:rPr>
          <w:rFonts w:asciiTheme="majorHAnsi" w:hAnsiTheme="majorHAnsi" w:cstheme="majorHAnsi"/>
          <w:sz w:val="24"/>
          <w:szCs w:val="24"/>
        </w:rPr>
        <w:br/>
        <w:t>- Promotional Code: Option to redeem discount or offer codes.</w:t>
      </w:r>
      <w:r w:rsidRPr="007318FA">
        <w:rPr>
          <w:rFonts w:asciiTheme="majorHAnsi" w:hAnsiTheme="majorHAnsi" w:cstheme="majorHAnsi"/>
          <w:sz w:val="24"/>
          <w:szCs w:val="24"/>
        </w:rPr>
        <w:br/>
        <w:t>- Help &amp; Support: Access help center, file complaints, and change app settings.</w:t>
      </w:r>
      <w:r w:rsidRPr="007318FA">
        <w:rPr>
          <w:rFonts w:asciiTheme="majorHAnsi" w:hAnsiTheme="majorHAnsi" w:cstheme="majorHAnsi"/>
          <w:sz w:val="24"/>
          <w:szCs w:val="24"/>
        </w:rPr>
        <w:br/>
        <w:t>- Logout:</w:t>
      </w:r>
      <w:r w:rsidR="00550C10">
        <w:rPr>
          <w:rFonts w:asciiTheme="majorHAnsi" w:hAnsiTheme="majorHAnsi" w:cstheme="majorHAnsi"/>
          <w:sz w:val="24"/>
          <w:szCs w:val="24"/>
        </w:rPr>
        <w:t xml:space="preserve"> </w:t>
      </w:r>
      <w:r w:rsidRPr="007318FA">
        <w:rPr>
          <w:rFonts w:asciiTheme="majorHAnsi" w:hAnsiTheme="majorHAnsi" w:cstheme="majorHAnsi"/>
          <w:sz w:val="24"/>
          <w:szCs w:val="24"/>
        </w:rPr>
        <w:t>Option to securely log out of the mobile application.</w:t>
      </w:r>
      <w:r w:rsidRPr="007318FA">
        <w:rPr>
          <w:rFonts w:asciiTheme="majorHAnsi" w:hAnsiTheme="majorHAnsi" w:cstheme="majorHAnsi"/>
          <w:sz w:val="24"/>
          <w:szCs w:val="24"/>
        </w:rPr>
        <w:br/>
      </w:r>
    </w:p>
    <w:sectPr w:rsidR="00D90A45" w:rsidRPr="007318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532166">
    <w:abstractNumId w:val="8"/>
  </w:num>
  <w:num w:numId="2" w16cid:durableId="422118018">
    <w:abstractNumId w:val="6"/>
  </w:num>
  <w:num w:numId="3" w16cid:durableId="1527792663">
    <w:abstractNumId w:val="5"/>
  </w:num>
  <w:num w:numId="4" w16cid:durableId="106047906">
    <w:abstractNumId w:val="4"/>
  </w:num>
  <w:num w:numId="5" w16cid:durableId="1967274225">
    <w:abstractNumId w:val="7"/>
  </w:num>
  <w:num w:numId="6" w16cid:durableId="1695616604">
    <w:abstractNumId w:val="3"/>
  </w:num>
  <w:num w:numId="7" w16cid:durableId="964241051">
    <w:abstractNumId w:val="2"/>
  </w:num>
  <w:num w:numId="8" w16cid:durableId="1871919472">
    <w:abstractNumId w:val="1"/>
  </w:num>
  <w:num w:numId="9" w16cid:durableId="48451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0F8"/>
    <w:rsid w:val="0015074B"/>
    <w:rsid w:val="00235A19"/>
    <w:rsid w:val="0029639D"/>
    <w:rsid w:val="00326F90"/>
    <w:rsid w:val="00550C10"/>
    <w:rsid w:val="007318FA"/>
    <w:rsid w:val="00AA1D8D"/>
    <w:rsid w:val="00B47730"/>
    <w:rsid w:val="00CB0664"/>
    <w:rsid w:val="00D90A45"/>
    <w:rsid w:val="00E24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C01C3"/>
  <w14:defaultImageDpi w14:val="300"/>
  <w15:docId w15:val="{5553B4BA-EFE7-40C1-B79E-5E0D25D4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Firas Alshakhatreh</cp:lastModifiedBy>
  <cp:revision>3</cp:revision>
  <dcterms:created xsi:type="dcterms:W3CDTF">2025-03-23T20:27:00Z</dcterms:created>
  <dcterms:modified xsi:type="dcterms:W3CDTF">2025-03-24T19:44:00Z</dcterms:modified>
  <cp:category/>
</cp:coreProperties>
</file>