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1357313" cy="1357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sz w:val="48"/>
          <w:szCs w:val="4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КОНСТИТУЦИЯ СООБЩЕСТВА “СТРИЖ”</w:t>
      </w:r>
      <w:r w:rsidDel="00000000" w:rsidR="00000000" w:rsidRPr="00000000">
        <w:rPr>
          <w:rFonts w:ascii="Verdana" w:cs="Verdana" w:eastAsia="Verdana" w:hAnsi="Verdana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Constitution of the Community </w:t>
      </w: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"Swift"</w:t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社区宪法“斯威夫特”</w:t>
      </w:r>
    </w:p>
    <w:p w:rsidR="00000000" w:rsidDel="00000000" w:rsidP="00000000" w:rsidRDefault="00000000" w:rsidRPr="00000000" w14:paraId="00000007">
      <w:pPr>
        <w:bidi w:val="1"/>
        <w:spacing w:after="200" w:lineRule="auto"/>
        <w:jc w:val="center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دستور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الجماعة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1"/>
        </w:rPr>
        <w:t xml:space="preserve">سويفت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Конституция Сообщества «Стриж»</w:t>
      </w:r>
    </w:p>
    <w:p w:rsidR="00000000" w:rsidDel="00000000" w:rsidP="00000000" w:rsidRDefault="00000000" w:rsidRPr="00000000" w14:paraId="00000009">
      <w:pPr>
        <w:spacing w:after="200" w:lineRule="auto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Constitución de la comunidad "Vencejo"</w:t>
      </w:r>
    </w:p>
    <w:p w:rsidR="00000000" w:rsidDel="00000000" w:rsidP="00000000" w:rsidRDefault="00000000" w:rsidRPr="00000000" w14:paraId="0000000A">
      <w:pPr>
        <w:spacing w:after="200" w:lineRule="auto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Constitution de la communauté "Martinet"</w:t>
      </w:r>
    </w:p>
    <w:p w:rsidR="00000000" w:rsidDel="00000000" w:rsidP="00000000" w:rsidRDefault="00000000" w:rsidRPr="00000000" w14:paraId="0000000B">
      <w:pPr>
        <w:spacing w:after="20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Verfassung der Gemeinschaft "Segler"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-40.8661417322827" w:hanging="283.46456692913375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I – Хартия Сообщества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Мы люди Земли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серебряного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возраста объединяемся для взаимопомощи в труде и жизни, и ликвидации личной и мировой бедности.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II – Сообщество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Сообщество есть глобальное сетевое объединение людей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серебряного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возраста всего мира для реализации идей Хартии Сообщества.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Сообщество это добровольное движение людей, находящихся в постоянном процессе созидания совместной,  ненасильственной, поддерживающей, экологической и автономной социально-экономической экосистемы для перехода на альтернативные модели организации людей, основанных на справедливости и равном благоденствии каждого человека.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Цель объединения в Сообщество: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восстановление востребованности людей серебряного возраста как личностей, через  само и взаимо образование, переподготовку и приспособление к изменениям на мировом рынкам труда и повышение внутренней самооценки;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снижение смертности через изменение образа жизни, образование, культуру и налаживания общения внутри Сообщества и вне между разными поколениями людей.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Конституция Сообщества является многопользовательским смарт-контрактом, заключенными добровольно Членами Сообщества.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Членами Сообщества (Член) являются все без исключения люди, обоего пола, всех рас и вероисповеданий, любого состояния здоровья, но достигшие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серебряного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возраста, его величина указана в отдельной статье настоящей Конституции, прошедшие верификацию по законодательству страны своего гражданства, прочитавшие и принявшие настоящую Конституцию в целом,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  подписанием Рикардианского смарт - контракта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Конституция считается принятой, когда Член подписывает транзакцию, указанного Рикардианского смарт - контракта, и при этом указанная транзакция будет одномоментно включена в блокчейн.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Форма объединения Членов Сообщества - Децентрализованная Автономная Организация (ДАО) в виде Децентрализованной Автономной Корпорации (ДАК), {Decentralized Autonomous Organizations (DAO), Decentralized Autonomous Corporation (DAC)}.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Основная цель существования Децентрализованной Автономной Корпорации (ДАК) - организация, поддержание жизнеобеспечения и развитие самоорганизующейся экосистемы создания общественных благ для своих Членов.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III – Отсутствие инициации насилия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Члены не должны инициировать насилие или угрозу насилия в отношении другого Члена. Законное преследование совершившего преступление с целью сохранения жизни, свободы и собственности не подразумевает инициацию насилия.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IV – Запрет на покупку голосов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Ни один из Членов сообщества не должен предлагать или принимать ничего ценного в обмен на свой голос в любом виде, равно как и никто из Членов не должен оказывать влияния на процесс голосования другого.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V – Запрет на введение в заблуждение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Члены несут ответственность за убытки, вызванные ложными или вводящими в заблуждение оценочными суждениями и действиями, и должны быть лишены каких-либо благ, полученных ими таким образом.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VI –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Справедливость и право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Все права и обязанности Членов являются взаимными, обоюдными и одинаково ценными и затратными для всех сторон без исключения.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VII – Отсутствие солидарной ответственности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Члены Сообщества не отвечают по его обязательствам, равно Сообщество не отвечает по обязательствам его Членов.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У этого Сообщества нет владельцев, менеджеров и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доверенных 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VIII – Реституция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Каждый Член соглашается с тем, что наказания за нарушение Конституции, условий заключенных смарт-контрактов с Сообществом в лице ДАК и Членов,  могут включать, но не ограничиваться таковыми, штрафы и другие реституции.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IX – Возраст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 настоящее время, на 1 января 2019 года,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еребряный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возраст определяется в 50 (пятьдесят) полных земных лет.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 – Язык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Многоязычные тексты документов и смарт-контракты должны указывать один преобладающий язык на случай возникновения спора, и автор любого перевода должен нести ответственность за ущерб, причиненный его ложным, вводящим в заблуждение или неоднозначным утвержденным переводом.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XI – Разрешение споров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Все споры, возникающие в связи с настоящей Конституцией или в связи с этой Конституцией, должны быть окончательно урегулированы в соответствии с Правилами разрешения споров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в Арбитражной системе Децентрализованной Автономной Корпорации (ДАК), создаваемой согласно п.7 Статья II настоящей Конституции.  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XII – Выбор закона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Выбор закона для разрешения споров должен быть продиктован в порядке приоритета настоящей Конституцией или Максимами справедливости.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XIII –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О внутреннем средстве мены Пенс (Pens)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Сообщество для нужд открытого бартерного обмена между Членами в режимах C2C, B2C, B2B, использует цифровой инструмент, универсальный смарт-контракт, на базе технологии блокчейн.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Смарт-контракт осуществляющий гражданско-правовой договор мены между Членами называется “токен Пенс” (token Pens/Pe/PSP).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Смарт-контракт, “токен Пенс” (сокращенно Пенс) использует в качестве единицы размерности Big Mac Индекс, публикуемый The Economist с 1986 года. Данные оракул берет с ресурса: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https://www.statista.com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Для Членов разных гражданских юрисдикций применяется Big Mac Индекс соответствующий этой страновой юрисдикции гражданства Члена.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Члены не являющиеся гражданами ни одной из страновой юрисдикций, выбирает ее самостоятельно. Смена Членами не гражданами  юрисдикций допустима не чаще 1 (один) раз в год.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Транзакции Пенсов между Членами являются бесплатными.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Сообщество способствует использованию Пенс  в качестве резерва и для реальных экономических обменов между его Членами. Цифровой Пенс является децентрализованным, независимым, экологичным, справедливым  и существует для общего блага Членов.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XIV –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О начислениях в Пенс (Pens/Pe/PSP)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Членам с момента подписания Конституции, начинает начисляться Безусловный Основной Доход (БОД/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UBI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). БОД/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UBI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определяется из расчета 40 Пенс в неделю и начисляется еженедельно, каждый четверг  между 23:00 UTC и 23:59 UTC.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Конституцией принята минимальная оплата труда в 1 (один) Пенс в час, при  разрешенной рабочей неделе не более 40 (сорок) часов.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Члены берут на себя обязательства о том, что, выступая как работодатель или работник, они не будут платить или согласны получать менее минимальной оплаты труда, принятой настоящей Конституцией.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Конституция рекомендует Членам в качестве ориентира, справедливую оплату труда не менее в 2 (два) Пенса в час, при  разрешенной рабочей неделе не более 40 (сорок) часов. 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XVI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О голосовании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Голосование  является главным, основополагающим принципом управления и принятие решений в Сообществе: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Прямое управление голосованием на ежегодных Общих Собраниях всех Членов, один Член - один голос.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Делегированное управление голосованием - выбор исполнительных органов ДАК (DAC) путем резервирования токенов определенному Члену Сообщества, кандидату в исполнительные органы ДАК (DAC) - один токен - один голос.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Все решения, принятые органами управления ДАК (DAC) и все операции ДАК (DAC), будут открытыми и прозрачными.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XVII – Делимость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Если какая-либо часть этой Конституции объявляется неосуществимой или недействительной, то ее оставшаяся часть будет по-прежнему действительной и подлежащей исполнению.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XVIII –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Внесение изменений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Настоящая Конституция и подведомственные ей документы не могут быть изменены никоим образом, кроме как путем голосования Членов: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Изменение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настоящей Конституции не могут быть произведены ранее, чем через 36 месяцев с даты начала функционирования  Децентрализованной Автономной Корпорации.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Далее указанного выше срока, будет принят Регламент  голосования Членов, определяющий возможность изменения Статей Конституции.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XIX – Экземпляры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Данная Конституция может исполняться при любом количестве экземпляров, каждый из которых при исполнении и вручении представляет собой дубликат оригинала, однако все экземпляры вместе представляют собой единое соглашение.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Статья XX – Промежуточный вариант конституции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Эта конституция является промежуточным вариантом, который должен оставаться в силе до тех пор, пока не будет написана и ратифицирована на референдуме постоянная Конституция.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>
        <w:rtl w:val="0"/>
      </w:rPr>
      <w:t xml:space="preserve">Наименование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на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шести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языках</w:t>
    </w:r>
    <w:r w:rsidDel="00000000" w:rsidR="00000000" w:rsidRPr="00000000">
      <w:rPr>
        <w:rtl w:val="0"/>
      </w:rPr>
      <w:t xml:space="preserve">, </w:t>
    </w:r>
    <w:r w:rsidDel="00000000" w:rsidR="00000000" w:rsidRPr="00000000">
      <w:rPr>
        <w:rtl w:val="0"/>
      </w:rPr>
      <w:t xml:space="preserve">принятых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в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ООН</w:t>
    </w:r>
    <w:r w:rsidDel="00000000" w:rsidR="00000000" w:rsidRPr="00000000">
      <w:rPr>
        <w:rtl w:val="0"/>
      </w:rPr>
      <w:br w:type="textWrapping"/>
      <w:t xml:space="preserve">| </w:t>
    </w:r>
    <w:r w:rsidDel="00000000" w:rsidR="00000000" w:rsidRPr="00000000">
      <w:rPr>
        <w:rtl w:val="0"/>
      </w:rPr>
      <w:t xml:space="preserve">English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汉语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rtl w:val="0"/>
      </w:rPr>
      <w:t xml:space="preserve">Русский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rtl w:val="1"/>
      </w:rPr>
      <w:t xml:space="preserve">العربية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rtl w:val="0"/>
      </w:rPr>
      <w:t xml:space="preserve">Español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rtl w:val="0"/>
      </w:rPr>
      <w:t xml:space="preserve">Français</w:t>
    </w:r>
    <w:r w:rsidDel="00000000" w:rsidR="00000000" w:rsidRPr="00000000">
      <w:rPr>
        <w:rtl w:val="0"/>
      </w:rPr>
      <w:t xml:space="preserve"> | </w:t>
    </w:r>
    <w:r w:rsidDel="00000000" w:rsidR="00000000" w:rsidRPr="00000000">
      <w:rPr>
        <w:rtl w:val="0"/>
      </w:rPr>
      <w:t xml:space="preserve">Deutsch</w:t>
    </w:r>
    <w:r w:rsidDel="00000000" w:rsidR="00000000" w:rsidRPr="00000000">
      <w:rPr>
        <w:rtl w:val="0"/>
      </w:rPr>
      <w:t xml:space="preserve"> | </w:t>
    </w:r>
  </w:p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200" w:line="360" w:lineRule="auto"/>
      <w:jc w:val="left"/>
      <w:rPr/>
    </w:pPr>
    <w:r w:rsidDel="00000000" w:rsidR="00000000" w:rsidRPr="00000000">
      <w:rPr>
        <w:rtl w:val="0"/>
      </w:rPr>
      <w:t xml:space="preserve">На русском языке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200" w:line="360" w:lineRule="auto"/>
      <w:jc w:val="right"/>
      <w:rPr/>
    </w:pPr>
    <w:r w:rsidDel="00000000" w:rsidR="00000000" w:rsidRPr="00000000">
      <w:rPr>
        <w:rFonts w:ascii="Verdana" w:cs="Verdana" w:eastAsia="Verdana" w:hAnsi="Verdana"/>
        <w:sz w:val="24"/>
        <w:szCs w:val="24"/>
        <w:rtl w:val="0"/>
      </w:rPr>
      <w:t xml:space="preserve">Драфт Автор </w:t>
    </w:r>
    <w:r w:rsidDel="00000000" w:rsidR="00000000" w:rsidRPr="00000000">
      <w:rPr>
        <w:rFonts w:ascii="Verdana" w:cs="Verdana" w:eastAsia="Verdana" w:hAnsi="Verdana"/>
        <w:i w:val="1"/>
        <w:color w:val="0000ff"/>
        <w:sz w:val="24"/>
        <w:szCs w:val="24"/>
        <w:rtl w:val="0"/>
      </w:rPr>
      <w:t xml:space="preserve">VP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tatista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