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34"/>
          <w:szCs w:val="34"/>
        </w:rPr>
      </w:pPr>
      <w:bookmarkStart w:colFirst="0" w:colLast="0" w:name="_aykq5z3t86oj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34"/>
          <w:szCs w:val="34"/>
          <w:rtl w:val="0"/>
        </w:rPr>
        <w:t xml:space="preserve">Security Risk Assessment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4agwmjxzytug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date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esv3e2co2zvn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(time or version)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12" w:lineRule="auto"/>
        <w:rPr/>
      </w:pPr>
      <w:bookmarkStart w:colFirst="0" w:colLast="0" w:name="_r8oo88ktb9d5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dyg8e466deg8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Summary of the main findings, highest identified risks, overall security posture, and general recommendations.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olz2fntgvyh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u7se2f7lda34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System Description</w:t>
      </w:r>
    </w:p>
    <w:p w:rsidR="00000000" w:rsidDel="00000000" w:rsidP="00000000" w:rsidRDefault="00000000" w:rsidRPr="00000000" w14:paraId="0000000A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Description of organisation and/or environment, infrastructure, services, operational context.</w:t>
      </w:r>
    </w:p>
    <w:p w:rsidR="00000000" w:rsidDel="00000000" w:rsidP="00000000" w:rsidRDefault="00000000" w:rsidRPr="00000000" w14:paraId="0000000B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i6tvmm4oijye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D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Defines assessment boundaries, reviewed systems, testing scope, time period, and referenced frameworks.</w:t>
      </w:r>
    </w:p>
    <w:p w:rsidR="00000000" w:rsidDel="00000000" w:rsidP="00000000" w:rsidRDefault="00000000" w:rsidRPr="00000000" w14:paraId="0000000E">
      <w:pPr>
        <w:spacing w:before="20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me9lnk3updn5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Explains why the assessment was conducted, what assets and/or services require protection, business and/or security importance</w:t>
      </w:r>
    </w:p>
    <w:p w:rsidR="00000000" w:rsidDel="00000000" w:rsidP="00000000" w:rsidRDefault="00000000" w:rsidRPr="00000000" w14:paraId="00000011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evib588x3u0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itfc9xwijnf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color w:val="353744"/>
          <w:sz w:val="26"/>
          <w:szCs w:val="26"/>
        </w:rPr>
      </w:pPr>
      <w:bookmarkStart w:colFirst="0" w:colLast="0" w:name="_pv3alnu601v0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Describes the assessment methodology, testing activities, analysis methods, and applied risk model.</w:t>
      </w:r>
    </w:p>
    <w:p w:rsidR="00000000" w:rsidDel="00000000" w:rsidP="00000000" w:rsidRDefault="00000000" w:rsidRPr="00000000" w14:paraId="00000016">
      <w:pPr>
        <w:spacing w:after="240" w:before="24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018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Describes high-value assets, low-value assets, operationally important assets.</w:t>
      </w:r>
    </w:p>
    <w:p w:rsidR="00000000" w:rsidDel="00000000" w:rsidP="00000000" w:rsidRDefault="00000000" w:rsidRPr="00000000" w14:paraId="00000019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7abaf9frervb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Existing Security Controls</w:t>
      </w:r>
    </w:p>
    <w:p w:rsidR="00000000" w:rsidDel="00000000" w:rsidP="00000000" w:rsidRDefault="00000000" w:rsidRPr="00000000" w14:paraId="0000001B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List of physical, technical and operational controls.</w:t>
      </w:r>
    </w:p>
    <w:p w:rsidR="00000000" w:rsidDel="00000000" w:rsidP="00000000" w:rsidRDefault="00000000" w:rsidRPr="00000000" w14:paraId="0000001C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57ekmu9089yv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2"/>
          <w:szCs w:val="22"/>
        </w:rPr>
      </w:pPr>
      <w:bookmarkStart w:colFirst="0" w:colLast="0" w:name="_rvbjxwpe8stg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2"/>
          <w:szCs w:val="22"/>
          <w:rtl w:val="0"/>
        </w:rPr>
        <w:t xml:space="preserve">Finding name</w:t>
      </w:r>
    </w:p>
    <w:p w:rsidR="00000000" w:rsidDel="00000000" w:rsidP="00000000" w:rsidRDefault="00000000" w:rsidRPr="00000000" w14:paraId="0000001F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Description of the identified issue, potential impact, affected systems, and operational implications.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bzio434wxipa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Risk Assessment</w:t>
      </w:r>
    </w:p>
    <w:tbl>
      <w:tblPr>
        <w:tblStyle w:val="Table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3.013561024611"/>
        <w:gridCol w:w="4362.672024108489"/>
        <w:gridCol w:w="1443.2546459065795"/>
        <w:gridCol w:w="1161.1853340030136"/>
        <w:gridCol w:w="709.8744349573078"/>
        <w:tblGridChange w:id="0">
          <w:tblGrid>
            <w:gridCol w:w="1683.013561024611"/>
            <w:gridCol w:w="4362.672024108489"/>
            <w:gridCol w:w="1443.2546459065795"/>
            <w:gridCol w:w="1161.1853340030136"/>
            <w:gridCol w:w="709.8744349573078"/>
          </w:tblGrid>
        </w:tblGridChange>
      </w:tblGrid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Threat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Threat 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34"/>
          <w:szCs w:val="34"/>
        </w:rPr>
      </w:pPr>
      <w:bookmarkStart w:colFirst="0" w:colLast="0" w:name="_kghux0h9zx1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ibub2zdfakv3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Remediation Strategy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12" w:lineRule="auto"/>
        <w:rPr>
          <w:rFonts w:ascii="Google Sans" w:cs="Google Sans" w:eastAsia="Google Sans" w:hAnsi="Google Sans"/>
          <w:b w:val="1"/>
          <w:bCs w:val="1"/>
          <w:color w:val="353744"/>
          <w:sz w:val="22"/>
          <w:szCs w:val="22"/>
        </w:rPr>
      </w:pPr>
      <w:bookmarkStart w:colFirst="0" w:colLast="0" w:name="_nqfdpxqcq5n2" w:id="18"/>
      <w:bookmarkEnd w:id="1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2"/>
          <w:szCs w:val="22"/>
          <w:rtl w:val="0"/>
        </w:rPr>
        <w:t xml:space="preserve">Finding name</w:t>
      </w:r>
    </w:p>
    <w:p w:rsidR="00000000" w:rsidDel="00000000" w:rsidP="00000000" w:rsidRDefault="00000000" w:rsidRPr="00000000" w14:paraId="0000002E">
      <w:pPr>
        <w:spacing w:before="20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Actual remediation strategy. </w:t>
      </w:r>
    </w:p>
    <w:p w:rsidR="00000000" w:rsidDel="00000000" w:rsidP="00000000" w:rsidRDefault="00000000" w:rsidRPr="00000000" w14:paraId="0000002F">
      <w:pPr>
        <w:spacing w:before="20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40"/>
        <w:gridCol w:w="4800"/>
        <w:gridCol w:w="3345"/>
        <w:tblGridChange w:id="0">
          <w:tblGrid>
            <w:gridCol w:w="1140"/>
            <w:gridCol w:w="4800"/>
            <w:gridCol w:w="3345"/>
          </w:tblGrid>
        </w:tblGridChange>
      </w:tblGrid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200" w:line="312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35374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5374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hixbvttwwmx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bqevqbjz0crk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Residual Risk</w:t>
      </w:r>
    </w:p>
    <w:p w:rsidR="00000000" w:rsidDel="00000000" w:rsidP="00000000" w:rsidRDefault="00000000" w:rsidRPr="00000000" w14:paraId="00000039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Description of remaining unavoidable risks, accepted risks and operational limitations,</w:t>
      </w:r>
    </w:p>
    <w:p w:rsidR="00000000" w:rsidDel="00000000" w:rsidP="00000000" w:rsidRDefault="00000000" w:rsidRPr="00000000" w14:paraId="0000003A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12" w:lineRule="auto"/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</w:rPr>
      </w:pPr>
      <w:bookmarkStart w:colFirst="0" w:colLast="0" w:name="_7sd84f52etvk" w:id="21"/>
      <w:bookmarkEnd w:id="2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Assumptions and Limitations</w:t>
      </w:r>
    </w:p>
    <w:p w:rsidR="00000000" w:rsidDel="00000000" w:rsidP="00000000" w:rsidRDefault="00000000" w:rsidRPr="00000000" w14:paraId="0000003C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Describes what was not tested, testing limitations and assumptions made.</w:t>
      </w:r>
    </w:p>
    <w:p w:rsidR="00000000" w:rsidDel="00000000" w:rsidP="00000000" w:rsidRDefault="00000000" w:rsidRPr="00000000" w14:paraId="0000003D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color w:val="00ab44"/>
          <w:sz w:val="28"/>
          <w:szCs w:val="28"/>
        </w:rPr>
      </w:pPr>
      <w:bookmarkStart w:colFirst="0" w:colLast="0" w:name="_wso6vuyy6th2" w:id="22"/>
      <w:bookmarkEnd w:id="2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12" w:lineRule="auto"/>
        <w:rPr>
          <w:rFonts w:ascii="Google Sans" w:cs="Google Sans" w:eastAsia="Google Sans" w:hAnsi="Google Sans"/>
          <w:i w:val="1"/>
          <w:iCs w:val="1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353744"/>
          <w:rtl w:val="0"/>
        </w:rPr>
        <w:t xml:space="preserve">References to frameworks, methodologies, standards, protocols, and other relevant resources used during the assessment.</w:t>
      </w:r>
    </w:p>
    <w:p w:rsidR="00000000" w:rsidDel="00000000" w:rsidP="00000000" w:rsidRDefault="00000000" w:rsidRPr="00000000" w14:paraId="00000040">
      <w:pPr>
        <w:spacing w:after="240" w:before="240" w:line="312" w:lineRule="auto"/>
        <w:rPr>
          <w:rFonts w:ascii="Google Sans" w:cs="Google Sans" w:eastAsia="Google Sans" w:hAnsi="Google Sans"/>
          <w:i w:val="1"/>
          <w:iCs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color w:val="00ab44"/>
          <w:sz w:val="28"/>
          <w:szCs w:val="28"/>
        </w:rPr>
      </w:pPr>
      <w:bookmarkStart w:colFirst="0" w:colLast="0" w:name="_d0jr8mv1ehsk" w:id="23"/>
      <w:bookmarkEnd w:id="2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53744"/>
          <w:sz w:val="26"/>
          <w:szCs w:val="26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Fonts w:ascii="Google Sans" w:cs="Google Sans" w:eastAsia="Google Sans" w:hAnsi="Google Sans"/>
          <w:color w:val="353744"/>
          <w:rtl w:val="0"/>
        </w:rPr>
        <w:t xml:space="preserve">Complete overview of main findings, highest and moderate risks, overall security posture and specific recommendation.</w:t>
      </w:r>
    </w:p>
    <w:p w:rsidR="00000000" w:rsidDel="00000000" w:rsidP="00000000" w:rsidRDefault="00000000" w:rsidRPr="00000000" w14:paraId="00000043">
      <w:pPr>
        <w:spacing w:after="240" w:before="240" w:line="312" w:lineRule="auto"/>
        <w:rPr>
          <w:rFonts w:ascii="Google Sans" w:cs="Google Sans" w:eastAsia="Google Sans" w:hAnsi="Google Sans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