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THỰC HÀNH THIẾT KẾ ERD QUẢN LÝ CĂN HỘ CHO THUÊ</w:t>
      </w:r>
    </w:p>
    <w:p>
      <w:pPr>
        <w:jc w:val="center"/>
      </w:pPr>
      <w:r>
        <w:t>RIKKEIREALTY</w:t>
      </w:r>
    </w:p>
    <w:p>
      <w:pPr>
        <w:pStyle w:val="Heading1"/>
      </w:pPr>
      <w:r>
        <w:t>1. Xác định Entity, Attribute và khóa chính</w:t>
      </w:r>
    </w:p>
    <w:tbl>
      <w:tblPr>
        <w:tblStyle w:val="TableGrid"/>
        <w:tblW w:type="auto" w:w="0"/>
        <w:tblLook w:firstColumn="1" w:firstRow="1" w:lastColumn="0" w:lastRow="0" w:noHBand="0" w:noVBand="1" w:val="04A0"/>
      </w:tblPr>
      <w:tblGrid>
        <w:gridCol w:w="2880"/>
        <w:gridCol w:w="2880"/>
        <w:gridCol w:w="2880"/>
      </w:tblGrid>
      <w:tr>
        <w:tc>
          <w:tcPr>
            <w:tcW w:type="dxa" w:w="2880"/>
          </w:tcPr>
          <w:p>
            <w:r>
              <w:t>Entity</w:t>
            </w:r>
          </w:p>
        </w:tc>
        <w:tc>
          <w:tcPr>
            <w:tcW w:type="dxa" w:w="2880"/>
          </w:tcPr>
          <w:p>
            <w:r>
              <w:t>Attribute cần lưu</w:t>
            </w:r>
          </w:p>
        </w:tc>
        <w:tc>
          <w:tcPr>
            <w:tcW w:type="dxa" w:w="2880"/>
          </w:tcPr>
          <w:p>
            <w:r>
              <w:t>Khóa chính (PK)</w:t>
            </w:r>
          </w:p>
        </w:tc>
      </w:tr>
      <w:tr>
        <w:tc>
          <w:tcPr>
            <w:tcW w:type="dxa" w:w="2880"/>
          </w:tcPr>
          <w:p>
            <w:r>
              <w:t>CAN_HO</w:t>
            </w:r>
          </w:p>
        </w:tc>
        <w:tc>
          <w:tcPr>
            <w:tcW w:type="dxa" w:w="2880"/>
          </w:tcPr>
          <w:p>
            <w:r>
              <w:t>MaCH, DienTich, SoTang, MaKhuVuc</w:t>
            </w:r>
          </w:p>
        </w:tc>
        <w:tc>
          <w:tcPr>
            <w:tcW w:type="dxa" w:w="2880"/>
          </w:tcPr>
          <w:p>
            <w:r>
              <w:t>MaCH</w:t>
            </w:r>
          </w:p>
        </w:tc>
      </w:tr>
      <w:tr>
        <w:tc>
          <w:tcPr>
            <w:tcW w:type="dxa" w:w="2880"/>
          </w:tcPr>
          <w:p>
            <w:r>
              <w:t>HOP_DONG_THUE</w:t>
            </w:r>
          </w:p>
        </w:tc>
        <w:tc>
          <w:tcPr>
            <w:tcW w:type="dxa" w:w="2880"/>
          </w:tcPr>
          <w:p>
            <w:r>
              <w:t>MaHD, NgayBatDau, NgayKetThuc, MaCH</w:t>
            </w:r>
          </w:p>
        </w:tc>
        <w:tc>
          <w:tcPr>
            <w:tcW w:type="dxa" w:w="2880"/>
          </w:tcPr>
          <w:p>
            <w:r>
              <w:t>MaHD</w:t>
            </w:r>
          </w:p>
        </w:tc>
      </w:tr>
      <w:tr>
        <w:tc>
          <w:tcPr>
            <w:tcW w:type="dxa" w:w="2880"/>
          </w:tcPr>
          <w:p>
            <w:r>
              <w:t>KHU_VUC</w:t>
            </w:r>
          </w:p>
        </w:tc>
        <w:tc>
          <w:tcPr>
            <w:tcW w:type="dxa" w:w="2880"/>
          </w:tcPr>
          <w:p>
            <w:r>
              <w:t>MaKhuVuc, TenKhuVuc</w:t>
            </w:r>
          </w:p>
        </w:tc>
        <w:tc>
          <w:tcPr>
            <w:tcW w:type="dxa" w:w="2880"/>
          </w:tcPr>
          <w:p>
            <w:r>
              <w:t>MaKhuVuc</w:t>
            </w:r>
          </w:p>
        </w:tc>
      </w:tr>
    </w:tbl>
    <w:p>
      <w:pPr>
        <w:pStyle w:val="Heading1"/>
      </w:pPr>
      <w:r>
        <w:t>2. Quan hệ và khóa ngoại</w:t>
      </w:r>
    </w:p>
    <w:p>
      <w:r>
        <w:t>KHU_VUC (1) — (0..N) CAN_HO: một khu vực có thể chưa có hoặc có nhiều căn hộ; mỗi căn hộ thuộc đúng một khu vực. CAN_HO.MaKhuVuc là FK tham chiếu KHU_VUC.MaKhuVuc và NOT NULL.</w:t>
      </w:r>
    </w:p>
    <w:p>
      <w:r>
        <w:t>CAN_HO (1) — (0..1) HOP_DONG_THUE: căn hộ có thể chưa có hoặc có tối đa một hợp đồng thuê hiệu lực; mỗi hợp đồng thuộc đúng một căn hộ. HOP_DONG_THUE.MaCH là FK NOT NULL và UNIQUE tham chiếu CAN_HO.MaCH.</w:t>
      </w:r>
    </w:p>
    <w:p>
      <w:pPr>
        <w:pStyle w:val="Heading1"/>
      </w:pPr>
      <w:r>
        <w:t>3. Rà soát chuẩn hóa bảng nháp</w:t>
      </w:r>
    </w:p>
    <w:p>
      <w:r>
        <w:t>Bảng nháp: MaCH, DienTich, MaKhuVuc, TenKhuVuc. Khóa của bảng là MaCH. Có phụ thuộc MaCH → MaKhuVuc và MaKhuVuc → TenKhuVuc, nên TenKhuVuc phụ thuộc bắc cầu vào MaCH thông qua MaKhuVuc.</w:t>
      </w:r>
    </w:p>
    <w:p>
      <w:r>
        <w:t>Cột TenKhuVuc bị lặp theo từng căn hộ cùng khu vực, gây dư thừa và nguy cơ không nhất quán khi cập nhật. Trong thiết kế tách bảng, thông tin tên khu vực được lưu tại KHU_VUC, không lưu lặp trong CAN_HO.</w:t>
      </w:r>
    </w:p>
    <w:p>
      <w:pPr>
        <w:pStyle w:val="Heading1"/>
      </w:pPr>
      <w:r>
        <w:t>4. Lược đồ sau chuẩn hóa (3NF)</w:t>
      </w:r>
    </w:p>
    <w:p>
      <w:r>
        <w:t>KHU_VUC(MaKhuVuc PK, TenKhuVuc)</w:t>
      </w:r>
    </w:p>
    <w:p>
      <w:r>
        <w:t>CAN_HO(MaCH PK, DienTich, SoTang, MaKhuVuc FK)</w:t>
      </w:r>
    </w:p>
    <w:p>
      <w:r>
        <w:t>HOP_DONG_THUE(MaHD PK, NgayBatDau, NgayKetThuc, MaCH FK UNIQUE)</w:t>
      </w:r>
    </w:p>
    <w:p>
      <w:pPr>
        <w:pStyle w:val="Heading1"/>
      </w:pPr>
      <w:r>
        <w:t>5. Dữ liệu mẫu sau tách bảng</w:t>
      </w:r>
    </w:p>
    <w:p>
      <w:r>
        <w:t>KHU_VUC: (KV01, Quận 1), (KV02, Quận 7).</w:t>
      </w:r>
    </w:p>
    <w:p>
      <w:r>
        <w:t>CAN_HO: (CH01, 45, [SoTang], KV01), (CH02, 60, [SoTang], KV01), (CH03, 50, [SoTang], KV02).</w:t>
      </w:r>
    </w:p>
    <w:p>
      <w:r>
        <w:t>SoTang không có trong bảng nháp mẫu nên cần bổ sung giá trị khi có dữ liệu thực tế. HOP_DONG_THUE chưa có dữ liệu mẫu.</w:t>
      </w:r>
    </w:p>
    <w:p>
      <w:r>
        <w:t>Lưu ý: UNIQUE trên MaCH trong HOP_DONG_THUE đảm bảo mỗi căn hộ tối đa một hợp đồng được lưu theo mô hình này. Nếu cần lưu lịch sử nhiều hợp đồng đã hết hạn, cần mô hình hóa riêng hợp đồng lịch sử và ràng buộc chỉ một hợp đồng đang hiệu lực.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