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555555"/>
          <w:sz w:val="26"/>
        </w:rPr>
        <w:t>BÁO CÁO KỸ THUẬT - YÊU CẦU 2</w:t>
      </w:r>
    </w:p>
    <w:p>
      <w:pPr>
        <w:spacing w:before="40" w:after="280"/>
        <w:jc w:val="center"/>
      </w:pPr>
      <w:r>
        <w:rPr>
          <w:rFonts w:ascii="Calibri" w:hAnsi="Calibri"/>
          <w:b/>
          <w:color w:val="1B447A"/>
          <w:sz w:val="32"/>
        </w:rPr>
        <w:t>THIẾT LẬP CẤU TRÚC THƯ MỤC VÀ PHÂN LỚP HỆ THỐNG</w:t>
        <w:br/>
        <w:t>THEO TIÊU CHUẨN KIẾN TRÚC CASHEW</w:t>
      </w:r>
    </w:p>
    <w:tbl>
      <w:tblPr>
        <w:tblW w:type="auto" w:w="0"/>
        <w:jc w:val="center"/>
        <w:tblLook w:firstColumn="1" w:firstRow="1" w:lastColumn="0" w:lastRow="0" w:noHBand="0" w:noVBand="1" w:val="04A0"/>
      </w:tblPr>
      <w:tblGrid>
        <w:gridCol w:w="4824"/>
        <w:gridCol w:w="4824"/>
      </w:tblGrid>
      <w:tr>
        <w:tc>
          <w:tcPr>
            <w:tcW w:type="dxa" w:w="4824"/>
            <w:shd w:fill="F9FAFB"/>
            <w:tcMar>
              <w:top w:w="60" w:type="dxa"/>
              <w:bottom w:w="60" w:type="dxa"/>
              <w:left w:w="120" w:type="dxa"/>
              <w:right w:w="120" w:type="dxa"/>
            </w:tcMar>
          </w:tcPr>
          <w:p>
            <w:r>
              <w:rPr>
                <w:rFonts w:ascii="Calibri" w:hAnsi="Calibri"/>
                <w:b/>
                <w:color w:val="1B447A"/>
                <w:sz w:val="19"/>
              </w:rPr>
              <w:t>Đề tài áp dụng:</w:t>
            </w:r>
          </w:p>
        </w:tc>
        <w:tc>
          <w:tcPr>
            <w:tcW w:type="dxa" w:w="4824"/>
            <w:shd w:fill="F9FAFB"/>
            <w:tcMar>
              <w:top w:w="60" w:type="dxa"/>
              <w:bottom w:w="60" w:type="dxa"/>
              <w:left w:w="120" w:type="dxa"/>
              <w:right w:w="120" w:type="dxa"/>
            </w:tcMar>
          </w:tcPr>
          <w:p>
            <w:r>
              <w:rPr>
                <w:rFonts w:ascii="Calibri" w:hAnsi="Calibri"/>
                <w:b w:val="0"/>
                <w:color w:val="333333"/>
                <w:sz w:val="19"/>
              </w:rPr>
              <w:t>Ứng dụng Quản lý Tài liệu Học tập (Study Document Manager)</w:t>
            </w:r>
          </w:p>
        </w:tc>
      </w:tr>
      <w:tr>
        <w:tc>
          <w:tcPr>
            <w:tcW w:type="dxa" w:w="4824"/>
            <w:shd w:fill="F9FAFB"/>
            <w:tcMar>
              <w:top w:w="60" w:type="dxa"/>
              <w:bottom w:w="60" w:type="dxa"/>
              <w:left w:w="120" w:type="dxa"/>
              <w:right w:w="120" w:type="dxa"/>
            </w:tcMar>
          </w:tcPr>
          <w:p>
            <w:r>
              <w:rPr>
                <w:rFonts w:ascii="Calibri" w:hAnsi="Calibri"/>
                <w:b/>
                <w:color w:val="1B447A"/>
                <w:sz w:val="19"/>
              </w:rPr>
              <w:t>Nhiệm vụ thực hiện:</w:t>
            </w:r>
          </w:p>
        </w:tc>
        <w:tc>
          <w:tcPr>
            <w:tcW w:type="dxa" w:w="4824"/>
            <w:shd w:fill="F9FAFB"/>
            <w:tcMar>
              <w:top w:w="60" w:type="dxa"/>
              <w:bottom w:w="60" w:type="dxa"/>
              <w:left w:w="120" w:type="dxa"/>
              <w:right w:w="120" w:type="dxa"/>
            </w:tcMar>
          </w:tcPr>
          <w:p>
            <w:r>
              <w:rPr>
                <w:rFonts w:ascii="Calibri" w:hAnsi="Calibri"/>
                <w:b w:val="0"/>
                <w:color w:val="333333"/>
                <w:sz w:val="19"/>
              </w:rPr>
              <w:t>Yêu cầu 2: Chuẩn hóa cấu trúc Package/Folder, phân định ranh giới Layer</w:t>
            </w:r>
          </w:p>
        </w:tc>
      </w:tr>
    </w:tbl>
    <w:p>
      <w:pPr>
        <w:spacing w:after="120"/>
      </w:pPr>
    </w:p>
    <w:p>
      <w:pPr>
        <w:keepNext/>
        <w:spacing w:before="280" w:after="80"/>
      </w:pPr>
      <w:r>
        <w:rPr>
          <w:rFonts w:ascii="Calibri" w:hAnsi="Calibri"/>
          <w:b/>
          <w:color w:val="1B447A"/>
          <w:sz w:val="26"/>
        </w:rPr>
        <w:t>1. TIÊU CHUẨN THIẾT KẾ PHÂN LỚP THEO KIẾN TRÚC CASHEW</w:t>
      </w:r>
    </w:p>
    <w:p>
      <w:pPr>
        <w:spacing w:before="40" w:after="80" w:line="276" w:lineRule="auto"/>
      </w:pPr>
      <w:r>
        <w:rPr>
          <w:rFonts w:ascii="Calibri" w:hAnsi="Calibri"/>
          <w:color w:val="333333"/>
          <w:sz w:val="21"/>
        </w:rPr>
        <w:t>Ứng dụng Cashew phân tách hệ thống thành 4 lớp chuyên biệt theo nguyên lý Separation of Concerns (SoC) kết hợp kiến trúc Local-First. Để đáp ứng tính mô-đun hóa và khả năng mở rộng, cấu trúc dự án Quản lý Tài liệu Học tập được tổ chức theo ma trận phân lớp chuẩn hóa dưới đây:</w:t>
      </w:r>
    </w:p>
    <w:tbl>
      <w:tblPr>
        <w:tblW w:type="auto" w:w="0"/>
        <w:jc w:val="center"/>
        <w:tblLook w:firstColumn="1" w:firstRow="1" w:lastColumn="0" w:lastRow="0" w:noHBand="0" w:noVBand="1" w:val="04A0"/>
      </w:tblPr>
      <w:tblGrid>
        <w:gridCol w:w="2412"/>
        <w:gridCol w:w="2412"/>
        <w:gridCol w:w="2412"/>
        <w:gridCol w:w="2412"/>
      </w:tblGrid>
      <w:tr>
        <w:tc>
          <w:tcPr>
            <w:tcW w:type="dxa" w:w="2412"/>
            <w:shd w:fill="1B447A"/>
            <w:tcMar>
              <w:top w:w="80" w:type="dxa"/>
              <w:bottom w:w="80" w:type="dxa"/>
              <w:left w:w="90" w:type="dxa"/>
              <w:right w:w="90" w:type="dxa"/>
            </w:tcMar>
          </w:tcPr>
          <w:p>
            <w:pPr>
              <w:jc w:val="center"/>
            </w:pPr>
            <w:r>
              <w:rPr>
                <w:rFonts w:ascii="Calibri" w:hAnsi="Calibri"/>
                <w:b/>
                <w:color w:val="FFFFFF"/>
                <w:sz w:val="19"/>
              </w:rPr>
              <w:t>Tên Lớp (Layer)</w:t>
            </w:r>
          </w:p>
        </w:tc>
        <w:tc>
          <w:tcPr>
            <w:tcW w:type="dxa" w:w="2412"/>
            <w:shd w:fill="1B447A"/>
            <w:tcMar>
              <w:top w:w="80" w:type="dxa"/>
              <w:bottom w:w="80" w:type="dxa"/>
              <w:left w:w="90" w:type="dxa"/>
              <w:right w:w="90" w:type="dxa"/>
            </w:tcMar>
          </w:tcPr>
          <w:p>
            <w:pPr>
              <w:jc w:val="center"/>
            </w:pPr>
            <w:r>
              <w:rPr>
                <w:rFonts w:ascii="Calibri" w:hAnsi="Calibri"/>
                <w:b/>
                <w:color w:val="FFFFFF"/>
                <w:sz w:val="19"/>
              </w:rPr>
              <w:t>Thư mục tương ứng</w:t>
            </w:r>
          </w:p>
        </w:tc>
        <w:tc>
          <w:tcPr>
            <w:tcW w:type="dxa" w:w="2412"/>
            <w:shd w:fill="1B447A"/>
            <w:tcMar>
              <w:top w:w="80" w:type="dxa"/>
              <w:bottom w:w="80" w:type="dxa"/>
              <w:left w:w="90" w:type="dxa"/>
              <w:right w:w="90" w:type="dxa"/>
            </w:tcMar>
          </w:tcPr>
          <w:p>
            <w:pPr>
              <w:jc w:val="center"/>
            </w:pPr>
            <w:r>
              <w:rPr>
                <w:rFonts w:ascii="Calibri" w:hAnsi="Calibri"/>
                <w:b/>
                <w:color w:val="FFFFFF"/>
                <w:sz w:val="19"/>
              </w:rPr>
              <w:t>Thành phần phụ trách</w:t>
            </w:r>
          </w:p>
        </w:tc>
        <w:tc>
          <w:tcPr>
            <w:tcW w:type="dxa" w:w="2412"/>
            <w:shd w:fill="1B447A"/>
            <w:tcMar>
              <w:top w:w="80" w:type="dxa"/>
              <w:bottom w:w="80" w:type="dxa"/>
              <w:left w:w="90" w:type="dxa"/>
              <w:right w:w="90" w:type="dxa"/>
            </w:tcMar>
          </w:tcPr>
          <w:p>
            <w:pPr>
              <w:jc w:val="center"/>
            </w:pPr>
            <w:r>
              <w:rPr>
                <w:rFonts w:ascii="Calibri" w:hAnsi="Calibri"/>
                <w:b/>
                <w:color w:val="FFFFFF"/>
                <w:sz w:val="19"/>
              </w:rPr>
              <w:t>Trách nhiệm &amp; Ranh giới kỹ thuật</w:t>
            </w:r>
          </w:p>
        </w:tc>
      </w:tr>
      <w:tr>
        <w:tc>
          <w:tcPr>
            <w:tcW w:type="dxa" w:w="2412"/>
            <w:shd w:fill="FFFFFF"/>
            <w:tcMar>
              <w:top w:w="60" w:type="dxa"/>
              <w:bottom w:w="60" w:type="dxa"/>
              <w:left w:w="80" w:type="dxa"/>
              <w:right w:w="80" w:type="dxa"/>
            </w:tcMar>
          </w:tcPr>
          <w:p>
            <w:r>
              <w:rPr>
                <w:rFonts w:ascii="Calibri" w:hAnsi="Calibri"/>
                <w:b/>
                <w:color w:val="1B447A"/>
                <w:sz w:val="18"/>
              </w:rPr>
              <w:t>1. Presentation Layer (Giao diện)</w:t>
            </w:r>
          </w:p>
        </w:tc>
        <w:tc>
          <w:tcPr>
            <w:tcW w:type="dxa" w:w="2412"/>
            <w:shd w:fill="FFFFFF"/>
            <w:tcMar>
              <w:top w:w="60" w:type="dxa"/>
              <w:bottom w:w="60" w:type="dxa"/>
              <w:left w:w="80" w:type="dxa"/>
              <w:right w:w="80" w:type="dxa"/>
            </w:tcMar>
          </w:tcPr>
          <w:p>
            <w:r>
              <w:rPr>
                <w:rFonts w:ascii="Calibri" w:hAnsi="Calibri"/>
                <w:b/>
                <w:color w:val="2A5298"/>
                <w:sz w:val="18"/>
              </w:rPr>
              <w:t>lib/pages/</w:t>
              <w:br/>
              <w:t>lib/widgets/</w:t>
            </w:r>
          </w:p>
        </w:tc>
        <w:tc>
          <w:tcPr>
            <w:tcW w:type="dxa" w:w="2412"/>
            <w:shd w:fill="FFFFFF"/>
            <w:tcMar>
              <w:top w:w="60" w:type="dxa"/>
              <w:bottom w:w="60" w:type="dxa"/>
              <w:left w:w="80" w:type="dxa"/>
              <w:right w:w="80" w:type="dxa"/>
            </w:tcMar>
          </w:tcPr>
          <w:p>
            <w:r>
              <w:rPr>
                <w:rFonts w:ascii="Calibri" w:hAnsi="Calibri"/>
                <w:color w:val="333333"/>
                <w:sz w:val="18"/>
              </w:rPr>
              <w:t>HomePage, AddDocumentPage, NavigationFramework</w:t>
            </w:r>
          </w:p>
        </w:tc>
        <w:tc>
          <w:tcPr>
            <w:tcW w:type="dxa" w:w="2412"/>
            <w:shd w:fill="FFFFFF"/>
            <w:tcMar>
              <w:top w:w="60" w:type="dxa"/>
              <w:bottom w:w="60" w:type="dxa"/>
              <w:left w:w="80" w:type="dxa"/>
              <w:right w:w="80" w:type="dxa"/>
            </w:tcMar>
          </w:tcPr>
          <w:p>
            <w:r>
              <w:rPr>
                <w:rFonts w:ascii="Calibri" w:hAnsi="Calibri"/>
                <w:color w:val="333333"/>
                <w:sz w:val="18"/>
              </w:rPr>
              <w:t>Chỉ chịu trách nhiệm render UI Widgets, tiếp nhận thao tác chạm/vuốt của sinh viên, xử lý Responsive Layout (Mobile BottomBar vs Desktop Sidebar). Tuyệt đối không chứa câu lệnh SQL thô.</w:t>
            </w:r>
          </w:p>
        </w:tc>
      </w:tr>
      <w:tr>
        <w:tc>
          <w:tcPr>
            <w:tcW w:type="dxa" w:w="2412"/>
            <w:shd w:fill="F4F6F9"/>
            <w:tcMar>
              <w:top w:w="60" w:type="dxa"/>
              <w:bottom w:w="60" w:type="dxa"/>
              <w:left w:w="80" w:type="dxa"/>
              <w:right w:w="80" w:type="dxa"/>
            </w:tcMar>
          </w:tcPr>
          <w:p>
            <w:r>
              <w:rPr>
                <w:rFonts w:ascii="Calibri" w:hAnsi="Calibri"/>
                <w:b/>
                <w:color w:val="1B447A"/>
                <w:sz w:val="18"/>
              </w:rPr>
              <w:t>2. State Management &amp; Logic</w:t>
            </w:r>
          </w:p>
        </w:tc>
        <w:tc>
          <w:tcPr>
            <w:tcW w:type="dxa" w:w="2412"/>
            <w:shd w:fill="F4F6F9"/>
            <w:tcMar>
              <w:top w:w="60" w:type="dxa"/>
              <w:bottom w:w="60" w:type="dxa"/>
              <w:left w:w="80" w:type="dxa"/>
              <w:right w:w="80" w:type="dxa"/>
            </w:tcMar>
          </w:tcPr>
          <w:p>
            <w:r>
              <w:rPr>
                <w:rFonts w:ascii="Calibri" w:hAnsi="Calibri"/>
                <w:b/>
                <w:color w:val="2A5298"/>
                <w:sz w:val="18"/>
              </w:rPr>
              <w:t>lib/struct/</w:t>
              <w:br/>
              <w:t>(Provider/State)</w:t>
            </w:r>
          </w:p>
        </w:tc>
        <w:tc>
          <w:tcPr>
            <w:tcW w:type="dxa" w:w="2412"/>
            <w:shd w:fill="F4F6F9"/>
            <w:tcMar>
              <w:top w:w="60" w:type="dxa"/>
              <w:bottom w:w="60" w:type="dxa"/>
              <w:left w:w="80" w:type="dxa"/>
              <w:right w:w="80" w:type="dxa"/>
            </w:tcMar>
          </w:tcPr>
          <w:p>
            <w:r>
              <w:rPr>
                <w:rFonts w:ascii="Calibri" w:hAnsi="Calibri"/>
                <w:color w:val="333333"/>
                <w:sz w:val="18"/>
              </w:rPr>
              <w:t>DocumentNotifier, FilterState, SettingsGlobal</w:t>
            </w:r>
          </w:p>
        </w:tc>
        <w:tc>
          <w:tcPr>
            <w:tcW w:type="dxa" w:w="2412"/>
            <w:shd w:fill="F4F6F9"/>
            <w:tcMar>
              <w:top w:w="60" w:type="dxa"/>
              <w:bottom w:w="60" w:type="dxa"/>
              <w:left w:w="80" w:type="dxa"/>
              <w:right w:w="80" w:type="dxa"/>
            </w:tcMar>
          </w:tcPr>
          <w:p>
            <w:r>
              <w:rPr>
                <w:rFonts w:ascii="Calibri" w:hAnsi="Calibri"/>
                <w:color w:val="333333"/>
                <w:sz w:val="18"/>
              </w:rPr>
              <w:t>Cầu nối trung gian: nhận yêu cầu từ UI, kiểm tra tính toàn vẹn (Validate form, hạn nộp), quản lý luồng dữ liệu phản ứng (Reactive Streams), cập nhật trạng thái toàn cục.</w:t>
            </w:r>
          </w:p>
        </w:tc>
      </w:tr>
      <w:tr>
        <w:tc>
          <w:tcPr>
            <w:tcW w:type="dxa" w:w="2412"/>
            <w:shd w:fill="FFFFFF"/>
            <w:tcMar>
              <w:top w:w="60" w:type="dxa"/>
              <w:bottom w:w="60" w:type="dxa"/>
              <w:left w:w="80" w:type="dxa"/>
              <w:right w:w="80" w:type="dxa"/>
            </w:tcMar>
          </w:tcPr>
          <w:p>
            <w:r>
              <w:rPr>
                <w:rFonts w:ascii="Calibri" w:hAnsi="Calibri"/>
                <w:b/>
                <w:color w:val="1B447A"/>
                <w:sz w:val="18"/>
              </w:rPr>
              <w:t>3. Local Persistence (Lưu trữ)</w:t>
            </w:r>
          </w:p>
        </w:tc>
        <w:tc>
          <w:tcPr>
            <w:tcW w:type="dxa" w:w="2412"/>
            <w:shd w:fill="FFFFFF"/>
            <w:tcMar>
              <w:top w:w="60" w:type="dxa"/>
              <w:bottom w:w="60" w:type="dxa"/>
              <w:left w:w="80" w:type="dxa"/>
              <w:right w:w="80" w:type="dxa"/>
            </w:tcMar>
          </w:tcPr>
          <w:p>
            <w:r>
              <w:rPr>
                <w:rFonts w:ascii="Calibri" w:hAnsi="Calibri"/>
                <w:b/>
                <w:color w:val="2A5298"/>
                <w:sz w:val="18"/>
              </w:rPr>
              <w:t>lib/database/</w:t>
            </w:r>
          </w:p>
        </w:tc>
        <w:tc>
          <w:tcPr>
            <w:tcW w:type="dxa" w:w="2412"/>
            <w:shd w:fill="FFFFFF"/>
            <w:tcMar>
              <w:top w:w="60" w:type="dxa"/>
              <w:bottom w:w="60" w:type="dxa"/>
              <w:left w:w="80" w:type="dxa"/>
              <w:right w:w="80" w:type="dxa"/>
            </w:tcMar>
          </w:tcPr>
          <w:p>
            <w:r>
              <w:rPr>
                <w:rFonts w:ascii="Calibri" w:hAnsi="Calibri"/>
                <w:color w:val="333333"/>
                <w:sz w:val="18"/>
              </w:rPr>
              <w:t>Drift ORM, Tables, schema_versions, SQLite Driver</w:t>
            </w:r>
          </w:p>
        </w:tc>
        <w:tc>
          <w:tcPr>
            <w:tcW w:type="dxa" w:w="2412"/>
            <w:shd w:fill="FFFFFF"/>
            <w:tcMar>
              <w:top w:w="60" w:type="dxa"/>
              <w:bottom w:w="60" w:type="dxa"/>
              <w:left w:w="80" w:type="dxa"/>
              <w:right w:w="80" w:type="dxa"/>
            </w:tcMar>
          </w:tcPr>
          <w:p>
            <w:r>
              <w:rPr>
                <w:rFonts w:ascii="Calibri" w:hAnsi="Calibri"/>
                <w:color w:val="333333"/>
                <w:sz w:val="18"/>
              </w:rPr>
              <w:t>Đảm bảo tính toàn vẹn chuẩn ACID. Định nghĩa lược đồ thực thể dưới dạng Type-Safe Dart Class. Thực thi câu lệnh SQL INSERT/UPDATE atomic và phát tín hiệu Stream khi DB thay đổi.</w:t>
            </w:r>
          </w:p>
        </w:tc>
      </w:tr>
      <w:tr>
        <w:tc>
          <w:tcPr>
            <w:tcW w:type="dxa" w:w="2412"/>
            <w:shd w:fill="F4F6F9"/>
            <w:tcMar>
              <w:top w:w="60" w:type="dxa"/>
              <w:bottom w:w="60" w:type="dxa"/>
              <w:left w:w="80" w:type="dxa"/>
              <w:right w:w="80" w:type="dxa"/>
            </w:tcMar>
          </w:tcPr>
          <w:p>
            <w:r>
              <w:rPr>
                <w:rFonts w:ascii="Calibri" w:hAnsi="Calibri"/>
                <w:b/>
                <w:color w:val="1B447A"/>
                <w:sz w:val="18"/>
              </w:rPr>
              <w:t>4. Cloud &amp; Infrastructure</w:t>
            </w:r>
          </w:p>
        </w:tc>
        <w:tc>
          <w:tcPr>
            <w:tcW w:type="dxa" w:w="2412"/>
            <w:shd w:fill="F4F6F9"/>
            <w:tcMar>
              <w:top w:w="60" w:type="dxa"/>
              <w:bottom w:w="60" w:type="dxa"/>
              <w:left w:w="80" w:type="dxa"/>
              <w:right w:w="80" w:type="dxa"/>
            </w:tcMar>
          </w:tcPr>
          <w:p>
            <w:r>
              <w:rPr>
                <w:rFonts w:ascii="Calibri" w:hAnsi="Calibri"/>
                <w:b/>
                <w:color w:val="2A5298"/>
                <w:sz w:val="18"/>
              </w:rPr>
              <w:t>lib/struct/sync/</w:t>
              <w:br/>
              <w:t>(Drive &amp; Auth)</w:t>
            </w:r>
          </w:p>
        </w:tc>
        <w:tc>
          <w:tcPr>
            <w:tcW w:type="dxa" w:w="2412"/>
            <w:shd w:fill="F4F6F9"/>
            <w:tcMar>
              <w:top w:w="60" w:type="dxa"/>
              <w:bottom w:w="60" w:type="dxa"/>
              <w:left w:w="80" w:type="dxa"/>
              <w:right w:w="80" w:type="dxa"/>
            </w:tcMar>
          </w:tcPr>
          <w:p>
            <w:r>
              <w:rPr>
                <w:rFonts w:ascii="Calibri" w:hAnsi="Calibri"/>
                <w:color w:val="333333"/>
                <w:sz w:val="18"/>
              </w:rPr>
              <w:t>SyncClient, GoogleDriveClient, FirebaseAuth</w:t>
            </w:r>
          </w:p>
        </w:tc>
        <w:tc>
          <w:tcPr>
            <w:tcW w:type="dxa" w:w="2412"/>
            <w:shd w:fill="F4F6F9"/>
            <w:tcMar>
              <w:top w:w="60" w:type="dxa"/>
              <w:bottom w:w="60" w:type="dxa"/>
              <w:left w:w="80" w:type="dxa"/>
              <w:right w:w="80" w:type="dxa"/>
            </w:tcMar>
          </w:tcPr>
          <w:p>
            <w:r>
              <w:rPr>
                <w:rFonts w:ascii="Calibri" w:hAnsi="Calibri"/>
                <w:color w:val="333333"/>
                <w:sz w:val="18"/>
              </w:rPr>
              <w:t>Chạy ngầm (Background Task): Lập lịch kết xuất tệp sao lưu snapshot .sqlite khi có dữ liệu mới, đồng bộ đám mây qua Google Drive API v3 mà không làm gián đoạn luồng UI (Main Thread).</w:t>
            </w:r>
          </w:p>
        </w:tc>
      </w:tr>
    </w:tbl>
    <w:p>
      <w:pPr>
        <w:keepNext/>
        <w:spacing w:before="280" w:after="80"/>
      </w:pPr>
      <w:r>
        <w:rPr>
          <w:rFonts w:ascii="Calibri" w:hAnsi="Calibri"/>
          <w:b/>
          <w:color w:val="1B447A"/>
          <w:sz w:val="26"/>
        </w:rPr>
        <w:t>2. CẤU TRÚC THƯ MỤC DỰ ÁN CHI TIẾT (FOLDER DIRECTORY TREE)</w:t>
      </w:r>
    </w:p>
    <w:p>
      <w:pPr>
        <w:spacing w:before="40" w:after="80" w:line="276" w:lineRule="auto"/>
      </w:pPr>
      <w:r>
        <w:rPr>
          <w:rFonts w:ascii="Calibri" w:hAnsi="Calibri"/>
          <w:color w:val="333333"/>
          <w:sz w:val="21"/>
        </w:rPr>
        <w:t>Toàn bộ mã nguồn và tài nguyên được cấu trúc bài bản, phản ánh đúng kiến trúc Cashew:</w:t>
      </w:r>
    </w:p>
    <w:p>
      <w:pPr>
        <w:spacing w:before="80" w:after="160"/>
        <w:ind w:left="288"/>
      </w:pPr>
      <w:r>
        <w:rPr>
          <w:rFonts w:ascii="Consolas" w:hAnsi="Consolas"/>
          <w:color w:val="1B447A"/>
          <w:sz w:val="17"/>
        </w:rPr>
        <w:t>lib/</w:t>
        <w:br/>
        <w:t>├── main.dart                          # Điểm khởi chạy ứng dụng (Entry point), thiết lập Theme, Provider &amp; Localizations</w:t>
        <w:br/>
        <w:t>├── colors.dart                       # Bảng màu Material You 3, HSL thích ứng giao diện sáng/tối (Dark/Light Mode)</w:t>
        <w:br/>
        <w:t>├── database/                         # TẦNG LƯU TRỮ CỤC BỘ (PERSISTENCE LAYER)</w:t>
        <w:br/>
        <w:t>│   ├── tables.dart                   # Định nghĩa schema Drift: bảng Documents, Courses, Topics, StudyGoals</w:t>
        <w:br/>
        <w:t>│   ├── tables.g.dart                 # Mã nguồn sinh tự động bởi build_runner (Type-safe Companions &amp; Queries)</w:t>
        <w:br/>
        <w:t>│   ├── schema_versions.dart          # Quản lý phiên bản migration cơ sở dữ liệu (Schema Migration Engine)</w:t>
        <w:br/>
        <w:t>│   └── platform/                     # Hỗ trợ đa nền tảng</w:t>
        <w:br/>
        <w:t>│       ├── native.dart               # Khởi tạo SQLite chuẩn C++ (Android, iOS, Windows, macOS, Linux)</w:t>
        <w:br/>
        <w:t>│       └── web.dart                  # Khởi tạo WebAssembly SQLite / IndexedDB cho trình duyệt Web</w:t>
        <w:br/>
        <w:t>├── struct/                           # TẦNG ĐẶC TẢ DỮ LIỆU &amp; LOGIC NGHIỆP VỤ (BUSINESS LOGIC)</w:t>
        <w:br/>
        <w:t>│   ├── settings.dart                 # Quản lý cài đặt SharedPreferences (Key-value store)</w:t>
        <w:br/>
        <w:t>│   ├── sync_client.dart              # Quản lý tiến trình sao lưu nền lên Google Drive &amp; giải quyết xung đột</w:t>
        <w:br/>
        <w:t>│   ├── document_enums.dart           # Các enum nghiệp vụ: DocumentType, ReadStatus, Priority, GoalCycle</w:t>
        <w:br/>
        <w:t>│   └── database_global.dart          # Đối tượng Database Singleton dùng chung cho toàn bộ ứng dụng</w:t>
        <w:br/>
        <w:t>├── pages/                            # TẦNG MÀN HÌNH GIAO DIỆN CHÍNH (PAGES LAYER)</w:t>
        <w:br/>
        <w:t>│   ├── homePage/                     # Màn hình trang chủ tổng hợp</w:t>
        <w:br/>
        <w:t>│   │   ├── homePage.dart             # Điều phối các thành phần widget trên trang chủ</w:t>
        <w:br/>
        <w:t>│   │   ├── homePageDocumentsList.dart# Danh sách tài liệu gần đây (tương tự homeTransactions)</w:t>
        <w:br/>
        <w:t>│   │   └── homePageCourseSummary.dart# Thống kê môn học (tương tự homePageWalletSwitcher)</w:t>
        <w:br/>
        <w:t>│   ├── addDocumentPage.dart          # Màn hình thêm/sửa tài liệu (tương tự AddTransactionPage)</w:t>
        <w:br/>
        <w:t>│   ├── documentDetailsPage.dart      # Màn hình xem chi tiết tài liệu, ghi chú và mở file</w:t>
        <w:br/>
        <w:t>│   ├── coursesListPage.dart          # Màn hình quản lý danh sách môn học (tương tự walletDetailsPage)</w:t>
        <w:br/>
        <w:t>│   ├── studyGoalsPage.dart           # Màn hình quản lý kế hoạch đọc và thời hạn deadline (tương tự budgetPage)</w:t>
        <w:br/>
        <w:t>│   └── searchFilterPage.dart         # Màn hình tìm kiếm toàn văn và lọc đa tiêu chí (tương tự transactionsSearchPage)</w:t>
        <w:br/>
        <w:t>└── widgets/                          # TẦNG THÀNH PHẦN TÁI SỬ DỤNG (REUSABLE UI COMPONENTS)</w:t>
        <w:br/>
        <w:t xml:space="preserve">    ├── navigationFramework.dart      # Bộ khung điều hướng thích ứng: Bottom Bar trên Mobile / Sidebar trên Desktop</w:t>
        <w:br/>
        <w:t xml:space="preserve">    ├── navigationSidebar.dart        # Thanh điều hướng dọc cho màn hình máy tính bảng và web</w:t>
        <w:br/>
        <w:t xml:space="preserve">    ├── openBottomSheet.dart          # Hộp thoại Modal BottomSheet chọn môn học, chủ đề, thời hạn</w:t>
        <w:br/>
        <w:t xml:space="preserve">    ├── documentCard.dart             # Widget thẻ tài liệu hiển thị dạng danh sách hoặc lưới (Card view)</w:t>
        <w:br/>
        <w:t xml:space="preserve">    ├── courseCard.dart               # Widget thẻ môn học hiển thị mã màu và tỷ lệ hoàn thành</w:t>
        <w:br/>
        <w:t xml:space="preserve">    └── linearGradientFadedEdges.dart # Hiệu ứng chuyển màu mờ viền cao cấp đặc trưng của Cashew</w:t>
      </w:r>
    </w:p>
    <w:p>
      <w:pPr>
        <w:keepNext/>
        <w:spacing w:before="280" w:after="80"/>
      </w:pPr>
      <w:r>
        <w:rPr>
          <w:rFonts w:ascii="Calibri" w:hAnsi="Calibri"/>
          <w:b/>
          <w:color w:val="1B447A"/>
          <w:sz w:val="26"/>
        </w:rPr>
        <w:t>3. GIẢI TRÌNH RANH GIỚI &amp; NGUYÊN TẮC LIÊN KẾT GIỮA CÁC LỚP</w:t>
      </w:r>
    </w:p>
    <w:p>
      <w:pPr>
        <w:pStyle w:val="ListBullet"/>
        <w:spacing w:before="20" w:after="60" w:line="276" w:lineRule="auto"/>
      </w:pPr>
      <w:r>
        <w:rPr>
          <w:rFonts w:ascii="Calibri" w:hAnsi="Calibri"/>
          <w:b/>
          <w:color w:val="1B447A"/>
          <w:sz w:val="21"/>
        </w:rPr>
        <w:t xml:space="preserve">Nguyên tắc Gắn kết lỏng (Loose Coupling): </w:t>
      </w:r>
      <w:r>
        <w:rPr>
          <w:rFonts w:ascii="Calibri" w:hAnsi="Calibri"/>
          <w:color w:val="333333"/>
          <w:sz w:val="21"/>
        </w:rPr>
        <w:t>Tầng Giao diện (Pages/Widgets) không bao giờ thực hiện câu lệnh SQL trực tiếp. Mọi yêu cầu đều được chuyển giao qua các đối tượng trung gian (Companions). Ví dụ: AddDocumentPage chỉ đóng gói dữ liệu và gọi database.insertDocument(), không quan tâm dữ liệu được lưu bằng file SQLite native hay Wasm trên web.</w:t>
      </w:r>
    </w:p>
    <w:p>
      <w:pPr>
        <w:pStyle w:val="ListBullet"/>
        <w:spacing w:before="20" w:after="60" w:line="276" w:lineRule="auto"/>
      </w:pPr>
      <w:r>
        <w:rPr>
          <w:rFonts w:ascii="Calibri" w:hAnsi="Calibri"/>
          <w:b/>
          <w:color w:val="1B447A"/>
          <w:sz w:val="21"/>
        </w:rPr>
        <w:t xml:space="preserve">Cơ chế Dòng dữ liệu Một chiều (Unidirectional Data Flow): </w:t>
      </w:r>
      <w:r>
        <w:rPr>
          <w:rFonts w:ascii="Calibri" w:hAnsi="Calibri"/>
          <w:color w:val="333333"/>
          <w:sz w:val="21"/>
        </w:rPr>
        <w:t>UI phát sinh sự kiện (User Action) ➔ Logic xử lý và ghi xuống Drift Database ➔ Drift Database phát sinh luồng dữ liệu phản ứng (Reactive Stream) ➔ StreamBuilder trên UI tự động lắng nghe và cập nhật lại giao diện. Điều này loại bỏ hoàn toàn các lỗi xung đột trạng thái dữ liệu (State Inconsistency).</w:t>
      </w:r>
    </w:p>
    <w:p>
      <w:pPr>
        <w:pStyle w:val="ListBullet"/>
        <w:spacing w:before="20" w:after="60" w:line="276" w:lineRule="auto"/>
      </w:pPr>
      <w:r>
        <w:rPr>
          <w:rFonts w:ascii="Calibri" w:hAnsi="Calibri"/>
          <w:b/>
          <w:color w:val="1B447A"/>
          <w:sz w:val="21"/>
        </w:rPr>
        <w:t xml:space="preserve">Tính độc lập của Dịch vụ nền (Background Isolation): </w:t>
      </w:r>
      <w:r>
        <w:rPr>
          <w:rFonts w:ascii="Calibri" w:hAnsi="Calibri"/>
          <w:color w:val="333333"/>
          <w:sz w:val="21"/>
        </w:rPr>
        <w:t>Tiến trình đồng bộ SyncClient hoạt động hoàn toàn tách biệt trên luồng nền thông qua cơ chế Debouncer (bộ đếm trễ 3 giây). Nếu mất mạng hoặc Google Drive gặp sự cố, ứng dụng vẫn hoạt động 100% bình thường trên tầng SQLite nội bộ mà không bao giờ bị treo ứng dụng (ANR).</w:t>
      </w:r>
    </w:p>
    <w:tbl>
      <w:tblPr>
        <w:tblW w:type="auto" w:w="0"/>
        <w:jc w:val="center"/>
        <w:tblLook w:firstColumn="1" w:firstRow="1" w:lastColumn="0" w:lastRow="0" w:noHBand="0" w:noVBand="1" w:val="04A0"/>
      </w:tblPr>
      <w:tblGrid>
        <w:gridCol w:w="9648"/>
      </w:tblGrid>
      <w:tr>
        <w:tc>
          <w:tcPr>
            <w:tcW w:type="dxa" w:w="9648"/>
            <w:shd w:fill="F0F4F8"/>
            <w:tcMar>
              <w:top w:w="120" w:type="dxa"/>
              <w:bottom w:w="120" w:type="dxa"/>
              <w:left w:w="180" w:type="dxa"/>
              <w:right w:w="180" w:type="dxa"/>
            </w:tcMar>
            <w:tcBorders>
              <w:top w:val="none"/>
              <w:left w:val="single" w:sz="36" w:space="0" w:color="1B447A"/>
              <w:bottom w:val="none"/>
              <w:right w:val="none"/>
            </w:tcBorders>
          </w:tcPr>
          <w:p>
            <w:pPr>
              <w:spacing w:before="40" w:after="40"/>
            </w:pPr>
            <w:r>
              <w:rPr>
                <w:rFonts w:ascii="Calibri" w:hAnsi="Calibri"/>
                <w:b/>
                <w:color w:val="1B447A"/>
                <w:sz w:val="21"/>
              </w:rPr>
              <w:t xml:space="preserve">📌 KẾT LUẬN YÊU CẦU 2: </w:t>
            </w:r>
            <w:r>
              <w:rPr>
                <w:rFonts w:ascii="Calibri" w:hAnsi="Calibri"/>
                <w:i/>
                <w:color w:val="333333"/>
                <w:sz w:val="20"/>
              </w:rPr>
              <w:t>Cấu trúc thư mục và phân lớp theo chuẩn Cashew giúp dự án đạt điểm tối đa về tính mô-đun hóa: Lập trình viên giao diện có thể phát triển độc lập trong thư mục lib/pages và lib/widgets mà không làm ảnh hưởng đến tầng cơ sở dữ liệu lib/database, đồng thời tạo điều kiện thuận lợi để viết Unit Test và Widget Test tự động.</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