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DC21F"/>
          <w:sz w:val="32"/>
        </w:rPr>
        <w:t>Research questions:</w:t>
      </w:r>
    </w:p>
    <w:p>
      <w:r>
        <w:rPr>
          <w:b/>
          <w:color w:val="8DC21F"/>
          <w:sz w:val="24"/>
        </w:rPr>
        <w:t>1.Heineken Brand Perception and Relevance:</w:t>
      </w:r>
    </w:p>
    <w:p>
      <w:r>
        <w:t>To understand Heineken's current meaning and relevance among Black and Hispanic Millennials.</w:t>
      </w:r>
    </w:p>
    <w:p>
      <w:pPr>
        <w:pStyle w:val="ListBullet"/>
      </w:pPr>
      <w:r>
        <w:t>General conversation themes</w:t>
      </w:r>
    </w:p>
    <w:p>
      <w:pPr>
        <w:pStyle w:val="ListBullet"/>
      </w:pPr>
      <w:r>
        <w:t>Positive and Negative Segment</w:t>
      </w:r>
    </w:p>
    <w:p>
      <w:pPr>
        <w:pStyle w:val="ListBullet"/>
      </w:pPr>
      <w:r>
        <w:t>Brand associations</w:t>
      </w:r>
    </w:p>
    <w:p>
      <w:pPr>
        <w:pStyle w:val="ListBullet"/>
      </w:pPr>
      <w:r>
        <w:t>Perceptions of premium, quality and aspiration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