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Lab 3B: Advanced Cybersecurity Risk Quantification</w:t>
      </w:r>
    </w:p>
    <w:p>
      <w:pPr>
        <w:spacing w:after="120"/>
      </w:pPr>
      <w:r>
        <w:rPr>
          <w:rFonts w:ascii="Calibri" w:cs="Calibri" w:eastAsia="Calibri" w:hAnsi="Calibri"/>
          <w:sz w:val="22"/>
          <w:szCs w:val="22"/>
        </w:rPr>
        <w:t xml:space="preserve">Name: Khadija Nafale Likoro</w:t>
      </w:r>
    </w:p>
    <w:p>
      <w:pPr>
        <w:spacing w:after="120"/>
      </w:pPr>
      <w:r>
        <w:rPr>
          <w:rFonts w:ascii="Calibri" w:cs="Calibri" w:eastAsia="Calibri" w:hAnsi="Calibri"/>
          <w:sz w:val="22"/>
          <w:szCs w:val="22"/>
        </w:rPr>
        <w:t xml:space="preserve">Registration Number: C11-CGRCE-17281 (GRC102)</w:t>
      </w:r>
    </w:p>
    <w:p>
      <w:pPr>
        <w:spacing w:after="120"/>
      </w:pPr>
      <w:r>
        <w:rPr>
          <w:rFonts w:ascii="Calibri" w:cs="Calibri" w:eastAsia="Calibri" w:hAnsi="Calibri"/>
          <w:sz w:val="22"/>
          <w:szCs w:val="22"/>
        </w:rPr>
        <w:t xml:space="preserve">Course: ICDFA Cohort 11</w:t>
      </w:r>
    </w:p>
    <w:p>
      <w:pPr>
        <w:spacing w:after="120"/>
      </w:pPr>
      <w:r>
        <w:rPr>
          <w:rFonts w:ascii="Calibri" w:cs="Calibri" w:eastAsia="Calibri" w:hAnsi="Calibri"/>
          <w:sz w:val="22"/>
          <w:szCs w:val="22"/>
        </w:rPr>
        <w:t xml:space="preserve">Date: 30 October 2026</w:t>
      </w:r>
    </w:p>
    <w:p>
      <w:pPr>
        <w:spacing w:after="120"/>
      </w:pPr>
      <w:r>
        <w:rPr>
          <w:rFonts w:ascii="Calibri" w:cs="Calibri" w:eastAsia="Calibri" w:hAnsi="Calibri"/>
          <w:i/>
          <w:iCs/>
          <w:sz w:val="22"/>
          <w:szCs w:val="22"/>
        </w:rPr>
        <w:t xml:space="preserve">Scenario: Lead GRC analyst at SecureBank Financial reviewing the SecureMobile banking platform.</w:t>
      </w:r>
    </w:p>
    <w:p>
      <w:pPr>
        <w:pStyle w:val="Heading1"/>
        <w:spacing w:after="120" w:before="240"/>
      </w:pPr>
      <w:r>
        <w:rPr>
          <w:rFonts w:ascii="Calibri" w:cs="Calibri" w:eastAsia="Calibri" w:hAnsi="Calibri"/>
          <w:b/>
          <w:bCs/>
          <w:color w:val="1F3864"/>
          <w:sz w:val="30"/>
          <w:szCs w:val="30"/>
        </w:rPr>
        <w:t xml:space="preserve">Phase 1: Risk Exposure Calculation</w:t>
      </w:r>
    </w:p>
    <w:p>
      <w:pPr>
        <w:pStyle w:val="Heading2"/>
        <w:spacing w:after="100" w:before="200"/>
      </w:pPr>
      <w:r>
        <w:rPr>
          <w:rFonts w:ascii="Calibri" w:cs="Calibri" w:eastAsia="Calibri" w:hAnsi="Calibri"/>
          <w:b/>
          <w:bCs/>
          <w:color w:val="2E5597"/>
          <w:sz w:val="25"/>
          <w:szCs w:val="25"/>
        </w:rPr>
        <w:t xml:space="preserve">Task 1: Annualized Loss Expectancy (ALE)</w:t>
      </w:r>
    </w:p>
    <w:p>
      <w:pPr>
        <w:spacing w:after="120"/>
      </w:pPr>
      <w:r>
        <w:rPr>
          <w:rFonts w:ascii="Calibri" w:cs="Calibri" w:eastAsia="Calibri" w:hAnsi="Calibri"/>
          <w:sz w:val="22"/>
          <w:szCs w:val="22"/>
        </w:rPr>
        <w:t xml:space="preserve">Formula: ALE = SLE x 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000"/>
        <w:gridCol w:w="236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Vulnerability</w:t>
            </w:r>
          </w:p>
        </w:tc>
        <w:tc>
          <w:tcPr>
            <w:tcW w:type="dxa" w:w="3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SLE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ARO</w:t>
            </w:r>
          </w:p>
        </w:tc>
        <w:tc>
          <w:tcPr>
            <w:tcW w:type="dxa" w:w="236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ALE</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1 API Authentication Bypass</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$5000000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0.15</w:t>
            </w:r>
          </w:p>
        </w:tc>
        <w:tc>
          <w:tcPr>
            <w:tcW w:type="dxa" w:w="23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$750000</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 Database Injection</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500000 records x $250 = $125000000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0.25</w:t>
            </w:r>
          </w:p>
        </w:tc>
        <w:tc>
          <w:tcPr>
            <w:tcW w:type="dxa" w:w="23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$31250000</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 Session Hijacking</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5000 accounts x $1500 = $7500000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0.40</w:t>
            </w:r>
          </w:p>
        </w:tc>
        <w:tc>
          <w:tcPr>
            <w:tcW w:type="dxa" w:w="23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$3000000</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Total</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
            </w:r>
          </w:p>
        </w:tc>
        <w:tc>
          <w:tcPr>
            <w:tcW w:type="dxa" w:w="23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$35000000</w:t>
            </w:r>
          </w:p>
        </w:tc>
      </w:tr>
    </w:tbl>
    <w:p/>
    <w:p>
      <w:pPr>
        <w:pStyle w:val="Heading2"/>
        <w:spacing w:after="100" w:before="200"/>
      </w:pPr>
      <w:r>
        <w:rPr>
          <w:rFonts w:ascii="Calibri" w:cs="Calibri" w:eastAsia="Calibri" w:hAnsi="Calibri"/>
          <w:b/>
          <w:bCs/>
          <w:color w:val="2E5597"/>
          <w:sz w:val="25"/>
          <w:szCs w:val="25"/>
        </w:rPr>
        <w:t xml:space="preserve">Task 2: Risk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1500"/>
        <w:gridCol w:w="1700"/>
        <w:gridCol w:w="156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Vulnerability</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SLE</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ARO</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ALE</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Share of Total</w:t>
            </w:r>
          </w:p>
        </w:tc>
        <w:tc>
          <w:tcPr>
            <w:tcW w:type="dxa" w:w="156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Priority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Database Injection</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$125000000</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0.25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$31250000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89.3%</w:t>
            </w:r>
          </w:p>
        </w:tc>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CRITICAL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Session Hijacking</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$7500000</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0.40</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$3000000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8.6%</w:t>
            </w:r>
          </w:p>
        </w:tc>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HIGH</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API Bypass</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$5000000</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0.15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2.1%</w:t>
            </w:r>
          </w:p>
        </w:tc>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MEDIUM</w:t>
            </w:r>
          </w:p>
        </w:tc>
      </w:tr>
    </w:tbl>
    <w:p/>
    <w:p>
      <w:pPr>
        <w:pStyle w:val="Heading2"/>
        <w:spacing w:after="100" w:before="200"/>
      </w:pPr>
      <w:r>
        <w:rPr>
          <w:rFonts w:ascii="Calibri" w:cs="Calibri" w:eastAsia="Calibri" w:hAnsi="Calibri"/>
          <w:b/>
          <w:bCs/>
          <w:color w:val="2E5597"/>
          <w:sz w:val="25"/>
          <w:szCs w:val="25"/>
        </w:rPr>
        <w:t xml:space="preserve">Task 3: Risk Visualizations</w:t>
      </w:r>
    </w:p>
    <w:p>
      <w:pPr>
        <w:spacing w:after="160" w:before="120"/>
        <w:jc w:val="center"/>
      </w:pPr>
      <w:r>
        <w:drawing>
          <wp:inline distT="0" distB="0" distL="0" distR="0">
            <wp:extent cx="4953000" cy="28289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28925"/>
                    </a:xfrm>
                    <a:prstGeom prst="rect">
                      <a:avLst/>
                    </a:prstGeom>
                  </pic:spPr>
                </pic:pic>
              </a:graphicData>
            </a:graphic>
          </wp:inline>
        </w:drawing>
      </w:r>
    </w:p>
    <w:p>
      <w:pPr>
        <w:spacing w:after="160" w:before="120"/>
        <w:jc w:val="center"/>
      </w:pPr>
      <w:r>
        <w:drawing>
          <wp:inline distT="0" distB="0" distL="0" distR="0">
            <wp:extent cx="4000500" cy="3000375"/>
            <wp:effectExtent t="0" r="0" b="0" l="0"/>
            <wp:docPr id="2"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160" w:before="120"/>
        <w:jc w:val="center"/>
      </w:pPr>
      <w:r>
        <w:drawing>
          <wp:inline distT="0" distB="0" distL="0" distR="0">
            <wp:extent cx="4953000" cy="2971800"/>
            <wp:effectExtent t="0" r="0" b="0" l="0"/>
            <wp:docPr id="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120"/>
      </w:pPr>
      <w:r>
        <w:rPr>
          <w:rFonts w:ascii="Calibri" w:cs="Calibri" w:eastAsia="Calibri" w:hAnsi="Calibri"/>
          <w:sz w:val="22"/>
          <w:szCs w:val="22"/>
        </w:rPr>
        <w:t xml:space="preserve">Database Injection alone makes up 89.3% of the total risk so it needs attention first.</w:t>
      </w:r>
    </w:p>
    <w:p>
      <w:pPr>
        <w:pStyle w:val="Heading1"/>
        <w:spacing w:after="120" w:before="240"/>
      </w:pPr>
      <w:r>
        <w:rPr>
          <w:rFonts w:ascii="Calibri" w:cs="Calibri" w:eastAsia="Calibri" w:hAnsi="Calibri"/>
          <w:b/>
          <w:bCs/>
          <w:color w:val="1F3864"/>
          <w:sz w:val="30"/>
          <w:szCs w:val="30"/>
        </w:rPr>
        <w:t xml:space="preserve">Phase 2: Control Evaluation</w:t>
      </w:r>
    </w:p>
    <w:p>
      <w:pPr>
        <w:pStyle w:val="Heading2"/>
        <w:spacing w:after="100" w:before="200"/>
      </w:pPr>
      <w:r>
        <w:rPr>
          <w:rFonts w:ascii="Calibri" w:cs="Calibri" w:eastAsia="Calibri" w:hAnsi="Calibri"/>
          <w:b/>
          <w:bCs/>
          <w:color w:val="2E5597"/>
          <w:sz w:val="25"/>
          <w:szCs w:val="25"/>
        </w:rPr>
        <w:t xml:space="preserve">Task 4: Cost-Benefit Analysis</w:t>
      </w:r>
    </w:p>
    <w:p>
      <w:pPr>
        <w:spacing w:after="120"/>
      </w:pPr>
      <w:r>
        <w:rPr>
          <w:rFonts w:ascii="Calibri" w:cs="Calibri" w:eastAsia="Calibri" w:hAnsi="Calibri"/>
          <w:sz w:val="22"/>
          <w:szCs w:val="22"/>
        </w:rPr>
        <w:t xml:space="preserve">Each control is matched to the risk it protects against. The API Gateway protects Finding 1 (90%). The WAF protects Finding 2 (75%). MFA protects Finding 3 (95%).</w:t>
      </w:r>
    </w:p>
    <w:p>
      <w:pPr>
        <w:pStyle w:val="ListParagraph"/>
        <w:numPr>
          <w:ilvl w:val="0"/>
          <w:numId w:val="2"/>
        </w:numPr>
        <w:spacing w:after="60"/>
      </w:pPr>
      <w:r>
        <w:rPr>
          <w:rFonts w:ascii="Calibri" w:cs="Calibri" w:eastAsia="Calibri" w:hAnsi="Calibri"/>
          <w:sz w:val="22"/>
          <w:szCs w:val="22"/>
        </w:rPr>
        <w:t xml:space="preserve">Year 1 cost = Initial investment + Annual maintenance</w:t>
      </w:r>
    </w:p>
    <w:p>
      <w:pPr>
        <w:pStyle w:val="ListParagraph"/>
        <w:numPr>
          <w:ilvl w:val="0"/>
          <w:numId w:val="2"/>
        </w:numPr>
        <w:spacing w:after="60"/>
      </w:pPr>
      <w:r>
        <w:rPr>
          <w:rFonts w:ascii="Calibri" w:cs="Calibri" w:eastAsia="Calibri" w:hAnsi="Calibri"/>
          <w:sz w:val="22"/>
          <w:szCs w:val="22"/>
        </w:rPr>
        <w:t xml:space="preserve">ROI = (Risk reduction - Year 1 cost) / Year 1 cost</w:t>
      </w:r>
    </w:p>
    <w:p>
      <w:pPr>
        <w:pStyle w:val="ListParagraph"/>
        <w:numPr>
          <w:ilvl w:val="0"/>
          <w:numId w:val="2"/>
        </w:numPr>
        <w:spacing w:after="60"/>
      </w:pPr>
      <w:r>
        <w:rPr>
          <w:rFonts w:ascii="Calibri" w:cs="Calibri" w:eastAsia="Calibri" w:hAnsi="Calibri"/>
          <w:sz w:val="22"/>
          <w:szCs w:val="22"/>
        </w:rPr>
        <w:t xml:space="preserve">Payback period = Initial investment / (Risk reduction -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00"/>
        <w:gridCol w:w="2000"/>
        <w:gridCol w:w="2260"/>
        <w:gridCol w:w="170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Control</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Initial</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Maintenance per Year</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Risk Reduction per Year</w:t>
            </w:r>
          </w:p>
        </w:tc>
        <w:tc>
          <w:tcPr>
            <w:tcW w:type="dxa" w:w="226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ROI</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Payback</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API Gateway</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$350000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$50000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$750000 x 0.90 = $675000</w:t>
            </w:r>
          </w:p>
        </w:tc>
        <w:tc>
          <w:tcPr>
            <w:tcW w:type="dxa" w:w="2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($675000 - $400000) / $400000 = 68.75%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350000 / 625000 = 0.56 years (about 7 months)</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WAF</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$150000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$25000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$31250000 x 0.75 = $23437500</w:t>
            </w:r>
          </w:p>
        </w:tc>
        <w:tc>
          <w:tcPr>
            <w:tcW w:type="dxa" w:w="2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($23437500 - $175000) / $175000 = 13293%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About 2 days</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MFA Enhancement</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$200000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$30000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$3000000 x 0.95 = $2850000</w:t>
            </w:r>
          </w:p>
        </w:tc>
        <w:tc>
          <w:tcPr>
            <w:tcW w:type="dxa" w:w="2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($2850000 - $230000) / $230000 = 1139%</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About 26 days</w:t>
            </w:r>
          </w:p>
        </w:tc>
      </w:tr>
    </w:tbl>
    <w:p/>
    <w:p>
      <w:pPr>
        <w:pStyle w:val="Heading2"/>
        <w:spacing w:after="100" w:before="200"/>
      </w:pPr>
      <w:r>
        <w:rPr>
          <w:rFonts w:ascii="Calibri" w:cs="Calibri" w:eastAsia="Calibri" w:hAnsi="Calibri"/>
          <w:b/>
          <w:bCs/>
          <w:color w:val="2E5597"/>
          <w:sz w:val="25"/>
          <w:szCs w:val="25"/>
        </w:rPr>
        <w:t xml:space="preserve">Task 5: Control Selection Analysis</w:t>
      </w:r>
    </w:p>
    <w:p>
      <w:pPr>
        <w:spacing w:after="160" w:before="120"/>
        <w:jc w:val="center"/>
      </w:pPr>
      <w:r>
        <w:drawing>
          <wp:inline distT="0" distB="0" distL="0" distR="0">
            <wp:extent cx="4762500" cy="3057525"/>
            <wp:effectExtent t="0" r="0" b="0" l="0"/>
            <wp:docPr id="4"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160" w:before="120"/>
        <w:jc w:val="center"/>
      </w:pPr>
      <w:r>
        <w:drawing>
          <wp:inline distT="0" distB="0" distL="0" distR="0">
            <wp:extent cx="4953000" cy="2676525"/>
            <wp:effectExtent t="0" r="0" b="0" l="0"/>
            <wp:docPr id="5"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76525"/>
                    </a:xfrm>
                    <a:prstGeom prst="rect">
                      <a:avLst/>
                    </a:prstGeom>
                  </pic:spPr>
                </pic:pic>
              </a:graphicData>
            </a:graphic>
          </wp:inline>
        </w:drawing>
      </w:r>
    </w:p>
    <w:p>
      <w:pPr>
        <w:spacing w:after="160" w:before="120"/>
        <w:jc w:val="center"/>
      </w:pPr>
      <w:r>
        <w:drawing>
          <wp:inline distT="0" distB="0" distL="0" distR="0">
            <wp:extent cx="4762500" cy="2724150"/>
            <wp:effectExtent t="0" r="0" b="0" l="0"/>
            <wp:docPr id="6"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24150"/>
                    </a:xfrm>
                    <a:prstGeom prst="rect">
                      <a:avLst/>
                    </a:prstGeom>
                  </pic:spPr>
                </pic:pic>
              </a:graphicData>
            </a:graphic>
          </wp:inline>
        </w:drawing>
      </w:r>
    </w:p>
    <w:p>
      <w:pPr>
        <w:spacing w:after="120"/>
      </w:pPr>
      <w:r>
        <w:rPr>
          <w:rFonts w:ascii="Calibri" w:cs="Calibri" w:eastAsia="Calibri" w:hAnsi="Calibri"/>
          <w:sz w:val="22"/>
          <w:szCs w:val="22"/>
        </w:rPr>
        <w:t xml:space="preserve">The cumulative line uses an upfront cost of $700000 and a yearly net gain of $26962500 less $105000 maintenance which is $26857500 per year. Year 1 = -$700000 + $26857500 = $26157500.</w:t>
      </w:r>
    </w:p>
    <w:p>
      <w:pPr>
        <w:pStyle w:val="Heading1"/>
        <w:spacing w:after="120" w:before="240"/>
      </w:pPr>
      <w:r>
        <w:rPr>
          <w:rFonts w:ascii="Calibri" w:cs="Calibri" w:eastAsia="Calibri" w:hAnsi="Calibri"/>
          <w:b/>
          <w:bCs/>
          <w:color w:val="1F3864"/>
          <w:sz w:val="30"/>
          <w:szCs w:val="30"/>
        </w:rPr>
        <w:t xml:space="preserve">Phase 3: Executive Reporting</w:t>
      </w:r>
    </w:p>
    <w:p>
      <w:pPr>
        <w:pStyle w:val="Heading2"/>
        <w:spacing w:after="100" w:before="200"/>
      </w:pPr>
      <w:r>
        <w:rPr>
          <w:rFonts w:ascii="Calibri" w:cs="Calibri" w:eastAsia="Calibri" w:hAnsi="Calibri"/>
          <w:b/>
          <w:bCs/>
          <w:color w:val="2E5597"/>
          <w:sz w:val="25"/>
          <w:szCs w:val="25"/>
        </w:rPr>
        <w:t xml:space="preserve">Task 6: Executive Dashboard</w:t>
      </w:r>
    </w:p>
    <w:p>
      <w:pPr>
        <w:spacing w:after="120"/>
      </w:pPr>
      <w:r>
        <w:rPr>
          <w:rFonts w:ascii="Calibri" w:cs="Calibri" w:eastAsia="Calibri" w:hAnsi="Calibri"/>
          <w:b/>
          <w:bCs/>
          <w:sz w:val="22"/>
          <w:szCs w:val="22"/>
        </w:rPr>
        <w:t xml:space="preserve">Top 3 Risks</w:t>
      </w:r>
    </w:p>
    <w:p>
      <w:pPr>
        <w:pStyle w:val="ListParagraph"/>
        <w:numPr>
          <w:ilvl w:val="0"/>
          <w:numId w:val="2"/>
        </w:numPr>
        <w:spacing w:after="60"/>
      </w:pPr>
      <w:r>
        <w:rPr>
          <w:rFonts w:ascii="Calibri" w:cs="Calibri" w:eastAsia="Calibri" w:hAnsi="Calibri"/>
          <w:sz w:val="22"/>
          <w:szCs w:val="22"/>
        </w:rPr>
        <w:t xml:space="preserve">Database Injection: $31.25 million per year</w:t>
      </w:r>
    </w:p>
    <w:p>
      <w:pPr>
        <w:pStyle w:val="ListParagraph"/>
        <w:numPr>
          <w:ilvl w:val="0"/>
          <w:numId w:val="2"/>
        </w:numPr>
        <w:spacing w:after="60"/>
      </w:pPr>
      <w:r>
        <w:rPr>
          <w:rFonts w:ascii="Calibri" w:cs="Calibri" w:eastAsia="Calibri" w:hAnsi="Calibri"/>
          <w:sz w:val="22"/>
          <w:szCs w:val="22"/>
        </w:rPr>
        <w:t xml:space="preserve">Session Hijacking: $3.0 million per year</w:t>
      </w:r>
    </w:p>
    <w:p>
      <w:pPr>
        <w:pStyle w:val="ListParagraph"/>
        <w:numPr>
          <w:ilvl w:val="0"/>
          <w:numId w:val="2"/>
        </w:numPr>
        <w:spacing w:after="60"/>
      </w:pPr>
      <w:r>
        <w:rPr>
          <w:rFonts w:ascii="Calibri" w:cs="Calibri" w:eastAsia="Calibri" w:hAnsi="Calibri"/>
          <w:sz w:val="22"/>
          <w:szCs w:val="22"/>
        </w:rPr>
        <w:t xml:space="preserve">API Bypass: $0.75 million per year</w:t>
      </w:r>
    </w:p>
    <w:p>
      <w:pPr>
        <w:spacing w:after="120"/>
      </w:pPr>
      <w:r>
        <w:rPr>
          <w:rFonts w:ascii="Calibri" w:cs="Calibri" w:eastAsia="Calibri" w:hAnsi="Calibri"/>
          <w:b/>
          <w:bCs/>
          <w:sz w:val="22"/>
          <w:szCs w:val="22"/>
        </w:rPr>
        <w:t xml:space="preserve">Recommended Controls and Costs</w:t>
      </w:r>
    </w:p>
    <w:p>
      <w:pPr>
        <w:pStyle w:val="ListParagraph"/>
        <w:numPr>
          <w:ilvl w:val="0"/>
          <w:numId w:val="2"/>
        </w:numPr>
        <w:spacing w:after="60"/>
      </w:pPr>
      <w:r>
        <w:rPr>
          <w:rFonts w:ascii="Calibri" w:cs="Calibri" w:eastAsia="Calibri" w:hAnsi="Calibri"/>
          <w:sz w:val="22"/>
          <w:szCs w:val="22"/>
        </w:rPr>
        <w:t xml:space="preserve">WAF: $150000 upfront and $25000 per year</w:t>
      </w:r>
    </w:p>
    <w:p>
      <w:pPr>
        <w:pStyle w:val="ListParagraph"/>
        <w:numPr>
          <w:ilvl w:val="0"/>
          <w:numId w:val="2"/>
        </w:numPr>
        <w:spacing w:after="60"/>
      </w:pPr>
      <w:r>
        <w:rPr>
          <w:rFonts w:ascii="Calibri" w:cs="Calibri" w:eastAsia="Calibri" w:hAnsi="Calibri"/>
          <w:sz w:val="22"/>
          <w:szCs w:val="22"/>
        </w:rPr>
        <w:t xml:space="preserve">MFA Enhancement: $200000 upfront and $30000 per year</w:t>
      </w:r>
    </w:p>
    <w:p>
      <w:pPr>
        <w:pStyle w:val="ListParagraph"/>
        <w:numPr>
          <w:ilvl w:val="0"/>
          <w:numId w:val="2"/>
        </w:numPr>
        <w:spacing w:after="60"/>
      </w:pPr>
      <w:r>
        <w:rPr>
          <w:rFonts w:ascii="Calibri" w:cs="Calibri" w:eastAsia="Calibri" w:hAnsi="Calibri"/>
          <w:sz w:val="22"/>
          <w:szCs w:val="22"/>
        </w:rPr>
        <w:t xml:space="preserve">API Security Gateway: $350000 upfront and $50000 per year</w:t>
      </w:r>
    </w:p>
    <w:p>
      <w:pPr>
        <w:pStyle w:val="ListParagraph"/>
        <w:numPr>
          <w:ilvl w:val="0"/>
          <w:numId w:val="2"/>
        </w:numPr>
        <w:spacing w:after="60"/>
      </w:pPr>
      <w:r>
        <w:rPr>
          <w:rFonts w:ascii="Calibri" w:cs="Calibri" w:eastAsia="Calibri" w:hAnsi="Calibri"/>
          <w:sz w:val="22"/>
          <w:szCs w:val="22"/>
        </w:rPr>
        <w:t xml:space="preserve">Total: $700000 upfront and $105000 per year</w:t>
      </w:r>
    </w:p>
    <w:p>
      <w:pPr>
        <w:spacing w:after="120"/>
      </w:pPr>
      <w:r>
        <w:rPr>
          <w:rFonts w:ascii="Calibri" w:cs="Calibri" w:eastAsia="Calibri" w:hAnsi="Calibri"/>
          <w:b/>
          <w:bCs/>
          <w:sz w:val="22"/>
          <w:szCs w:val="22"/>
        </w:rPr>
        <w:t xml:space="preserve">Expected Risk Reduction</w:t>
      </w:r>
    </w:p>
    <w:p>
      <w:pPr>
        <w:pStyle w:val="ListParagraph"/>
        <w:numPr>
          <w:ilvl w:val="0"/>
          <w:numId w:val="2"/>
        </w:numPr>
        <w:spacing w:after="60"/>
      </w:pPr>
      <w:r>
        <w:rPr>
          <w:rFonts w:ascii="Calibri" w:cs="Calibri" w:eastAsia="Calibri" w:hAnsi="Calibri"/>
          <w:sz w:val="22"/>
          <w:szCs w:val="22"/>
        </w:rPr>
        <w:t xml:space="preserve">ALE before controls: $35000000</w:t>
      </w:r>
    </w:p>
    <w:p>
      <w:pPr>
        <w:pStyle w:val="ListParagraph"/>
        <w:numPr>
          <w:ilvl w:val="0"/>
          <w:numId w:val="2"/>
        </w:numPr>
        <w:spacing w:after="60"/>
      </w:pPr>
      <w:r>
        <w:rPr>
          <w:rFonts w:ascii="Calibri" w:cs="Calibri" w:eastAsia="Calibri" w:hAnsi="Calibri"/>
          <w:sz w:val="22"/>
          <w:szCs w:val="22"/>
        </w:rPr>
        <w:t xml:space="preserve">ALE after controls: $8037500</w:t>
      </w:r>
    </w:p>
    <w:p>
      <w:pPr>
        <w:pStyle w:val="ListParagraph"/>
        <w:numPr>
          <w:ilvl w:val="0"/>
          <w:numId w:val="2"/>
        </w:numPr>
        <w:spacing w:after="60"/>
      </w:pPr>
      <w:r>
        <w:rPr>
          <w:rFonts w:ascii="Calibri" w:cs="Calibri" w:eastAsia="Calibri" w:hAnsi="Calibri"/>
          <w:sz w:val="22"/>
          <w:szCs w:val="22"/>
        </w:rPr>
        <w:t xml:space="preserve">Reduction: $26962500 (77%)</w:t>
      </w:r>
    </w:p>
    <w:p>
      <w:pPr>
        <w:spacing w:after="120"/>
      </w:pPr>
      <w:r>
        <w:rPr>
          <w:rFonts w:ascii="Calibri" w:cs="Calibri" w:eastAsia="Calibri" w:hAnsi="Calibri"/>
          <w:b/>
          <w:bCs/>
          <w:sz w:val="22"/>
          <w:szCs w:val="22"/>
        </w:rPr>
        <w:t xml:space="preserve">Overall Year 1 ROI = ($26962500 - $805000) / $805000 = 3249%</w:t>
      </w:r>
    </w:p>
    <w:p>
      <w:pPr>
        <w:spacing w:after="160" w:before="120"/>
        <w:jc w:val="center"/>
      </w:pPr>
      <w:r>
        <w:drawing>
          <wp:inline distT="0" distB="0" distL="0" distR="0">
            <wp:extent cx="4762500" cy="2857500"/>
            <wp:effectExtent t="0" r="0" b="0" l="0"/>
            <wp:docPr id="7"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160" w:before="120"/>
        <w:jc w:val="center"/>
      </w:pPr>
      <w:r>
        <w:drawing>
          <wp:inline distT="0" distB="0" distL="0" distR="0">
            <wp:extent cx="4762500" cy="2857500"/>
            <wp:effectExtent t="0" r="0" b="0" l="0"/>
            <wp:docPr id="8"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sz w:val="22"/>
          <w:szCs w:val="22"/>
        </w:rPr>
        <w:t xml:space="preserve">Before and after ALE values: API Bypass $750000 to $75000. Database Injection $31250000 to $7812500. Session Hijacking $3000000 to $150000.</w:t>
      </w:r>
    </w:p>
    <w:p>
      <w:pPr>
        <w:pStyle w:val="Heading2"/>
        <w:spacing w:after="100" w:before="200"/>
      </w:pPr>
      <w:r>
        <w:rPr>
          <w:rFonts w:ascii="Calibri" w:cs="Calibri" w:eastAsia="Calibri" w:hAnsi="Calibri"/>
          <w:b/>
          <w:bCs/>
          <w:color w:val="2E5597"/>
          <w:sz w:val="25"/>
          <w:szCs w:val="25"/>
        </w:rPr>
        <w:t xml:space="preserve">Task 7: Risk Treatment Timeline</w:t>
      </w:r>
    </w:p>
    <w:p>
      <w:pPr>
        <w:spacing w:after="160" w:before="120"/>
        <w:jc w:val="center"/>
      </w:pPr>
      <w:r>
        <w:drawing>
          <wp:inline distT="0" distB="0" distL="0" distR="0">
            <wp:extent cx="5334000" cy="2667000"/>
            <wp:effectExtent t="0" r="0" b="0" l="0"/>
            <wp:docPr id="9"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pStyle w:val="ListParagraph"/>
        <w:numPr>
          <w:ilvl w:val="0"/>
          <w:numId w:val="2"/>
        </w:numPr>
        <w:spacing w:after="60"/>
      </w:pPr>
      <w:r>
        <w:rPr>
          <w:rFonts w:ascii="Calibri" w:cs="Calibri" w:eastAsia="Calibri" w:hAnsi="Calibri"/>
          <w:sz w:val="22"/>
          <w:szCs w:val="22"/>
        </w:rPr>
        <w:t xml:space="preserve">First 30 days: emergency patching and WAF deployment and better monitoring to cut the 48 hour detection time</w:t>
      </w:r>
    </w:p>
    <w:p>
      <w:pPr>
        <w:pStyle w:val="ListParagraph"/>
        <w:numPr>
          <w:ilvl w:val="0"/>
          <w:numId w:val="2"/>
        </w:numPr>
        <w:spacing w:after="60"/>
      </w:pPr>
      <w:r>
        <w:rPr>
          <w:rFonts w:ascii="Calibri" w:cs="Calibri" w:eastAsia="Calibri" w:hAnsi="Calibri"/>
          <w:sz w:val="22"/>
          <w:szCs w:val="22"/>
        </w:rPr>
        <w:t xml:space="preserve">Within 90 days: WAF finished and MFA rolled out</w:t>
      </w:r>
    </w:p>
    <w:p>
      <w:pPr>
        <w:pStyle w:val="ListParagraph"/>
        <w:numPr>
          <w:ilvl w:val="0"/>
          <w:numId w:val="2"/>
        </w:numPr>
        <w:spacing w:after="60"/>
      </w:pPr>
      <w:r>
        <w:rPr>
          <w:rFonts w:ascii="Calibri" w:cs="Calibri" w:eastAsia="Calibri" w:hAnsi="Calibri"/>
          <w:sz w:val="22"/>
          <w:szCs w:val="22"/>
        </w:rPr>
        <w:t xml:space="preserve">Within 1 year: API Gateway live and penetration test retest done and quarterly reviews</w:t>
      </w:r>
    </w:p>
    <w:p>
      <w:pPr>
        <w:pStyle w:val="Heading1"/>
        <w:spacing w:after="120" w:before="240"/>
      </w:pPr>
      <w:r>
        <w:rPr>
          <w:rFonts w:ascii="Calibri" w:cs="Calibri" w:eastAsia="Calibri" w:hAnsi="Calibri"/>
          <w:b/>
          <w:bCs/>
          <w:color w:val="1F3864"/>
          <w:sz w:val="30"/>
          <w:szCs w:val="30"/>
        </w:rPr>
        <w:t xml:space="preserve">Bonus Challenge: Risk-Control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760"/>
        <w:gridCol w:w="1600"/>
        <w:gridCol w:w="1400"/>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Risk</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Current ALE</w:t>
            </w:r>
          </w:p>
        </w:tc>
        <w:tc>
          <w:tcPr>
            <w:tcW w:type="dxa" w:w="276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Control</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Residual ALE</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Reduction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API Bypass</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$750000</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API Gateway ($400000 in Year 1)</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$75000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$675000</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Database Injection</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$31250000</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WAF ($175000 in Year 1)</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$7812500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$23437500</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Session Hijacking</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$3000000</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MFA ($230000 in Year 1)</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$150000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$2850000</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Total</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$35000000</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$805000</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$8037500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$26962500</w:t>
            </w:r>
          </w:p>
        </w:tc>
      </w:tr>
    </w:tbl>
    <w:p/>
    <w:p>
      <w:pPr>
        <w:spacing w:after="120"/>
      </w:pPr>
      <w:r>
        <w:rPr>
          <w:rFonts w:ascii="Calibri" w:cs="Calibri" w:eastAsia="Calibri" w:hAnsi="Calibri"/>
          <w:b/>
          <w:bCs/>
          <w:sz w:val="22"/>
          <w:szCs w:val="22"/>
        </w:rPr>
        <w:t xml:space="preserve">Optimal control selection by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Upfront Budget</w:t>
            </w:r>
          </w:p>
        </w:tc>
        <w:tc>
          <w:tcPr>
            <w:tcW w:type="dxa" w:w="35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Best Choice</w:t>
            </w:r>
          </w:p>
        </w:tc>
        <w:tc>
          <w:tcPr>
            <w:tcW w:type="dxa" w:w="286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r>
              <w:rPr>
                <w:rFonts w:ascii="Calibri" w:cs="Calibri" w:eastAsia="Calibri" w:hAnsi="Calibri"/>
                <w:b/>
                <w:bCs/>
                <w:color w:val="FFFFFF"/>
                <w:sz w:val="19"/>
                <w:szCs w:val="19"/>
              </w:rPr>
              <w:t xml:space="preserve">Risk Reduction</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Up to $150000</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WAF only</w:t>
            </w:r>
          </w:p>
        </w:tc>
        <w:tc>
          <w:tcPr>
            <w:tcW w:type="dxa" w:w="28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$23437500</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Up to $350000</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WAF + MFA</w:t>
            </w:r>
          </w:p>
        </w:tc>
        <w:tc>
          <w:tcPr>
            <w:tcW w:type="dxa" w:w="28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$26287500</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$700000 or more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All three controls</w:t>
            </w:r>
          </w:p>
        </w:tc>
        <w:tc>
          <w:tcPr>
            <w:tcW w:type="dxa" w:w="28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b w:val="false"/>
                <w:bCs w:val="false"/>
                <w:sz w:val="19"/>
                <w:szCs w:val="19"/>
              </w:rPr>
              <w:t xml:space="preserve">$26962500</w:t>
            </w:r>
          </w:p>
        </w:tc>
      </w:tr>
    </w:tbl>
    <w:p/>
    <w:p>
      <w:pPr>
        <w:spacing w:after="120"/>
      </w:pPr>
      <w:r>
        <w:rPr>
          <w:rFonts w:ascii="Calibri" w:cs="Calibri" w:eastAsia="Calibri" w:hAnsi="Calibri"/>
          <w:sz w:val="22"/>
          <w:szCs w:val="22"/>
        </w:rPr>
        <w:t xml:space="preserve">The WAF gives by far the best return because the database injection risk is so large. MFA comes next. The API Gateway costs the most for the least gain but it still pays back in about 7 months so I recommend all three if the budget allows. Residual risk is $8037500 per year and most of it is the leftover 25% of the injection risk.</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67443de9e3fd023aff844d482e5f35ea7ab8a36.png"/><Relationship Id="rId8" Type="http://schemas.openxmlformats.org/officeDocument/2006/relationships/image" Target="media/83263b563c5dfb9c84fc951ac4df72fb4d2adbb1.png"/><Relationship Id="rId9" Type="http://schemas.openxmlformats.org/officeDocument/2006/relationships/image" Target="media/71c50863cd22f1a62a9467cb5d80ebe13c97db8e.png"/><Relationship Id="rId10" Type="http://schemas.openxmlformats.org/officeDocument/2006/relationships/image" Target="media/1c95a0175e5b24d3be2472c14898406d1eebdad9.png"/><Relationship Id="rId11" Type="http://schemas.openxmlformats.org/officeDocument/2006/relationships/image" Target="media/c2f5b2e093270ad5a986c7772e775707c30ed2ea.png"/><Relationship Id="rId12" Type="http://schemas.openxmlformats.org/officeDocument/2006/relationships/image" Target="media/3987e71c84acd1b1060bd320b5b1380bb1c56171.png"/><Relationship Id="rId13" Type="http://schemas.openxmlformats.org/officeDocument/2006/relationships/image" Target="media/c2b84fc320b3b5dc77f76927f5b7b6423485a299.png"/><Relationship Id="rId14" Type="http://schemas.openxmlformats.org/officeDocument/2006/relationships/image" Target="media/b7e2f103e0d60695578c9572689e092b5f32e161.png"/><Relationship Id="rId15" Type="http://schemas.openxmlformats.org/officeDocument/2006/relationships/image" Target="media/75bcdc18fa976549aed93a6573ec469bb2ce408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2026-10-30T06:49:34.697Z</dcterms:created>
  <dcterms:modified xsi:type="dcterms:W3CDTF">2026-10-30T06:49:34.697Z</dcterms:modified>
</cp:coreProperties>
</file>

<file path=docProps/custom.xml><?xml version="1.0" encoding="utf-8"?>
<Properties xmlns="http://schemas.openxmlformats.org/officeDocument/2006/custom-properties" xmlns:vt="http://schemas.openxmlformats.org/officeDocument/2006/docPropsVTypes"/>
</file>