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MASTER CODEBOOK</w:t>
      </w:r>
    </w:p>
    <w:p>
      <w:pPr>
        <w:pStyle w:val="BodyText"/>
      </w:pPr>
      <w:r>
        <w:rPr>
          <w:iCs/>
          <w:i/>
        </w:rPr>
        <w:t xml:space="preserve">Study 1 — Integrated 2 × 2 Survey-Experiment · Version 2.0</w:t>
      </w:r>
    </w:p>
    <w:p>
      <w:pPr>
        <w:pStyle w:val="BodyText"/>
      </w:pPr>
      <w:r>
        <w:rPr>
          <w:bCs/>
          <w:b/>
        </w:rPr>
        <w:t xml:space="preserve">How AI-Driven Personalization Shapes Customer Engagement in Omnichannel Retail: A Privacy-Aware AI Agent Approach</w:t>
      </w:r>
    </w:p>
    <w:p>
      <w:pPr>
        <w:pStyle w:val="BodyText"/>
      </w:pPr>
      <w:r>
        <w:t xml:space="preserve">Governing document: Theoretical Foundations v2.4 (Amendments A-1 – A-10) · Instrument:</w:t>
      </w:r>
      <w:r>
        <w:t xml:space="preserve"> </w:t>
      </w:r>
      <w:r>
        <w:rPr>
          <w:rStyle w:val="VerbatimChar"/>
        </w:rPr>
        <w:t xml:space="preserve">PROJ_MAIN</w:t>
      </w:r>
      <w:r>
        <w:t xml:space="preserve"> </w:t>
      </w:r>
      <w:r>
        <w:t xml:space="preserve">· Pipeline:</w:t>
      </w:r>
      <w:r>
        <w:t xml:space="preserve"> </w:t>
      </w:r>
      <w:r>
        <w:rPr>
          <w:rStyle w:val="VerbatimChar"/>
        </w:rPr>
        <w:t xml:space="preserve">_config.py</w:t>
      </w:r>
    </w:p>
    <w:p>
      <w:pPr>
        <w:pStyle w:val="BodyText"/>
      </w:pPr>
      <w:r>
        <w:t xml:space="preserve">26 August 2026</w:t>
      </w:r>
    </w:p>
    <w:bookmarkStart w:id="20" w:name="purpose-and-authority"/>
    <w:p>
      <w:pPr>
        <w:pStyle w:val="Heading1"/>
      </w:pPr>
      <w:r>
        <w:t xml:space="preserve">1. Purpose and authority</w:t>
      </w:r>
    </w:p>
    <w:p>
      <w:pPr>
        <w:pStyle w:val="FirstParagraph"/>
      </w:pPr>
      <w:r>
        <w:t xml:space="preserve">This codebook is the variable-level bridge between three artefacts that must never disagree: the</w:t>
      </w:r>
      <w:r>
        <w:t xml:space="preserve"> </w:t>
      </w:r>
      <w:r>
        <w:rPr>
          <w:bCs/>
          <w:b/>
        </w:rPr>
        <w:t xml:space="preserve">Qualtrics instrument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PROJ_MAIN</w:t>
      </w:r>
      <w:r>
        <w:t xml:space="preserve">), the</w:t>
      </w:r>
      <w:r>
        <w:t xml:space="preserve"> </w:t>
      </w:r>
      <w:r>
        <w:rPr>
          <w:bCs/>
          <w:b/>
        </w:rPr>
        <w:t xml:space="preserve">analysis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src/_config.py</w:t>
      </w:r>
      <w:r>
        <w:t xml:space="preserve"> </w:t>
      </w:r>
      <w:r>
        <w:t xml:space="preserve">and scripts</w:t>
      </w:r>
      <w:r>
        <w:t xml:space="preserve"> </w:t>
      </w:r>
      <w:r>
        <w:rPr>
          <w:rStyle w:val="VerbatimChar"/>
        </w:rPr>
        <w:t xml:space="preserve">00</w:t>
      </w:r>
      <w:r>
        <w:t xml:space="preserve">–</w:t>
      </w:r>
      <w:r>
        <w:rPr>
          <w:rStyle w:val="VerbatimChar"/>
        </w:rPr>
        <w:t xml:space="preserve">07</w:t>
      </w:r>
      <w:r>
        <w:t xml:space="preserve">), and the</w:t>
      </w:r>
      <w:r>
        <w:t xml:space="preserve"> </w:t>
      </w:r>
      <w:r>
        <w:rPr>
          <w:bCs/>
          <w:b/>
        </w:rPr>
        <w:t xml:space="preserve">governing specification</w:t>
      </w:r>
      <w:r>
        <w:t xml:space="preserve"> </w:t>
      </w:r>
      <w:r>
        <w:t xml:space="preserve">(Theoretical Foundations v2.4). Where any two disagree, TF v2.4 prevails on substance and this codebook records the reconciliation.</w:t>
      </w:r>
    </w:p>
    <w:p>
      <w:pPr>
        <w:pStyle w:val="BodyText"/>
      </w:pPr>
      <w:r>
        <w:t xml:space="preserve">Every entry below was verified against the fielded instrument export, not inferred from the survey design document. Column names are exact and case-sensitive.</w:t>
      </w:r>
    </w:p>
    <w:p>
      <w:pPr>
        <w:pStyle w:val="BodyText"/>
      </w:pPr>
      <w:r>
        <w:rPr>
          <w:bCs/>
          <w:b/>
        </w:rPr>
        <w:t xml:space="preserve">Reading rule.</w:t>
      </w:r>
      <w:r>
        <w:t xml:space="preserve"> </w:t>
      </w:r>
      <w:r>
        <w:t xml:space="preserve">“</w:t>
      </w:r>
      <w:r>
        <w:t xml:space="preserve">Fielded</w:t>
      </w:r>
      <w:r>
        <w:t xml:space="preserve">”</w:t>
      </w:r>
      <w:r>
        <w:t xml:space="preserve"> </w:t>
      </w:r>
      <w:r>
        <w:t xml:space="preserve">means the respondent was asked the item and it exists in the raw export.</w:t>
      </w:r>
      <w:r>
        <w:t xml:space="preserve"> </w:t>
      </w:r>
      <w:r>
        <w:t xml:space="preserve">“</w:t>
      </w:r>
      <w:r>
        <w:t xml:space="preserve">Analysed</w:t>
      </w:r>
      <w:r>
        <w:t xml:space="preserve">”</w:t>
      </w:r>
      <w:r>
        <w:t xml:space="preserve"> </w:t>
      </w:r>
      <w:r>
        <w:t xml:space="preserve">means the item enters the measurement model. These are not the same set — see §5.2.</w:t>
      </w:r>
    </w:p>
    <w:bookmarkEnd w:id="20"/>
    <w:bookmarkStart w:id="21" w:name="version-and-amendment-log"/>
    <w:p>
      <w:pPr>
        <w:pStyle w:val="Heading1"/>
      </w:pPr>
      <w:r>
        <w:t xml:space="preserve">2. Version and amendment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codebook against the fielded instrument.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 Aug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(i)</w:t>
            </w:r>
            <w:r>
              <w:t xml:space="preserve"> </w:t>
            </w:r>
            <w:r>
              <w:t xml:space="preserve">H7 interaction variables respecified: the three-way term</w:t>
            </w:r>
            <w:r>
              <w:t xml:space="preserve"> </w:t>
            </w:r>
            <w:r>
              <w:rPr>
                <w:rStyle w:val="VerbatimChar"/>
              </w:rPr>
              <w:t xml:space="preserve">INT_x_PDPL_x_DISC</w:t>
            </w:r>
            <w:r>
              <w:t xml:space="preserve"> </w:t>
            </w:r>
            <w:r>
              <w:t xml:space="preserve">is deleted; two second-order terms</w:t>
            </w:r>
            <w:r>
              <w:t xml:space="preserve"> </w:t>
            </w:r>
            <w:r>
              <w:rPr>
                <w:rStyle w:val="VerbatimChar"/>
              </w:rPr>
              <w:t xml:space="preserve">INT_x_PDPL</w:t>
            </w:r>
            <w:r>
              <w:t xml:space="preserve"> </w:t>
            </w:r>
            <w:r>
              <w:t xml:space="preserve">(β_M1) and</w:t>
            </w:r>
            <w:r>
              <w:t xml:space="preserve"> </w:t>
            </w:r>
            <w:r>
              <w:rPr>
                <w:rStyle w:val="VerbatimChar"/>
              </w:rPr>
              <w:t xml:space="preserve">INT_x_DISC</w:t>
            </w:r>
            <w:r>
              <w:t xml:space="preserve"> </w:t>
            </w:r>
            <w:r>
              <w:t xml:space="preserve">(β_M2) are the hypothesis-bearing derived variables.</w:t>
            </w:r>
            <w:r>
              <w:t xml:space="preserve"> </w:t>
            </w:r>
            <w:r>
              <w:rPr>
                <w:rStyle w:val="VerbatimChar"/>
              </w:rPr>
              <w:t xml:space="preserve">PDPL_x_DISC</w:t>
            </w:r>
            <w:r>
              <w:t xml:space="preserve"> </w:t>
            </w:r>
            <w:r>
              <w:t xml:space="preserve">deleted.</w:t>
            </w:r>
            <w:r>
              <w:t xml:space="preserve"> </w:t>
            </w:r>
            <w:r>
              <w:rPr>
                <w:bCs/>
                <w:b/>
              </w:rPr>
              <w:t xml:space="preserve">(ii)</w:t>
            </w:r>
            <w:r>
              <w:t xml:space="preserve"> </w:t>
            </w:r>
            <w:r>
              <w:rPr>
                <w:rStyle w:val="VerbatimChar"/>
              </w:rPr>
              <w:t xml:space="preserve">REL4</w:t>
            </w:r>
            <w:r>
              <w:t xml:space="preserve"> </w:t>
            </w:r>
            <w:r>
              <w:t xml:space="preserve">reclassified from</w:t>
            </w:r>
            <w:r>
              <w:t xml:space="preserve"> </w:t>
            </w:r>
            <w:r>
              <w:rPr>
                <w:iCs/>
                <w:i/>
              </w:rPr>
              <w:t xml:space="preserve">analysed indicator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iCs/>
                <w:i/>
              </w:rPr>
              <w:t xml:space="preserve">fielded, excluded from measurement model, retained for sensitivity analysis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REL_mean</w:t>
            </w:r>
            <w:r>
              <w:t xml:space="preserve"> </w:t>
            </w:r>
            <w:r>
              <w:t xml:space="preserve">is now the mean of REL1–REL3.</w:t>
            </w:r>
            <w:r>
              <w:t xml:space="preserve"> </w:t>
            </w:r>
            <w:r>
              <w:rPr>
                <w:bCs/>
                <w:b/>
              </w:rPr>
              <w:t xml:space="preserve">(iii)</w:t>
            </w:r>
            <w:r>
              <w:t xml:space="preserve"> </w:t>
            </w:r>
            <w:r>
              <w:t xml:space="preserve">TRU and ENG item counts reconciled to the fielded instrument (TRU1–TRU5, ENG1–ENG6).</w:t>
            </w:r>
            <w:r>
              <w:t xml:space="preserve"> </w:t>
            </w:r>
            <w:r>
              <w:rPr>
                <w:bCs/>
                <w:b/>
              </w:rPr>
              <w:t xml:space="preserve">(iv)</w:t>
            </w:r>
            <w:r>
              <w:t xml:space="preserve"> </w:t>
            </w:r>
            <w:r>
              <w:t xml:space="preserve">Item-count constants split into fielded (33) and analysed (32) with an explicit rule per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 v2.4, Amendments A-8, A-9, A-10</w:t>
            </w:r>
          </w:p>
        </w:tc>
      </w:tr>
    </w:tbl>
    <w:bookmarkEnd w:id="21"/>
    <w:bookmarkStart w:id="22" w:name="dataset-inventory"/>
    <w:p>
      <w:pPr>
        <w:pStyle w:val="Heading1"/>
      </w:pPr>
      <w:r>
        <w:t xml:space="preserve">3. Dataset inventory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data/raw/&lt;export&gt;.csv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Qualtrics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header rows (names, question text, ImportId JSON); Likert values as choice</w:t>
            </w:r>
            <w:r>
              <w:t xml:space="preserve"> </w:t>
            </w:r>
            <w:r>
              <w:rPr>
                <w:bCs/>
                <w:b/>
              </w:rPr>
              <w:t xml:space="preserve">text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VIG_TIME_*</w:t>
            </w:r>
            <w:r>
              <w:t xml:space="preserve"> </w:t>
            </w:r>
            <w:r>
              <w:t xml:space="preserve">duplicated 4× (one set per vignette block)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_qualtrics_io.load_and_normalize()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rows stripped; Likert text parsed to integers;</w:t>
            </w:r>
            <w:r>
              <w:t xml:space="preserve"> </w:t>
            </w:r>
            <w:r>
              <w:rPr>
                <w:rStyle w:val="VerbatimChar"/>
              </w:rPr>
              <w:t xml:space="preserve">VIG_TIME_*</w:t>
            </w:r>
            <w:r>
              <w:t xml:space="preserve"> </w:t>
            </w:r>
            <w:r>
              <w:t xml:space="preserve">coalesced;</w:t>
            </w:r>
            <w:r>
              <w:t xml:space="preserve"> </w:t>
            </w:r>
            <w:r>
              <w:rPr>
                <w:rStyle w:val="VerbatimChar"/>
              </w:rPr>
              <w:t xml:space="preserve">CHAN</w:t>
            </w:r>
            <w:r>
              <w:t xml:space="preserve"> </w:t>
            </w:r>
            <w:r>
              <w:t xml:space="preserve">decoded to booleans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data/processed/{pilot\|main}_clean.csv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01_clean.py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exclusions applied; soft flags added; condition variables cast to</w:t>
            </w:r>
            <w:r>
              <w:t xml:space="preserve"> </w:t>
            </w:r>
            <w:r>
              <w:rPr>
                <w:rStyle w:val="VerbatimChar"/>
              </w:rPr>
              <w:t xml:space="preserve">Int64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in-script / SmartPLS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</w:t>
            </w:r>
            <w:r>
              <w:t xml:space="preserve">–</w:t>
            </w:r>
            <w:r>
              <w:rPr>
                <w:rStyle w:val="VerbatimChar"/>
              </w:rPr>
              <w:t xml:space="preserve">07</w:t>
            </w:r>
            <w:r>
              <w:t xml:space="preserve">, SmartPLS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 scores and interaction terms per §5</w:t>
            </w:r>
          </w:p>
        </w:tc>
      </w:tr>
    </w:tbl>
    <w:p>
      <w:pPr>
        <w:pStyle w:val="BodyText"/>
      </w:pPr>
      <w:r>
        <w:rPr>
          <w:bCs/>
          <w:b/>
        </w:rPr>
        <w:t xml:space="preserve">Never analyse the raw export directly.</w:t>
      </w:r>
      <w:r>
        <w:t xml:space="preserve"> </w:t>
      </w:r>
      <w:r>
        <w:t xml:space="preserve">Every Likert column arrives as choice text (e.g. </w:t>
      </w:r>
      <w:r>
        <w:rPr>
          <w:rStyle w:val="VerbatimChar"/>
        </w:rPr>
        <w:t xml:space="preserve">"3 - Không đồng ý một phần\n(Partly disagree)"</w:t>
      </w:r>
      <w:r>
        <w:t xml:space="preserve">); a script reading it without the loader coerces the entire battery to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"/>
    <w:bookmarkStart w:id="38" w:name="variable-register"/>
    <w:p>
      <w:pPr>
        <w:pStyle w:val="Heading1"/>
      </w:pPr>
      <w:r>
        <w:t xml:space="preserve">4. Variable register</w:t>
      </w:r>
    </w:p>
    <w:bookmarkStart w:id="23" w:name="system-and-administrative"/>
    <w:p>
      <w:pPr>
        <w:pStyle w:val="Heading2"/>
      </w:pPr>
      <w:r>
        <w:t xml:space="preserve">4.1 System and administrative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Qualtrics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key. Never analysed.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 (in seconds)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Speeding exclusion (§6.1). Note the spaces and parentheses in the column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RecordedDate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Qualtrics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VIG_TIME_First Click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VIG_TIME_Last Click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VIG_TIME_Page 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VIG_TIME_Click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/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Vignette exposure timing.</w:t>
            </w:r>
            <w:r>
              <w:t xml:space="preserve"> </w:t>
            </w:r>
            <w:r>
              <w:rPr>
                <w:bCs/>
                <w:b/>
              </w:rPr>
              <w:t xml:space="preserve">Physically duplicated 4× in the raw export</w:t>
            </w:r>
            <w:r>
              <w:t xml:space="preserve">; coalesced by the loader before use. Descriptive / attention diagnostics only.</w:t>
            </w:r>
          </w:p>
        </w:tc>
      </w:tr>
    </w:tbl>
    <w:bookmarkEnd w:id="23"/>
    <w:bookmarkStart w:id="24" w:name="consent-and-screener"/>
    <w:p>
      <w:pPr>
        <w:pStyle w:val="Heading2"/>
      </w:pPr>
      <w:r>
        <w:t xml:space="preserve">4.2 Consent and screener</w:t>
      </w:r>
    </w:p>
    <w:p>
      <w:pPr>
        <w:pStyle w:val="FirstParagraph"/>
      </w:pPr>
      <w:r>
        <w:t xml:space="preserve">All three are terminate-on-fail in the Survey Flow; rows reaching the cleaning script that fail are treated as hard drops.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 /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Anh/Chị có đồng ý tham gia khảo sát này không? /</w:t>
            </w:r>
            <w:r>
              <w:t xml:space="preserve"> </w:t>
            </w:r>
            <w:r>
              <w:rPr>
                <w:iCs/>
                <w:i/>
              </w:rPr>
              <w:t xml:space="preserve">Do you agree to participate in this survey?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Tôi đồng ý tham gia; 0 = Tôi không đồng 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only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Anchor must retain Vietnamese diacritics</w:t>
            </w:r>
            <w:r>
              <w:t xml:space="preserve"> </w:t>
            </w:r>
            <w:r>
              <w:t xml:space="preserve">— an ASCII-stripped anchor matches zero real responses and silently drops the entire sample.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Anh/Chị có đủ 18 tuổi trở lên không? /</w:t>
            </w:r>
            <w:r>
              <w:t xml:space="preserve"> </w:t>
            </w:r>
            <w:r>
              <w:rPr>
                <w:iCs/>
                <w:i/>
              </w:rPr>
              <w:t xml:space="preserve">Are you 18 or older?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Có; 0 =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only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. Ethics requirement, not a sampling preference.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 3 tháng gần đây… qua ít nhất 2 kênh khác nhau không? /</w:t>
            </w:r>
            <w:r>
              <w:t xml:space="preserve"> </w:t>
            </w:r>
            <w:r>
              <w:rPr>
                <w:iCs/>
                <w:i/>
              </w:rPr>
              <w:t xml:space="preserve">…through at least 2 different channels?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Có; 0 =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only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. This is the operational definition of</w:t>
            </w:r>
            <w:r>
              <w:t xml:space="preserve"> </w:t>
            </w:r>
            <w:r>
              <w:t xml:space="preserve">“</w:t>
            </w:r>
            <w:r>
              <w:t xml:space="preserve">omnichannel consumer</w:t>
            </w:r>
            <w:r>
              <w:t xml:space="preserve">”</w:t>
            </w:r>
            <w:r>
              <w:t xml:space="preserve"> </w:t>
            </w:r>
            <w:r>
              <w:t xml:space="preserve">for the sampling frame.</w:t>
            </w:r>
          </w:p>
        </w:tc>
      </w:tr>
    </w:tbl>
    <w:bookmarkEnd w:id="24"/>
    <w:bookmarkStart w:id="25" w:name="Xc57872a8d46d2662587df721d200044e9e067f4"/>
    <w:p>
      <w:pPr>
        <w:pStyle w:val="Heading2"/>
      </w:pPr>
      <w:r>
        <w:t xml:space="preserve">4.3 Experimental design variables (Embedded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in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Low AIP, 1 = High 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Between-subjects factor. ANOVA factor (H1/H2 experimental replication). Not a latent construct.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 Disclosure, 1 = With 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DISC variable.</w:t>
            </w:r>
            <w:r>
              <w:t xml:space="preserve"> </w:t>
            </w:r>
            <w:r>
              <w:t xml:space="preserve">ANOVA factor — sole confirmatory test of H3. Observed dummy predictor in the SEM (DISC → INT specification term).</w:t>
            </w:r>
            <w:r>
              <w:t xml:space="preserve"> </w:t>
            </w:r>
            <w:r>
              <w:rPr>
                <w:bCs/>
                <w:b/>
              </w:rPr>
              <w:t xml:space="preserve">Moderator in H7b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INT_x_DISC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(0,0), 2 = (0,1), 3 = (1,0), 4 = (1,1)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cross-check on Survey-Flow integrity only. Never analysed as a variable in its own right; disagreement with</w:t>
            </w:r>
            <w:r>
              <w:t xml:space="preserve"> </w:t>
            </w:r>
            <w:r>
              <w:rPr>
                <w:rStyle w:val="VerbatimChar"/>
              </w:rPr>
              <w:t xml:space="preserve">AIP_COND × DISC_COND</w:t>
            </w:r>
            <w:r>
              <w:t xml:space="preserve"> </w:t>
            </w: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flag_cell_mismatch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Governance rule 4 (TF v2.4).</w:t>
      </w:r>
      <w:r>
        <w:t xml:space="preserve"> </w:t>
      </w:r>
      <w:r>
        <w:t xml:space="preserve">DISC is</w:t>
      </w:r>
      <w:r>
        <w:t xml:space="preserve"> </w:t>
      </w:r>
      <w:r>
        <w:rPr>
          <w:iCs/>
          <w:i/>
        </w:rPr>
        <w:t xml:space="preserve">never</w:t>
      </w:r>
      <w:r>
        <w:t xml:space="preserve"> </w:t>
      </w:r>
      <w:r>
        <w:t xml:space="preserve">a Likert or reflective construct. It has no items, no loadings, no α, no AVE, no CR, and no HTMT row. Any measurement-model table containing a DISC row is a structural error. There is no</w:t>
      </w:r>
      <w:r>
        <w:t xml:space="preserve"> </w:t>
      </w:r>
      <w:r>
        <w:rPr>
          <w:rStyle w:val="VerbatimChar"/>
        </w:rPr>
        <w:t xml:space="preserve">DISC1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DISC2</w:t>
      </w:r>
      <w:r>
        <w:t xml:space="preserve"> </w:t>
      </w:r>
      <w:r>
        <w:t xml:space="preserve">column and none may be created.</w:t>
      </w:r>
    </w:p>
    <w:bookmarkEnd w:id="25"/>
    <w:bookmarkStart w:id="26" w:name="comprehension-checks-cc_gate"/>
    <w:p>
      <w:pPr>
        <w:pStyle w:val="Heading2"/>
      </w:pPr>
      <w:r>
        <w:t xml:space="preserve">4.4 Comprehension checks (CC_Gate)</w:t>
      </w:r>
    </w:p>
    <w:p>
      <w:pPr>
        <w:pStyle w:val="FirstParagraph"/>
      </w:pPr>
      <w:r>
        <w:t xml:space="preserve">Correct answer is conditional on the assigned cell. Failures are hard drops in</w:t>
      </w:r>
      <w:r>
        <w:t xml:space="preserve"> </w:t>
      </w:r>
      <w:r>
        <w:rPr>
          <w:rStyle w:val="VerbatimChar"/>
        </w:rPr>
        <w:t xml:space="preserve">01_clean.py</w:t>
      </w:r>
      <w:r>
        <w:t xml:space="preserve"> </w:t>
      </w:r>
      <w:r>
        <w:t xml:space="preserve">(the instrument terminates on failure, so surviving rows with wrong answers indicate a flow anomaly).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 /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sản phẩm được hiển thị theo cách nào? /</w:t>
            </w:r>
            <w:r>
              <w:t xml:space="preserve"> </w:t>
            </w:r>
            <w:r>
              <w:rPr>
                <w:iCs/>
                <w:i/>
              </w:rPr>
              <w:t xml:space="preserve">How was the product list displayed?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bán chạy toàn nền tảng; 2 = chọn riêng cho tôi; 3 = không nhớ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AIP_COND =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AIP_COND = 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 có hiển thị thông báo về quyền riêng tư không? /</w:t>
            </w:r>
            <w:r>
              <w:t xml:space="preserve"> </w:t>
            </w:r>
            <w:r>
              <w:rPr>
                <w:iCs/>
                <w:i/>
              </w:rPr>
              <w:t xml:space="preserve">Did ShopWave display a privacy notice?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Có; 2 = Không; 3 = không nhớ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DISC_COND = 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DISC_COND =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</w:tr>
    </w:tbl>
    <w:bookmarkEnd w:id="26"/>
    <w:bookmarkStart w:id="27" w:name="attention-checks"/>
    <w:p>
      <w:pPr>
        <w:pStyle w:val="Heading2"/>
      </w:pPr>
      <w:r>
        <w:t xml:space="preserve">4.5 Attention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Instructed-response item, placed after the INT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drop if ≠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Instructed-response item, placed after the ENG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drop if ≠ 2</w:t>
            </w:r>
          </w:p>
        </w:tc>
      </w:tr>
    </w:tbl>
    <w:p>
      <w:pPr>
        <w:pStyle w:val="BodyText"/>
      </w:pPr>
      <w:r>
        <w:t xml:space="preserve">Both are 7-point Likert-formatted and parsed by the same loader path as the substantive items. Neither enters any construct.</w:t>
      </w:r>
    </w:p>
    <w:bookmarkEnd w:id="27"/>
    <w:bookmarkStart w:id="28" w:name="manipulation-checks"/>
    <w:p>
      <w:pPr>
        <w:pStyle w:val="Heading2"/>
      </w:pPr>
      <w:r>
        <w:t xml:space="preserve">4.6 Manipulation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 /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MC_AIP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danh sách sản phẩm mà mình nhìn thấy đã được cá nhân hóa theo sở thích của riêng tôi. /</w:t>
            </w:r>
            <w:r>
              <w:t xml:space="preserve"> </w:t>
            </w:r>
            <w:r>
              <w:rPr>
                <w:iCs/>
                <w:i/>
              </w:rPr>
              <w:t xml:space="preserve">I feel that the product list I saw was personalized according to my own preferences.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7-point Likert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Independent-samples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  <w:r>
              <w:t xml:space="preserve">-test across</w:t>
            </w:r>
            <w:r>
              <w:t xml:space="preserve"> </w:t>
            </w:r>
            <w:r>
              <w:rPr>
                <w:rStyle w:val="VerbatimChar"/>
              </w:rPr>
              <w:t xml:space="preserve">AIP_COND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Gate: |d| ≥ 0.50.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MC_DISC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nhận thấy nền tảng này đã cung cấp thông báo về quyền riêng tư trước khi tôi tiếp tục duyệt xem. /</w:t>
            </w:r>
            <w:r>
              <w:t xml:space="preserve"> </w:t>
            </w:r>
            <w:r>
              <w:rPr>
                <w:iCs/>
                <w:i/>
              </w:rPr>
              <w:t xml:space="preserve">I noticed that the platform provided a privacy notice before I continued browsing.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7-point Likert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Independent-samples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  <w:r>
              <w:t xml:space="preserve">-test across</w:t>
            </w:r>
            <w:r>
              <w:t xml:space="preserve"> </w:t>
            </w:r>
            <w:r>
              <w:rPr>
                <w:rStyle w:val="VerbatimChar"/>
              </w:rPr>
              <w:t xml:space="preserve">DISC_COND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Gate: |d| ≥ 0.50.</w:t>
            </w:r>
            <w:r>
              <w:t xml:space="preserve"> </w:t>
            </w:r>
            <w:r>
              <w:t xml:space="preserve">Pilot result: d = 1.412 — clears.</w:t>
            </w:r>
          </w:p>
        </w:tc>
      </w:tr>
    </w:tbl>
    <w:p>
      <w:pPr>
        <w:pStyle w:val="BodyText"/>
      </w:pPr>
      <w:r>
        <w:t xml:space="preserve">Column names are</w:t>
      </w:r>
      <w:r>
        <w:t xml:space="preserve"> </w:t>
      </w:r>
      <w:r>
        <w:rPr>
          <w:rStyle w:val="VerbatimChar"/>
        </w:rPr>
        <w:t xml:space="preserve">MC_AIP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MC_DISC</w:t>
      </w:r>
      <w:r>
        <w:t xml:space="preserve">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MC1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MC2</w:t>
      </w:r>
      <w:r>
        <w:t xml:space="preserve">. Manipulation-check items never enter the measurement model.</w:t>
      </w:r>
    </w:p>
    <w:bookmarkEnd w:id="28"/>
    <w:bookmarkStart w:id="36" w:name="measurement-items"/>
    <w:p>
      <w:pPr>
        <w:pStyle w:val="Heading2"/>
      </w:pPr>
      <w:r>
        <w:t xml:space="preserve">4.7 Measurement items</w:t>
      </w:r>
    </w:p>
    <w:p>
      <w:pPr>
        <w:pStyle w:val="FirstParagraph"/>
      </w:pPr>
      <w:r>
        <w:t xml:space="preserve">All 33 items use an identical 7-point agreement scale, exported as choice text and parsed to integers 1–7 by</w:t>
      </w:r>
      <w:r>
        <w:t xml:space="preserve"> </w:t>
      </w:r>
      <w:r>
        <w:rPr>
          <w:rStyle w:val="VerbatimChar"/>
        </w:rPr>
        <w:t xml:space="preserve">_qualtrics_io.parse_likert_text()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 (VI)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 (EN)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toàn không đồng 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đồng 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đồng ý một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lập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ý một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toàn đồng 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agree</w:t>
            </w:r>
          </w:p>
        </w:tc>
      </w:tr>
    </w:tbl>
    <w:p>
      <w:pPr>
        <w:pStyle w:val="BodyText"/>
      </w:pPr>
      <w:r>
        <w:t xml:space="preserve">No item is reverse-coded. Missing = system missing (</w:t>
      </w:r>
      <w:r>
        <w:rPr>
          <w:rStyle w:val="VerbatimChar"/>
        </w:rPr>
        <w:t xml:space="preserve">NaN</w:t>
      </w:r>
      <w:r>
        <w:t xml:space="preserve">); there is no user-missing code on the item battery.</w:t>
      </w:r>
    </w:p>
    <w:bookmarkStart w:id="29" w:name="Xfa609727b385e4858395391ff215d5ddaabffdb"/>
    <w:p>
      <w:pPr>
        <w:pStyle w:val="Heading3"/>
      </w:pPr>
      <w:r>
        <w:t xml:space="preserve">AIP — AI Personalization Intensity (6 items, all analysed)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rStyle w:val="VerbatimChar"/>
        </w:rPr>
        <w:t xml:space="preserve">M_AIP</w:t>
      </w:r>
      <w:r>
        <w:t xml:space="preserve">. Source: Awad &amp; Krishnan (2006), adapted. Anchor: the ShopWave platform.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 sử dụng dữ liệu cá nhân của tôi (ví dụ: lịch sử mua hàng, lượt xem) để đưa ra gợi 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 uses my personal data (e.g. purchase history, views) to generate recommendations.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 ghi nhớ các tương tác trước đây của tôi và điều chỉnh nội dung hiển thị.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 remembers my previous interactions and adjusts the content shown.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 lựa chọn ưu đãi và khuyến mãi hiển thị cho tôi dựa trên hồ sơ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 selects the offers and promotions shown to me based on my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 gợi ý và thông điệp của ShopWave hướng đến riêng cá nhân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ShopWave’s recommendations and messages are directed at me personally.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Bất kể tôi dùng kênh nào (ứng dụng hay website), ShopWave đều đưa ra gợi ý phù hợp.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Regardless of the channel I use (app or website), ShopWave provides tailored recommendations.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 khuyến mãi và gợi ý sản phẩm của ShopWave nhất quán với hồ sơ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ShopWave’s promotions and product recommendations are consistent with my profile.</w:t>
            </w:r>
          </w:p>
        </w:tc>
      </w:tr>
    </w:tbl>
    <w:p>
      <w:pPr>
        <w:pStyle w:val="BodyText"/>
      </w:pPr>
      <w:r>
        <w:rPr>
          <w:iCs/>
          <w:i/>
        </w:rPr>
        <w:t xml:space="preserve">Watch item:</w:t>
      </w:r>
      <w:r>
        <w:t xml:space="preserve"> </w:t>
      </w:r>
      <w:r>
        <w:rPr>
          <w:rStyle w:val="VerbatimChar"/>
        </w:rPr>
        <w:t xml:space="preserve">AIP2</w:t>
      </w:r>
      <w:r>
        <w:t xml:space="preserve"> </w:t>
      </w:r>
      <w:r>
        <w:t xml:space="preserve">was flagged at pilot (n = 35) and is treated as small-sample noise pending main-collection CFA.</w:t>
      </w:r>
      <w:r>
        <w:t xml:space="preserve"> </w:t>
      </w:r>
      <w:r>
        <w:rPr>
          <w:bCs/>
          <w:b/>
        </w:rPr>
        <w:t xml:space="preserve">On the watch list; no action taken.</w:t>
      </w:r>
      <w:r>
        <w:t xml:space="preserve"> </w:t>
      </w:r>
      <w:r>
        <w:t xml:space="preserve">The decisive test for this construct is the AIP–REL HTMT pair (&lt; 0.85).</w:t>
      </w:r>
    </w:p>
    <w:bookmarkEnd w:id="29"/>
    <w:bookmarkStart w:id="30" w:name="X1db43de0673ceb183ca819059190e11751c9a73"/>
    <w:p>
      <w:pPr>
        <w:pStyle w:val="Heading3"/>
      </w:pPr>
      <w:r>
        <w:t xml:space="preserve">REL — Perceived Relevance (4 fielded,</w:t>
      </w:r>
      <w:r>
        <w:t xml:space="preserve"> </w:t>
      </w:r>
      <w:r>
        <w:rPr>
          <w:bCs/>
          <w:b/>
        </w:rPr>
        <w:t xml:space="preserve">3 analysed</w:t>
      </w:r>
      <w:r>
        <w:t xml:space="preserve">)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rStyle w:val="VerbatimChar"/>
        </w:rPr>
        <w:t xml:space="preserve">M_REL</w:t>
      </w:r>
      <w:r>
        <w:t xml:space="preserve">. Source: Xu et al. (2011).</w:t>
      </w:r>
      <w:r>
        <w:t xml:space="preserve"> </w:t>
      </w:r>
      <w:r>
        <w:rPr>
          <w:bCs/>
          <w:b/>
        </w:rPr>
        <w:t xml:space="preserve">Amendment A-9 applies to this construct.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sản phẩm tôi vừa xem phù hợp với nhu cầu mua sắm hiện tại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list I just viewed matches my current shopping needs.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sản phẩm tôi vừa xem phù hợp với sở thích cá nhân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list I just viewed matches my personal preferences.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Nhìn chung, tôi thấy danh sách sản phẩm tôi vừa xem có liên quan và phù hợp với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Overall, I find the product list I just viewed relevant and suitable for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Những gợi ý của ShopWave giúp tôi dễ dàng tìm được sản phẩm phù hợp/hữu ích đối với quyết định mua sắm.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ShopWave’s recommendations make it easy for me to find products that are suitable/useful for my purchase decision.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Fielded, EXCLUDED from measurement model. Sensitivity analysis only.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REL4 is excluded (A-9).</w:t>
      </w:r>
      <w:r>
        <w:t xml:space="preserve"> </w:t>
      </w:r>
      <w:r>
        <w:t xml:space="preserve">REL1–REL3 are all</w:t>
      </w:r>
      <w:r>
        <w:t xml:space="preserve"> </w:t>
      </w:r>
      <w:r>
        <w:rPr>
          <w:iCs/>
          <w:i/>
        </w:rPr>
        <w:t xml:space="preserve">fit</w:t>
      </w:r>
      <w:r>
        <w:t xml:space="preserve"> </w:t>
      </w:r>
      <w:r>
        <w:t xml:space="preserve">judgements — the content matches my needs, my preferences, me. REL4 asks about</w:t>
      </w:r>
      <w:r>
        <w:t xml:space="preserve"> </w:t>
      </w:r>
      <w:r>
        <w:rPr>
          <w:iCs/>
          <w:i/>
        </w:rPr>
        <w:t xml:space="preserve">decision usefulness / search-effort reduction</w:t>
      </w:r>
      <w:r>
        <w:t xml:space="preserve">, which is a distinct benefit facet closer to perceived usefulness than to relevance. Including it makes a construct specified as unidimensional carry two dimensions. The pilot EFA (n = 35) corroborated this with a primary loading below 0.60 and a narrow primary-to-secondary gap — the signature of a misplaced facet.</w:t>
      </w:r>
    </w:p>
    <w:p>
      <w:pPr>
        <w:pStyle w:val="BlockText"/>
      </w:pPr>
      <w:r>
        <w:rPr>
          <w:bCs/>
          <w:b/>
        </w:rPr>
        <w:t xml:space="preserve">Consequences.</w:t>
      </w:r>
      <w:r>
        <w:t xml:space="preserve"> </w:t>
      </w:r>
      <w:r>
        <w:rPr>
          <w:rStyle w:val="VerbatimChar"/>
        </w:rPr>
        <w:t xml:space="preserve">REL_mean</w:t>
      </w:r>
      <w:r>
        <w:t xml:space="preserve"> </w:t>
      </w:r>
      <w:r>
        <w:t xml:space="preserve">= mean(REL1, REL2, REL3). REL4 must not appear in any α, ρ_A, AVE, HTMT or loading table. REL4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retained in the raw and clean datasets, and the 4-item model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reported alongside the 3-item model as a sensitivity check — this is what makes the exclusion auditable rather than post-hoc.</w:t>
      </w:r>
    </w:p>
    <w:p>
      <w:pPr>
        <w:pStyle w:val="BlockText"/>
      </w:pPr>
      <w:r>
        <w:rPr>
          <w:bCs/>
          <w:b/>
        </w:rPr>
        <w:t xml:space="preserve">Residual risk.</w:t>
      </w:r>
      <w:r>
        <w:t xml:space="preserve"> </w:t>
      </w:r>
      <w:r>
        <w:t xml:space="preserve">REL is now at the three-item floor for a reflective construct. If any REL item underperforms at main collection, the construct cannot be purified further and must be reported as-is.</w:t>
      </w:r>
    </w:p>
    <w:bookmarkEnd w:id="30"/>
    <w:bookmarkStart w:id="31" w:name="X7ad82645ddd763bafab5ade2829ef987f2053e7"/>
    <w:p>
      <w:pPr>
        <w:pStyle w:val="Heading3"/>
      </w:pPr>
      <w:r>
        <w:t xml:space="preserve">INT — Perceived Intrusiveness (5 items, all analysed)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rStyle w:val="VerbatimChar"/>
        </w:rPr>
        <w:t xml:space="preserve">M_INT</w:t>
      </w:r>
      <w:r>
        <w:t xml:space="preserve">. Source: Li et al. (2017), privacy-invasion scale.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danh sách sản phẩm này gây cản trở trải nghiệm mua sắm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this product list interferes with my shopping experience.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khó chịu vì danh sách sản phẩm này làm gián đoạn việc mua sắm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annoyed because this product list disrupts my shopping.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danh sách sản phẩm này quấy rầy và khó có thể lờ đi.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this product list is intrusive and hard to ignore.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trải nghiệm này xâm phạm quyền riêng tư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this experience invades my privacy.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cách sản phẩm được hiển thị cho tôi mang tính áp đặt.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the way products are shown to me is imposing.</w:t>
            </w:r>
          </w:p>
        </w:tc>
      </w:tr>
    </w:tbl>
    <w:p>
      <w:pPr>
        <w:pStyle w:val="BodyText"/>
      </w:pPr>
      <w:r>
        <w:t xml:space="preserve">INT is the focal path of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H7a and H7b. It is the only construct entering an interaction term.</w:t>
      </w:r>
    </w:p>
    <w:bookmarkEnd w:id="31"/>
    <w:bookmarkStart w:id="32" w:name="X05a7d9e68372af31b175492f46eb632183fc9ba"/>
    <w:p>
      <w:pPr>
        <w:pStyle w:val="Heading3"/>
      </w:pPr>
      <w:r>
        <w:t xml:space="preserve">TRU — Consumer Trust (5 items, all analysed) — count corrected by A-10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rStyle w:val="VerbatimChar"/>
        </w:rPr>
        <w:t xml:space="preserve">M_TRU</w:t>
      </w:r>
      <w:r>
        <w:t xml:space="preserve">. Source: McKnight et al. (2002).</w:t>
      </w:r>
      <w:r>
        <w:t xml:space="preserve"> </w:t>
      </w:r>
      <w:r>
        <w:rPr>
          <w:bCs/>
          <w:b/>
        </w:rPr>
        <w:t xml:space="preserve">TRU1–TRU3 = trusting beliefs (cognitive); TRU4–TRU5 = trusting intentions (affective).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tin ShopWave có đủ năng lực để hiểu đúng nhu cầu mua sắm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believe ShopWave is competent to correctly understand my shopping needs.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tin rằng ShopWave luôn hành động một cách trung thực và đáng tin cậy.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believe ShopWave always acts honestly and reliably.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tin rằng ShopWave hành động vì lợi ích của tôi, chứ không chỉ vì lợi ích của họ.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believe ShopWave acts in my interest, not only its 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Benevolence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an toàn khi tương tác với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safe interacting with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Nhìn chung, tôi tin tưởng vào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Overall, I trust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Affective / global</w:t>
            </w:r>
          </w:p>
        </w:tc>
      </w:tr>
    </w:tbl>
    <w:p>
      <w:pPr>
        <w:pStyle w:val="BlockText"/>
      </w:pPr>
      <w:r>
        <w:rPr>
          <w:bCs/>
          <w:b/>
        </w:rPr>
        <w:t xml:space="preserve">A-10.</w:t>
      </w:r>
      <w:r>
        <w:t xml:space="preserve"> </w:t>
      </w:r>
      <w:r>
        <w:t xml:space="preserve">TF Table 5 previously recorded TRU = 6 items and referred to</w:t>
      </w:r>
      <w:r>
        <w:t xml:space="preserve"> </w:t>
      </w:r>
      <w:r>
        <w:t xml:space="preserve">“</w:t>
      </w:r>
      <w:r>
        <w:t xml:space="preserve">TRU4–TRU6</w:t>
      </w:r>
      <w:r>
        <w:t xml:space="preserve">”</w:t>
      </w:r>
      <w:r>
        <w:t xml:space="preserve">. The instrument fields five. The register has been corrected to the instrument; the instrument is not changed.</w:t>
      </w:r>
    </w:p>
    <w:bookmarkEnd w:id="32"/>
    <w:bookmarkStart w:id="33" w:name="X2bd921ba65a8745b5d36d34ddd70bea47ebafd3"/>
    <w:p>
      <w:pPr>
        <w:pStyle w:val="Heading3"/>
      </w:pPr>
      <w:r>
        <w:t xml:space="preserve">ENG — Customer Engagement (6 items, all analysed) — count corrected by A-10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rStyle w:val="VerbatimChar"/>
        </w:rPr>
        <w:t xml:space="preserve">M_ENG</w:t>
      </w:r>
      <w:r>
        <w:t xml:space="preserve">. Source: Brodie et al. (2011), FP4 dimensions.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mua sắm trực tuyến, tôi sẽ thường nghĩ đến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shopping online, I would often think of ShopWave.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sẽ rất chú ý đến những nội dung liên quan đến các gợi ý của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would pay close attention to content related to ShopWave’s recommendations.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những cảm xúc tích cực khi tương tác với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positive emotions when interacting with ShopWave.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sẽ chủ động sử dụng và khám phá các tính năng mà ShopWave cung cấp.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would actively use and explore the features ShopWave provides.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với các nền tảng mua sắm khác, tôi sẽ dành nhiều thời gian sử dụng ShopWave hơn.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with other shopping platforms, I would spend more time using ShopWave.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cảm thấy hào hứng khi sử dụng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feel enthusiastic when using ShopWave.</w:t>
            </w:r>
          </w:p>
        </w:tc>
      </w:tr>
    </w:tbl>
    <w:p>
      <w:pPr>
        <w:pStyle w:val="BodyText"/>
      </w:pPr>
      <w:r>
        <w:rPr>
          <w:iCs/>
          <w:i/>
        </w:rPr>
        <w:t xml:space="preserve">Open item:</w:t>
      </w:r>
      <w:r>
        <w:t xml:space="preserve"> </w:t>
      </w:r>
      <w:r>
        <w:t xml:space="preserve">the FP4 dimension-label mapping (cognitive / emotional / behavioural) must be re-checked against these six items now that the count is settled — TF v2.4 §C.4.</w:t>
      </w:r>
    </w:p>
    <w:bookmarkEnd w:id="33"/>
    <w:bookmarkStart w:id="34" w:name="Xb0a50bbbbbceb8e0627848cf6d42fcfa0f1f08c"/>
    <w:p>
      <w:pPr>
        <w:pStyle w:val="Heading3"/>
      </w:pPr>
      <w:r>
        <w:t xml:space="preserve">PI — Purchase Intention (3 items, all analysed)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rStyle w:val="VerbatimChar"/>
        </w:rPr>
        <w:t xml:space="preserve">M_PI</w:t>
      </w:r>
      <w:r>
        <w:t xml:space="preserve">. Source: Pavlou (2003).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Nếu có cơ hội, tôi có ý định mua các sản phẩm được nền tảng ShopWave gợi 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the opportunity, I intend to buy the products ShopWave recommends.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nghĩ rằng trong tương lai tôi sẽ mua hàng trên nền tảng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think I will purchase on the ShopWave platform in the future.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Dựa trên tình huống vừa đọc, nhiều khả năng tôi sẽ tiếp tục mua sắm trên ShopWave.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the scenario I just read, I am likely to continue shopping on ShopWave.</w:t>
            </w:r>
          </w:p>
        </w:tc>
      </w:tr>
    </w:tbl>
    <w:bookmarkEnd w:id="34"/>
    <w:bookmarkStart w:id="35" w:name="pdpl-pdpl-awareness-4-items-all-analysed"/>
    <w:p>
      <w:pPr>
        <w:pStyle w:val="Heading3"/>
      </w:pPr>
      <w:r>
        <w:t xml:space="preserve">PDPL — PDPL Awareness (4 items, all analysed)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rStyle w:val="VerbatimChar"/>
        </w:rPr>
        <w:t xml:space="preserve">M_PDPL</w:t>
      </w:r>
      <w:r>
        <w:t xml:space="preserve">. Newly developed on the content of Law 91/2025/QH15 (Arts. 8–10, 28).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(VI)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 (EN)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Statutory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PDPL1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biết Việt Nam hiện có luật quy định về bảo vệ dữ liệu cá nhân.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know that Vietnam currently has a law on personal data protection.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Existence of the 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PDPL2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biết mình có quyền yêu cầu doanh nghiệp xóa hoặc ngừng sử dụng dữ liệu cá nhân của tôi.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know I have the right to request businesses to delete or stop using my personal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10 (withdrawal / restriction)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PDPL3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hiểu rằng doanh nghiệp phải xin sự đồng ý của tôi trước khi thu thập dữ liệu.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understand that businesses must obtain my consent before collecting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 (consent)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PDPL4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Tôi biết mình có quyền được thông báo về việc dữ liệu cá nhân của mình được sử dụng.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know I have the right to be informed about how my personal data is used.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8 (rights) / Art. 28</w:t>
            </w:r>
          </w:p>
        </w:tc>
      </w:tr>
    </w:tbl>
    <w:p>
      <w:pPr>
        <w:pStyle w:val="BlockText"/>
      </w:pPr>
      <w:r>
        <w:rPr>
          <w:bCs/>
          <w:b/>
        </w:rPr>
        <w:t xml:space="preserve">Known defect — OD-11.</w:t>
      </w:r>
      <w:r>
        <w:t xml:space="preserve"> </w:t>
      </w:r>
      <w:r>
        <w:t xml:space="preserve">None of these four stems names Law 91/2025/QH15. As fielded, the construct measures generalized privacy-rights belief rather than awareness of this specific statute, which weakens the Gap-2 novelty claim it is meant to carry. Either the stems are revised before main collection (instrument change, requires re-freezing the build and re-running the PDPL reliability check) or the limitation is stated explicitly in the Method and Limitations sections.</w:t>
      </w:r>
      <w:r>
        <w:t xml:space="preserve"> </w:t>
      </w:r>
      <w:r>
        <w:rPr>
          <w:bCs/>
          <w:b/>
        </w:rPr>
        <w:t xml:space="preserve">The stems must never reference Decree 13/2023/NĐ-CP.</w:t>
      </w:r>
    </w:p>
    <w:p>
      <w:pPr>
        <w:pStyle w:val="FirstParagraph"/>
      </w:pPr>
      <w:r>
        <w:t xml:space="preserve">PDPL is the moderator in</w:t>
      </w:r>
      <w:r>
        <w:t xml:space="preserve"> </w:t>
      </w:r>
      <w:r>
        <w:rPr>
          <w:bCs/>
          <w:b/>
        </w:rPr>
        <w:t xml:space="preserve">H7a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INT_x_PDPL</w:t>
      </w:r>
      <w:r>
        <w:t xml:space="preserve">.</w:t>
      </w:r>
    </w:p>
    <w:bookmarkEnd w:id="35"/>
    <w:bookmarkEnd w:id="36"/>
    <w:bookmarkStart w:id="37" w:name="demographics-and-covariates"/>
    <w:p>
      <w:pPr>
        <w:pStyle w:val="Heading2"/>
      </w:pPr>
      <w:r>
        <w:t xml:space="preserve">4.8 Demographics and covariates</w:t>
      </w:r>
    </w:p>
    <w:p>
      <w:pPr>
        <w:pStyle w:val="FirstParagraph"/>
      </w:pPr>
      <w:r>
        <w:t xml:space="preserve">All demographic items carry a</w:t>
      </w:r>
      <w:r>
        <w:t xml:space="preserve"> </w:t>
      </w:r>
      <w:r>
        <w:rPr>
          <w:iCs/>
          <w:i/>
        </w:rPr>
        <w:t xml:space="preserve">Không muốn nêu / Prefer not to say</w:t>
      </w:r>
      <w:r>
        <w:t xml:space="preserve"> </w:t>
      </w:r>
      <w:r>
        <w:t xml:space="preserve">option coded</w:t>
      </w:r>
      <w:r>
        <w:t xml:space="preserve"> </w:t>
      </w:r>
      <w:r>
        <w:rPr>
          <w:bCs/>
          <w:b/>
        </w:rPr>
        <w:t xml:space="preserve">−98</w:t>
      </w:r>
      <w:r>
        <w:t xml:space="preserve"> </w:t>
      </w:r>
      <w:r>
        <w:t xml:space="preserve">except</w:t>
      </w:r>
      <w:r>
        <w:t xml:space="preserve"> </w:t>
      </w:r>
      <w:r>
        <w:rPr>
          <w:rStyle w:val="VerbatimChar"/>
        </w:rPr>
        <w:t xml:space="preserve">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PRIOR</w:t>
      </w:r>
      <w:r>
        <w:t xml:space="preserve">, which do not.</w:t>
      </w:r>
      <w:r>
        <w:t xml:space="preserve"> </w:t>
      </w:r>
      <w:r>
        <w:rPr>
          <w:bCs/>
          <w:b/>
        </w:rPr>
        <w:t xml:space="preserve">−98 must be recoded to missing before any statistic is computed</w:t>
      </w:r>
      <w:r>
        <w:t xml:space="preserve"> </w:t>
      </w:r>
      <w:r>
        <w:t xml:space="preserve">— treating it as a valid ordinal value would place</w:t>
      </w:r>
      <w:r>
        <w:t xml:space="preserve"> </w:t>
      </w:r>
      <w:r>
        <w:t xml:space="preserve">“</w:t>
      </w:r>
      <w:r>
        <w:t xml:space="preserve">prefer not to say</w:t>
      </w:r>
      <w:r>
        <w:t xml:space="preserve">”</w:t>
      </w:r>
      <w:r>
        <w:t xml:space="preserve"> </w:t>
      </w:r>
      <w:r>
        <w:t xml:space="preserve">below the lowest substantive category.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tuổi / Age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18–24; 2 = 25–34; 3 = 35–44; 4 = 45–54; 5 = 55+; −98 = prefer not to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Giới tính / 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Nam; 2 = Nữ; 3 = Khác; −98 = prefer not to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Trình độ học vấn / Highest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THPT trở xuống; 2 = Trung cấp–Cao đẳng; 3 = Đại học; 4 = Sau đại học; −98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nhập cá nhân hằng tháng / Monthly personal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&lt; 5tr; 2 = 5–10tr; 3 = &gt;10–20tr; 4 = &gt;20–40tr; 5 = &gt;40tr VND; −98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Tần suất mua sắm trực tuyến / Online shopping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rất ít khi; 2 = vài lần mỗi năm; 3 = khoảng mỗi tháng; 4 = khoảng mỗi tuần; 5 = nhiều lần mỗi tuần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Nền tảng mua nhiều nhất / Most-used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Shopee; 2 = Lazada; 3 = TikTok Shop; 4 = Tiki; 5 = 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PLAT_5_TEXT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for</w:t>
            </w:r>
            <w:r>
              <w:t xml:space="preserve"> </w:t>
            </w:r>
            <w:r>
              <w:rPr>
                <w:rStyle w:val="VerbatimChar"/>
              </w:rPr>
              <w:t xml:space="preserve">PLAT</w:t>
            </w:r>
            <w:r>
              <w:t xml:space="preserve"> </w:t>
            </w:r>
            <w:r>
              <w:t xml:space="preserve">=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 sử dụng nền tảng / Tenure on that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&lt; 6 tháng; 2 = 6–12 tháng; 3 = 1–3 năm; 4 = &gt; 3 năm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đã mua (chọn nhiều) / Channels used (multi-select)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choice numbers 1–5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PLAT</w:t>
      </w:r>
      <w:r>
        <w:t xml:space="preserve"> </w:t>
      </w:r>
      <w:r>
        <w:t xml:space="preserve">is piped into the</w:t>
      </w:r>
      <w:r>
        <w:t xml:space="preserve"> </w:t>
      </w:r>
      <w:r>
        <w:rPr>
          <w:rStyle w:val="VerbatimChar"/>
        </w:rPr>
        <w:t xml:space="preserve">PRIOR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</w:t>
      </w:r>
      <w:r>
        <w:t xml:space="preserve"> </w:t>
      </w:r>
      <w:r>
        <w:t xml:space="preserve">stems via Qualtrics piped text, so those two items are conditional on the</w:t>
      </w:r>
      <w:r>
        <w:t xml:space="preserve"> </w:t>
      </w:r>
      <w:r>
        <w:rPr>
          <w:rStyle w:val="VerbatimChar"/>
        </w:rPr>
        <w:t xml:space="preserve">PLAT</w:t>
      </w:r>
      <w:r>
        <w:t xml:space="preserve"> </w:t>
      </w:r>
      <w:r>
        <w:t xml:space="preserve">answer.</w:t>
      </w:r>
    </w:p>
    <w:p>
      <w:pPr>
        <w:pStyle w:val="BodyText"/>
      </w:pPr>
      <w:r>
        <w:rPr>
          <w:rStyle w:val="VerbatimChar"/>
          <w:bCs/>
          <w:b/>
        </w:rPr>
        <w:t xml:space="preserve">CHAN</w:t>
      </w:r>
      <w:r>
        <w:rPr>
          <w:bCs/>
          <w:b/>
        </w:rPr>
        <w:t xml:space="preserve"> </w:t>
      </w:r>
      <w:r>
        <w:rPr>
          <w:bCs/>
          <w:b/>
        </w:rPr>
        <w:t xml:space="preserve">decoding.</w:t>
      </w:r>
      <w:r>
        <w:t xml:space="preserve"> </w:t>
      </w:r>
      <w:r>
        <w:t xml:space="preserve">The loader expands</w:t>
      </w:r>
      <w:r>
        <w:t xml:space="preserve"> </w:t>
      </w:r>
      <w:r>
        <w:rPr>
          <w:rStyle w:val="VerbatimChar"/>
        </w:rPr>
        <w:t xml:space="preserve">CHAN</w:t>
      </w:r>
      <w:r>
        <w:t xml:space="preserve"> </w:t>
      </w:r>
      <w:r>
        <w:t xml:space="preserve">into five booleans: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Derived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Ứng dụng di động / platform mobile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của nền tảng / platform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Livestream bán hàng / platform livestream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Cửa hàng vật lý / physical store of the same retailer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CHAN_SOC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mạng xã hội của nhà bán lẻ / retailer’s social media channel</w:t>
            </w:r>
          </w:p>
        </w:tc>
      </w:tr>
    </w:tbl>
    <w:p>
      <w:pPr>
        <w:pStyle w:val="BodyText"/>
      </w:pPr>
      <w:r>
        <w:t xml:space="preserve">Channel breadth (count of TRUE across the five) is available as a sample-description statistic and as a candidate control variable;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construct and carries no hypothesis.</w:t>
      </w:r>
    </w:p>
    <w:bookmarkEnd w:id="37"/>
    <w:bookmarkEnd w:id="38"/>
    <w:bookmarkStart w:id="42" w:name="derived-variables"/>
    <w:p>
      <w:pPr>
        <w:pStyle w:val="Heading1"/>
      </w:pPr>
      <w:r>
        <w:t xml:space="preserve">5. Derived variables</w:t>
      </w:r>
    </w:p>
    <w:bookmarkStart w:id="39" w:name="construct-scores"/>
    <w:p>
      <w:pPr>
        <w:pStyle w:val="Heading2"/>
      </w:pPr>
      <w:r>
        <w:t xml:space="preserve">5.1 Construct scores</w:t>
      </w:r>
    </w:p>
    <w:p>
      <w:pPr>
        <w:pStyle w:val="FirstParagraph"/>
      </w:pPr>
      <w:r>
        <w:t xml:space="preserve">Computed as the unweighted mean of the</w:t>
      </w:r>
      <w:r>
        <w:t xml:space="preserve"> </w:t>
      </w:r>
      <w:r>
        <w:rPr>
          <w:bCs/>
          <w:b/>
        </w:rPr>
        <w:t xml:space="preserve">analysed</w:t>
      </w:r>
      <w:r>
        <w:t xml:space="preserve"> </w:t>
      </w:r>
      <w:r>
        <w:t xml:space="preserve">items only. Used for the ANOVA, descriptives, and the two-stage interaction terms — not for the PLS measurement model, which works from the indicators directly.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mean(AIP1…AIP6)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REL_mean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mean(REL1, REL2, REL3)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REL4 excluded (A-9)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REL_mean_4item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mean(REL1…REL4)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Sensitivity analysis only.</w:t>
            </w:r>
            <w:r>
              <w:t xml:space="preserve"> </w:t>
            </w:r>
            <w:r>
              <w:t xml:space="preserve">Never the primary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mean(INT1…INT5)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variable of the two-way ANOVA (H3)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mean(TRU1…TRU5)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mean(ENG1…ENG6)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mean(PI1…PI3)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PDPL_mean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mean(PDPL1…PDPL4)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interaction-terms-h7a-and-h7b"/>
    <w:p>
      <w:pPr>
        <w:pStyle w:val="Heading2"/>
      </w:pPr>
      <w:r>
        <w:t xml:space="preserve">5.2 Interaction terms — H7a and H7b</w:t>
      </w:r>
    </w:p>
    <w:p>
      <w:pPr>
        <w:pStyle w:val="FirstParagraph"/>
      </w:pPr>
      <w:r>
        <w:rPr>
          <w:bCs/>
          <w:b/>
        </w:rPr>
        <w:t xml:space="preserve">This subsection changed substantially in v2.0. Read it against any older codebook copy before running anything.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INT_x_PDPL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× PDPL Awareness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β_M1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H7a</w:t>
            </w:r>
            <w:r>
              <w:t xml:space="preserve">: β_M1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Active. Generated by the two-stage approach (Becker et al., 2018) in SmartPLS 4 /</w:t>
            </w:r>
            <w:r>
              <w:t xml:space="preserve"> </w:t>
            </w:r>
            <w:r>
              <w:rPr>
                <w:rStyle w:val="VerbatimChar"/>
              </w:rPr>
              <w:t xml:space="preserve">seminr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INT_x_DISC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× DISC_COND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β_M2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H7b</w:t>
            </w:r>
            <w:r>
              <w:t xml:space="preserve">: β_M2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Active. Same generation method; DISC enters as the observed 0/1 dummy.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trike/>
              </w:rPr>
              <w:t xml:space="preserve">PDPL_x_DISC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PDPL × DISC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β_M3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DELETED (A-8).</w:t>
            </w:r>
            <w:r>
              <w:t xml:space="preserve"> </w:t>
            </w:r>
            <w:r>
              <w:t xml:space="preserve">No theoretical role once the three-way term is retired. Not estimated.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trike/>
              </w:rPr>
              <w:t xml:space="preserve">INT_x_PDPL_x_DISC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INT × PDPL × DISC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β_M4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H7 (old)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DELETED (A-8).</w:t>
            </w:r>
            <w:r>
              <w:t xml:space="preserve"> </w:t>
            </w:r>
            <w:r>
              <w:t xml:space="preserve">The three-way product term is retired project-wide.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Migration note.</w:t>
      </w:r>
      <w:r>
        <w:t xml:space="preserve"> </w:t>
      </w:r>
      <w:r>
        <w:t xml:space="preserve">Any SmartPLS model file, R script, Python script, results table, figure or slide still containing</w:t>
      </w:r>
      <w:r>
        <w:t xml:space="preserve"> </w:t>
      </w:r>
      <w:r>
        <w:rPr>
          <w:rStyle w:val="VerbatimChar"/>
        </w:rPr>
        <w:t xml:space="preserve">β_M3</w:t>
      </w:r>
      <w:r>
        <w:t xml:space="preserve">,</w:t>
      </w:r>
      <w:r>
        <w:t xml:space="preserve"> </w:t>
      </w:r>
      <w:r>
        <w:rPr>
          <w:rStyle w:val="VerbatimChar"/>
        </w:rPr>
        <w:t xml:space="preserve">β_M4</w:t>
      </w:r>
      <w:r>
        <w:t xml:space="preserve">, a three-way product term, or the phrase</w:t>
      </w:r>
      <w:r>
        <w:t xml:space="preserve"> </w:t>
      </w:r>
      <w:r>
        <w:t xml:space="preserve">“</w:t>
      </w:r>
      <w:r>
        <w:t xml:space="preserve">moderated moderation</w:t>
      </w:r>
      <w:r>
        <w:t xml:space="preserve">”</w:t>
      </w:r>
      <w:r>
        <w:t xml:space="preserve"> </w:t>
      </w:r>
      <w:r>
        <w:t xml:space="preserve">predates TF v2.3 and must be corrected. This includes the</w:t>
      </w:r>
      <w:r>
        <w:t xml:space="preserve"> </w:t>
      </w:r>
      <w:r>
        <w:rPr>
          <w:rStyle w:val="VerbatimChar"/>
        </w:rPr>
        <w:t xml:space="preserve">--k</w:t>
      </w:r>
      <w:r>
        <w:t xml:space="preserve"> </w:t>
      </w:r>
      <w:r>
        <w:t xml:space="preserve">predictor count in</w:t>
      </w:r>
      <w:r>
        <w:t xml:space="preserve"> </w:t>
      </w:r>
      <w:r>
        <w:rPr>
          <w:rStyle w:val="VerbatimChar"/>
        </w:rPr>
        <w:t xml:space="preserve">06_power_analysis.py</w:t>
      </w:r>
      <w:r>
        <w:t xml:space="preserve"> </w:t>
      </w:r>
      <w:r>
        <w:t xml:space="preserve">(the model now has fewer terms) and the interaction block in</w:t>
      </w:r>
      <w:r>
        <w:t xml:space="preserve"> </w:t>
      </w:r>
      <w:r>
        <w:rPr>
          <w:rStyle w:val="VerbatimChar"/>
        </w:rPr>
        <w:t xml:space="preserve">07_plssem_bridge.R</w:t>
      </w:r>
      <w:r>
        <w:t xml:space="preserve">.</w:t>
      </w:r>
    </w:p>
    <w:p>
      <w:pPr>
        <w:pStyle w:val="FirstParagraph"/>
      </w:pPr>
      <w:r>
        <w:t xml:space="preserve">Both interactions predict</w:t>
      </w:r>
      <w:r>
        <w:t xml:space="preserve"> </w:t>
      </w:r>
      <w:r>
        <w:rPr>
          <w:bCs/>
          <w:b/>
        </w:rPr>
        <w:t xml:space="preserve">TRU</w:t>
      </w:r>
      <w:r>
        <w:t xml:space="preserve"> </w:t>
      </w:r>
      <w:r>
        <w:t xml:space="preserve">and moderate the</w:t>
      </w:r>
      <w:r>
        <w:t xml:space="preserve"> </w:t>
      </w:r>
      <w:r>
        <w:rPr>
          <w:bCs/>
          <w:b/>
        </w:rPr>
        <w:t xml:space="preserve">H6a path (INT → TRU) only</w:t>
      </w:r>
      <w:r>
        <w:t xml:space="preserve"> </w:t>
      </w:r>
      <w:r>
        <w:t xml:space="preserve">— never H6b (INT → ENG), never H6c (INT → PI).</w:t>
      </w:r>
    </w:p>
    <w:bookmarkEnd w:id="40"/>
    <w:bookmarkStart w:id="41" w:name="lower-order-specification-terms"/>
    <w:p>
      <w:pPr>
        <w:pStyle w:val="Heading2"/>
      </w:pPr>
      <w:r>
        <w:t xml:space="preserve">5.3 Lower-order specification terms</w:t>
      </w:r>
    </w:p>
    <w:p>
      <w:pPr>
        <w:pStyle w:val="FirstParagraph"/>
      </w:pPr>
      <w:r>
        <w:t xml:space="preserve">Estimated because an interaction is uninterpretable without its components (Aiken &amp; West, 1991). Reported in the structural-model table; carry no hypothesis; not drawn as arrows in the figure.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PDPL → TRU (main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term. Not a hypothesis.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 → TRU (main effect)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term. Not a hypothesis.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 →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term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. H3 is tested by the ANOVA main effect, never by this path (A-5). Reporting this path as a second H3 test is a governance violation.</w:t>
            </w:r>
          </w:p>
        </w:tc>
      </w:tr>
    </w:tbl>
    <w:bookmarkEnd w:id="41"/>
    <w:bookmarkEnd w:id="42"/>
    <w:bookmarkStart w:id="45" w:name="exclusion-and-flag-variables"/>
    <w:p>
      <w:pPr>
        <w:pStyle w:val="Heading1"/>
      </w:pPr>
      <w:r>
        <w:t xml:space="preserve">6. Exclusion and flag variables</w:t>
      </w:r>
    </w:p>
    <w:bookmarkStart w:id="43" w:name="hard-drops-pre-registered"/>
    <w:p>
      <w:pPr>
        <w:pStyle w:val="Heading2"/>
      </w:pPr>
      <w:r>
        <w:t xml:space="preserve">6.1 Hard drops (pre-registered)</w:t>
      </w:r>
    </w:p>
    <w:p>
      <w:pPr>
        <w:pStyle w:val="FirstParagraph"/>
      </w:pPr>
      <w:r>
        <w:t xml:space="preserve">Applied in this order by</w:t>
      </w:r>
      <w:r>
        <w:t xml:space="preserve"> </w:t>
      </w:r>
      <w:r>
        <w:rPr>
          <w:rStyle w:val="VerbatimChar"/>
        </w:rPr>
        <w:t xml:space="preserve">01_clean.py</w:t>
      </w:r>
      <w:r>
        <w:t xml:space="preserve">. Every threshold lives in</w:t>
      </w:r>
      <w:r>
        <w:t xml:space="preserve"> </w:t>
      </w:r>
      <w:r>
        <w:rPr>
          <w:rStyle w:val="VerbatimChar"/>
        </w:rPr>
        <w:t xml:space="preserve">_config.py</w:t>
      </w:r>
      <w:r>
        <w:t xml:space="preserve"> </w:t>
      </w:r>
      <w:r>
        <w:t xml:space="preserve">as a named constant and is changed only there, with the change and reason logged.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</w:t>
            </w:r>
            <w:r>
              <w:t xml:space="preserve"> </w:t>
            </w:r>
            <w:r>
              <w:t xml:space="preserve">≠ 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CONSENT_OK_ANCHOR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SCR_AGE</w:t>
            </w:r>
            <w:r>
              <w:t xml:space="preserve"> </w:t>
            </w:r>
            <w:r>
              <w:t xml:space="preserve">≠ 18+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AGE_OK_ANCHOR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SCR1</w:t>
            </w:r>
            <w:r>
              <w:t xml:space="preserve"> </w:t>
            </w:r>
            <w:r>
              <w:t xml:space="preserve">≠ yes (omnichannel screener)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OMNI_OK_ANCHOR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ATT1</w:t>
            </w:r>
            <w:r>
              <w:t xml:space="preserve"> </w:t>
            </w:r>
            <w:r>
              <w:t xml:space="preserve">≠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ATT1_CORRECT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ATT2</w:t>
            </w:r>
            <w:r>
              <w:t xml:space="preserve"> </w:t>
            </w:r>
            <w:r>
              <w:t xml:space="preserve">≠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ATT2_CORRECT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CC1</w:t>
            </w:r>
            <w:r>
              <w:t xml:space="preserve"> </w:t>
            </w:r>
            <w:r>
              <w:t xml:space="preserve">≠ cell-correct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from</w:t>
            </w:r>
            <w:r>
              <w:t xml:space="preserve"> </w:t>
            </w:r>
            <w:r>
              <w:rPr>
                <w:rStyle w:val="VerbatimChar"/>
              </w:rPr>
              <w:t xml:space="preserve">AIP_COND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CC2</w:t>
            </w:r>
            <w:r>
              <w:t xml:space="preserve"> </w:t>
            </w:r>
            <w:r>
              <w:t xml:space="preserve">≠ cell-correct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from</w:t>
            </w:r>
            <w:r>
              <w:t xml:space="preserve"> </w:t>
            </w:r>
            <w:r>
              <w:rPr>
                <w:rStyle w:val="VerbatimChar"/>
              </w:rPr>
              <w:t xml:space="preserve">DISC_COND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 (in seconds)</w:t>
            </w:r>
            <w:r>
              <w:t xml:space="preserve"> </w:t>
            </w:r>
            <w:r>
              <w:t xml:space="preserve">&lt;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SPEEDING_MIN_SECONDS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&gt; 10%</w:t>
            </w:r>
            <w:r>
              <w:t xml:space="preserve"> </w:t>
            </w:r>
            <w:r>
              <w:rPr>
                <w:bCs/>
                <w:b/>
              </w:rPr>
              <w:t xml:space="preserve">of the 33 fielded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MAX_MISSING_ITEM_PCT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9 uses the fielded count (33), not the analysed count (32)</w:t>
      </w:r>
      <w:r>
        <w:t xml:space="preserve"> </w:t>
      </w:r>
      <w:r>
        <w:t xml:space="preserve">— the screen tests whether the respondent engaged with what they were asked. Screening on 32 would let a REL4-only non-response change someone’s inclusion status for no substantive reason (TF v2.4 §C.4.1).</w:t>
      </w:r>
    </w:p>
    <w:bookmarkEnd w:id="43"/>
    <w:bookmarkStart w:id="44" w:name="soft-flags-reported-not-dropped"/>
    <w:p>
      <w:pPr>
        <w:pStyle w:val="Heading2"/>
      </w:pPr>
      <w:r>
        <w:t xml:space="preserve">6.2 Soft flags (reported, not dropped)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flag_straightliner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across</w:t>
            </w:r>
            <w:r>
              <w:t xml:space="preserve"> </w:t>
            </w:r>
            <w:r>
              <w:rPr>
                <w:bCs/>
                <w:b/>
              </w:rPr>
              <w:t xml:space="preserve">the 33 fielded items</w:t>
            </w:r>
            <w:r>
              <w:t xml:space="preserve"> </w:t>
            </w:r>
            <w:r>
              <w:t xml:space="preserve">below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STRAIGHTLINE_SD_THRESHOLD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flag_cell_mismatch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</w:t>
            </w:r>
            <w:r>
              <w:t xml:space="preserve"> </w:t>
            </w:r>
            <w:r>
              <w:t xml:space="preserve">disagrees with</w:t>
            </w:r>
            <w:r>
              <w:t xml:space="preserve"> </w:t>
            </w:r>
            <w:r>
              <w:rPr>
                <w:rStyle w:val="VerbatimChar"/>
              </w:rPr>
              <w:t xml:space="preserve">AIP_COND × DISC_COND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Survey-Flow integrity signal, not a respondent-quality issue</w:t>
            </w:r>
          </w:p>
        </w:tc>
      </w:tr>
    </w:tbl>
    <w:p>
      <w:pPr>
        <w:pStyle w:val="BodyText"/>
      </w:pPr>
      <w:r>
        <w:t xml:space="preserve">Soft flags drive a with/without sensitivity check in the descriptives, not an exclusion.</w:t>
      </w:r>
    </w:p>
    <w:bookmarkEnd w:id="44"/>
    <w:bookmarkEnd w:id="45"/>
    <w:bookmarkStart w:id="46" w:name="analysis-role-matrix"/>
    <w:p>
      <w:pPr>
        <w:pStyle w:val="Heading1"/>
      </w:pPr>
      <w:r>
        <w:t xml:space="preserve">7. Analysis role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Hypothesis /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 /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AIP → REL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AIP items, REL1–REL3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07_plssem_bridge.R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AIP → INT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AIP items, INT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 DISC → INT (−)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DISC_COND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INT_mean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Two-way ANOVA main effect — sole confirmatory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05_anova_h3.py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 REL → TRU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REL1–REL3, TRU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 REL → ENG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REL1–REL3, ENG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H6a INT → TRU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TRU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H6b INT → ENG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ENG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H6c INT → PI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PI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H7a PDPL × INT → TRU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INT_x_PDPL</w:t>
            </w:r>
            <w:r>
              <w:t xml:space="preserve"> </w:t>
            </w:r>
            <w:r>
              <w:t xml:space="preserve">→ 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interaction, two-stage;</w:t>
            </w:r>
            <w:r>
              <w:t xml:space="preserve"> </w:t>
            </w:r>
            <w:r>
              <w:rPr>
                <w:bCs/>
                <w:b/>
              </w:rPr>
              <w:t xml:space="preserve">β_M1</w:t>
            </w:r>
            <w:r>
              <w:t xml:space="preserve">, BCa CI 10,000, individual f²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H7b DISC × INT → TRU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INT_x_DISC</w:t>
            </w:r>
            <w:r>
              <w:t xml:space="preserve"> </w:t>
            </w:r>
            <w:r>
              <w:t xml:space="preserve">→ 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interaction, two-stage;</w:t>
            </w:r>
            <w:r>
              <w:t xml:space="preserve"> </w:t>
            </w:r>
            <w:r>
              <w:rPr>
                <w:bCs/>
                <w:b/>
              </w:rPr>
              <w:t xml:space="preserve">β_M2</w:t>
            </w:r>
            <w:r>
              <w:t xml:space="preserve">, BCa CI 10,000, individual f²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 TRU →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TRU, ENG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 (reported, not hypothesised)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 ENG →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ENG, PI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PLS-SEM path (reported, not hypothesised)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 ·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H1/H2 experimental replication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AIP_COND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INT_mean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 main effect (not H-numbered)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05_anova_h3.py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AIP × DISC on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factors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Exploratory only</w:t>
            </w:r>
            <w:r>
              <w:t xml:space="preserve"> </w:t>
            </w:r>
            <w:r>
              <w:t xml:space="preserve">— must not be H-numbered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05_anova_h3.py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Manipulation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MC_AIP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MC_DISC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</w:t>
            </w:r>
            <w:r>
              <w:t xml:space="preserve">-test, Cohen’s d, gate ≥ 0.50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04_manipulation_check.py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 / EFA (pilot)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analysed items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α, 2-factor EFA on AIP + 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03_reliability_efa.py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Competing model TRU →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TRU, PI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run, Discussion only; no H-number, no 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SmartPLS 4</w:t>
            </w:r>
          </w:p>
        </w:tc>
      </w:tr>
    </w:tbl>
    <w:bookmarkEnd w:id="46"/>
    <w:bookmarkStart w:id="47" w:name="standing-prohibitions"/>
    <w:p>
      <w:pPr>
        <w:pStyle w:val="Heading1"/>
      </w:pPr>
      <w:r>
        <w:t xml:space="preserve">8. Standing prohibitions</w:t>
      </w:r>
    </w:p>
    <w:p>
      <w:pPr>
        <w:pStyle w:val="FirstParagraph"/>
      </w:pPr>
      <w:r>
        <w:t xml:space="preserve">These are the errors that have actually occurred or been narrowly avoided on this project. Each is cheap to prevent and expensive to discover late.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DISC measurement model.</w:t>
      </w:r>
      <w:r>
        <w:t xml:space="preserve"> </w:t>
      </w:r>
      <w:r>
        <w:t xml:space="preserve">No α, loadings, AVE, CR or HTMT for DISC, ever. No</w:t>
      </w:r>
      <w:r>
        <w:t xml:space="preserve"> </w:t>
      </w:r>
      <w:r>
        <w:rPr>
          <w:rStyle w:val="VerbatimChar"/>
        </w:rPr>
        <w:t xml:space="preserve">DISC1</w:t>
      </w:r>
      <w:r>
        <w:t xml:space="preserve">/</w:t>
      </w:r>
      <w:r>
        <w:rPr>
          <w:rStyle w:val="VerbatimChar"/>
        </w:rPr>
        <w:t xml:space="preserve">DISC2</w:t>
      </w:r>
      <w:r>
        <w:t xml:space="preserve"> </w:t>
      </w:r>
      <w:r>
        <w:t xml:space="preserve">column may be created.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three-way interaction.</w:t>
      </w:r>
      <w:r>
        <w:t xml:space="preserve"> </w:t>
      </w:r>
      <w:r>
        <w:t xml:space="preserve">β_M3 and β_M4 do not exist. Retired by A-8.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REL4 in the measurement model.</w:t>
      </w:r>
      <w:r>
        <w:t xml:space="preserve"> </w:t>
      </w:r>
      <w:r>
        <w:t xml:space="preserve">It stays in the dataset and in the sensitivity analysis; it never enters α, AVE, HTMT, loadings or</w:t>
      </w:r>
      <w:r>
        <w:t xml:space="preserve"> </w:t>
      </w:r>
      <w:r>
        <w:rPr>
          <w:rStyle w:val="VerbatimChar"/>
        </w:rPr>
        <w:t xml:space="preserve">REL_mean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PDPD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Decree 13/2023/NĐ-CP</w:t>
      </w:r>
      <w:r>
        <w:rPr>
          <w:bCs/>
          <w:b/>
        </w:rPr>
        <w:t xml:space="preserve">”</w:t>
      </w:r>
      <w:r>
        <w:t xml:space="preserve"> </w:t>
      </w:r>
      <w:r>
        <w:t xml:space="preserve">as the operative instrument, in any code, comment, variable name, output label, figure or manuscript text. The anchor is</w:t>
      </w:r>
      <w:r>
        <w:t xml:space="preserve"> </w:t>
      </w:r>
      <w:r>
        <w:rPr>
          <w:bCs/>
          <w:b/>
        </w:rPr>
        <w:t xml:space="preserve">Law 91/2025/QH15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second test of H3.</w:t>
      </w:r>
      <w:r>
        <w:t xml:space="preserve"> </w:t>
      </w:r>
      <w:r>
        <w:t xml:space="preserve">The ANOVA main effect is the confirmatory test; the SEM’s DISC → INT path is descriptive.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Study 2 metrics in Study 1.</w:t>
      </w:r>
      <w:r>
        <w:t xml:space="preserve"> </w:t>
      </w:r>
      <w:r>
        <w:t xml:space="preserve">Precision@10, NDCG@10 and Green Exposure Rate belong to the DSR artifact evaluation and never appear in Study 1 reporting. Study 2 carries no H-numbered hypothesis.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ASCII-stripped Vietnamese anchors.</w:t>
      </w:r>
      <w:r>
        <w:t xml:space="preserve"> </w:t>
      </w:r>
      <w:r>
        <w:t xml:space="preserve">Consent and screener anchors must retain full diacritics; an ASCII anchor matches zero real responses and silently drops the whole sample.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confirmatory PLS-SEM on pilot data.</w:t>
      </w:r>
      <w:r>
        <w:t xml:space="preserve"> </w:t>
      </w:r>
      <w:r>
        <w:t xml:space="preserve">The pilot is reliability, EFA and manipulation checks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−98 in a computed statistic.</w:t>
      </w:r>
      <w:r>
        <w:t xml:space="preserve"> </w:t>
      </w:r>
      <w:r>
        <w:t xml:space="preserve">Recode</w:t>
      </w:r>
      <w:r>
        <w:t xml:space="preserve"> </w:t>
      </w:r>
      <w:r>
        <w:t xml:space="preserve">“</w:t>
      </w:r>
      <w:r>
        <w:t xml:space="preserve">prefer not to say</w:t>
      </w:r>
      <w:r>
        <w:t xml:space="preserve">”</w:t>
      </w:r>
      <w:r>
        <w:t xml:space="preserve"> </w:t>
      </w:r>
      <w:r>
        <w:t xml:space="preserve">to missing before any demographic summary.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silent item-count drift.</w:t>
      </w:r>
      <w:r>
        <w:t xml:space="preserve"> </w:t>
      </w:r>
      <w:r>
        <w:t xml:space="preserve">Any change to the item set is an amendment to TF first, then this codebook, then</w:t>
      </w:r>
      <w:r>
        <w:t xml:space="preserve"> </w:t>
      </w:r>
      <w:r>
        <w:rPr>
          <w:rStyle w:val="VerbatimChar"/>
        </w:rPr>
        <w:t xml:space="preserve">_config.py</w:t>
      </w:r>
      <w:r>
        <w:t xml:space="preserve"> </w:t>
      </w:r>
      <w:r>
        <w:t xml:space="preserve">— in that order.</w:t>
      </w:r>
    </w:p>
    <w:bookmarkEnd w:id="47"/>
    <w:bookmarkStart w:id="48" w:name="open-items-affecting-this-codebook"/>
    <w:p>
      <w:pPr>
        <w:pStyle w:val="Heading1"/>
      </w:pPr>
      <w:r>
        <w:t xml:space="preserve">9. Open items affecting this codebook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novelty statement in TF §B.6 — withdraw or replace. Does not affect variables, but affects how H7a/H7b results are framed.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</w:t>
            </w:r>
            <w:r>
              <w:t xml:space="preserve"> </w:t>
            </w:r>
            <w:r>
              <w:rPr>
                <w:rStyle w:val="VerbatimChar"/>
              </w:rPr>
              <w:t xml:space="preserve">REL4</w:t>
            </w:r>
            <w:r>
              <w:t xml:space="preserve"> </w:t>
            </w:r>
            <w:r>
              <w:t xml:space="preserve">remains in the fielded instrument.</w:t>
            </w:r>
            <w:r>
              <w:t xml:space="preserve"> </w:t>
            </w:r>
            <w:r>
              <w:rPr>
                <w:bCs/>
                <w:b/>
              </w:rPr>
              <w:t xml:space="preserve">Default: keep fielding, exclude from the model.</w:t>
            </w:r>
            <w:r>
              <w:t xml:space="preserve"> </w:t>
            </w:r>
            <w:r>
              <w:t xml:space="preserve">Confirm or reverse before main collection opens. If reversed, this codebook changes and the pilot loses comparability with main collection.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PDPL1</w:t>
            </w:r>
            <w:r>
              <w:t xml:space="preserve">–</w:t>
            </w:r>
            <w:r>
              <w:rPr>
                <w:rStyle w:val="VerbatimChar"/>
              </w:rPr>
              <w:t xml:space="preserve">PDPL4</w:t>
            </w:r>
            <w:r>
              <w:t xml:space="preserve"> </w:t>
            </w:r>
            <w:r>
              <w:t xml:space="preserve">stems do not name Law 91/2025/QH15. Revise the stems (instrument change) or state the limitation.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 Quỳnh, ratified by Khải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Article-level citations to Law 91/2025/QH15 pending OCR verification — affects the statutory-anchor column of the PDPL table in §4.7.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 dimension-label mapping against Brodie et al. FP4, now that ENG = 6 is settled.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Phúc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Speeding and straightlining thresholds are reasoned priors, not measured facts. Revisit against real pilot duration data and log the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Phúc</w:t>
            </w:r>
          </w:p>
        </w:tc>
      </w:tr>
    </w:tbl>
    <w:bookmarkEnd w:id="48"/>
    <w:sectPr>
      <w:pgSz w:h="15840" w:w="12240"/>
      <w:pgMar w:bottom="1080" w:footer="720" w:gutter="0" w:header="720" w:left="1000" w:right="100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2026-08-26T07:19:49Z</dcterms:created>
  <dcterms:modified xsi:type="dcterms:W3CDTF">2026-08-26T07:19:49Z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