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THEORETICAL FOUNDATIONS AND REGULATORY COMPARISON</w:t>
      </w:r>
    </w:p>
    <w:p>
      <w:pPr>
        <w:pStyle w:val="BodyText"/>
      </w:pPr>
      <w:r>
        <w:rPr>
          <w:iCs/>
          <w:i/>
        </w:rPr>
        <w:t xml:space="preserve">Foundational Base Document — Version 2.4</w:t>
      </w:r>
    </w:p>
    <w:p>
      <w:pPr>
        <w:pStyle w:val="BodyText"/>
      </w:pPr>
      <w:r>
        <w:rPr>
          <w:bCs/>
          <w:b/>
        </w:rPr>
        <w:t xml:space="preserve">How AI-Driven Personalization Shapes Customer Engagement in Omnichannel Retail: A Privacy-Aware AI Agent Approach</w:t>
      </w:r>
    </w:p>
    <w:p>
      <w:pPr>
        <w:pStyle w:val="BodyText"/>
      </w:pPr>
      <w:r>
        <w:t xml:space="preserve">Consolidates: Literature Review (52 entries) · Conceptual Review (Trust Theory) · Novelty &amp; Regulatory Comparison</w:t>
      </w:r>
    </w:p>
    <w:p>
      <w:pPr>
        <w:pStyle w:val="BodyText"/>
      </w:pPr>
      <w:r>
        <w:t xml:space="preserve">Status: Team reference — single source of truth for theory, constructs, hypothesis numbering, measurement register, and regulatory framing</w:t>
      </w:r>
    </w:p>
    <w:p>
      <w:pPr>
        <w:pStyle w:val="BodyText"/>
      </w:pPr>
      <w:r>
        <w:rPr>
          <w:bCs/>
          <w:b/>
        </w:rPr>
        <w:t xml:space="preserve">Supersedes Versions 1.0, 2.0, 2.1, 2.2 and 2.3, and absorbs Amendments A-7 through A-10 in full.</w:t>
      </w:r>
      <w:r>
        <w:t xml:space="preserve"> </w:t>
      </w:r>
      <w:r>
        <w:t xml:space="preserve">Teams should work from this document alone; the separate amendment files are retained for audit trail only.</w:t>
      </w:r>
    </w:p>
    <w:p>
      <w:pPr>
        <w:pStyle w:val="BodyText"/>
      </w:pPr>
      <w:r>
        <w:t xml:space="preserve">26 August 2026</w:t>
      </w:r>
    </w:p>
    <w:bookmarkStart w:id="20" w:name="how-to-read-this-document"/>
    <w:p>
      <w:pPr>
        <w:pStyle w:val="Heading1"/>
      </w:pPr>
      <w:r>
        <w:t xml:space="preserve">How to read this document</w:t>
      </w:r>
    </w:p>
    <w:p>
      <w:pPr>
        <w:pStyle w:val="FirstParagraph"/>
      </w:pPr>
      <w:r>
        <w:t xml:space="preserve">This is a</w:t>
      </w:r>
      <w:r>
        <w:t xml:space="preserve"> </w:t>
      </w:r>
      <w:r>
        <w:rPr>
          <w:bCs/>
          <w:b/>
        </w:rPr>
        <w:t xml:space="preserve">consolidated reissue</w:t>
      </w:r>
      <w:r>
        <w:t xml:space="preserve">, not an amendment. Every ratified change from Version 1.0 forward has been folded into the running text, so no section requires cross-reference to an amendment file to be read correctly. The change log below records what changed and why; the audit trail matters for the manuscript’s methods transparency and for the competition submission, but the operative specification is always the running text.</w:t>
      </w:r>
    </w:p>
    <w:p>
      <w:pPr>
        <w:pStyle w:val="BodyText"/>
      </w:pPr>
      <w:r>
        <w:t xml:space="preserve">Three things changed since Version 2.1, and they are the reason this reissue exists:</w:t>
      </w:r>
    </w:p>
    <w:p>
      <w:pPr>
        <w:numPr>
          <w:ilvl w:val="0"/>
          <w:numId w:val="1001"/>
        </w:numPr>
        <w:pStyle w:val="Compact"/>
      </w:pPr>
      <w:r>
        <w:rPr>
          <w:bCs/>
          <w:b/>
        </w:rPr>
        <w:t xml:space="preserve">Study allocation</w:t>
      </w:r>
      <w:r>
        <w:t xml:space="preserve"> </w:t>
      </w:r>
      <w:r>
        <w:t xml:space="preserve">was realigned to the approved plan (Amendment A-7). Study 1 is the behavioural study — the 2 × 2 survey-experiment analysed</w:t>
      </w:r>
      <w:r>
        <w:t xml:space="preserve"> </w:t>
      </w:r>
      <w:r>
        <w:rPr>
          <w:iCs/>
          <w:i/>
        </w:rPr>
        <w:t xml:space="preserve">both</w:t>
      </w:r>
      <w:r>
        <w:t xml:space="preserve"> </w:t>
      </w:r>
      <w:r>
        <w:t xml:space="preserve">by PLS-SEM and by ANOVA. Study 2 is the DSR artifact only.</w:t>
      </w:r>
    </w:p>
    <w:p>
      <w:pPr>
        <w:numPr>
          <w:ilvl w:val="0"/>
          <w:numId w:val="1001"/>
        </w:numPr>
        <w:pStyle w:val="Compact"/>
      </w:pPr>
      <w:r>
        <w:rPr>
          <w:bCs/>
          <w:b/>
        </w:rPr>
        <w:t xml:space="preserve">H7 was respecified from a third-order to two second-order interactions</w:t>
      </w:r>
      <w:r>
        <w:t xml:space="preserve"> </w:t>
      </w:r>
      <w:r>
        <w:t xml:space="preserve">(Amendment A-8). H7a and H7b replace the single H7. The three-way product term is retired.</w:t>
      </w:r>
    </w:p>
    <w:p>
      <w:pPr>
        <w:numPr>
          <w:ilvl w:val="0"/>
          <w:numId w:val="1001"/>
        </w:numPr>
        <w:pStyle w:val="Compact"/>
      </w:pPr>
      <w:r>
        <w:rPr>
          <w:bCs/>
          <w:b/>
        </w:rPr>
        <w:t xml:space="preserve">The measurement register was corrected against the fielded instrument</w:t>
      </w:r>
      <w:r>
        <w:t xml:space="preserve"> </w:t>
      </w:r>
      <w:r>
        <w:t xml:space="preserve">(Amendments A-9 and A-10): REL4 is excluded from the Perceived Relevance construct, and the TRU/ENG item counts are reconciled to what was actually fielded.</w:t>
      </w:r>
    </w:p>
    <w:bookmarkEnd w:id="20"/>
    <w:bookmarkStart w:id="24" w:name="change-log"/>
    <w:p>
      <w:pPr>
        <w:pStyle w:val="Heading1"/>
      </w:pPr>
      <w:r>
        <w:t xml:space="preserve">Change Log</w:t>
      </w:r>
    </w:p>
    <w:bookmarkStart w:id="21" w:name="Xa969c465f673a207c97496ae4f69a2aaffd6918"/>
    <w:p>
      <w:pPr>
        <w:pStyle w:val="Heading2"/>
      </w:pPr>
      <w:r>
        <w:t xml:space="preserve">Table 0a. Ratified revisions, Version 1.0 → Version 2.0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Change</w:t>
            </w:r>
          </w:p>
        </w:tc>
        <w:tc>
          <w:tcPr/>
          <w:p>
            <w:pPr>
              <w:pStyle w:val="Compact"/>
              <w:jc w:val="left"/>
            </w:pPr>
            <w:r>
              <w:rPr>
                <w:bCs/>
                <w:b/>
              </w:rPr>
              <w:t xml:space="preserve">Rationale and authority</w:t>
            </w:r>
          </w:p>
        </w:tc>
      </w:tr>
      <w:tr>
        <w:tc>
          <w:tcPr/>
          <w:p>
            <w:pPr>
              <w:pStyle w:val="Compact"/>
              <w:jc w:val="left"/>
            </w:pPr>
            <w:r>
              <w:t xml:space="preserve">C-1</w:t>
            </w:r>
          </w:p>
        </w:tc>
        <w:tc>
          <w:tcPr/>
          <w:p>
            <w:pPr>
              <w:pStyle w:val="Compact"/>
              <w:jc w:val="left"/>
            </w:pPr>
            <w:r>
              <w:t xml:space="preserve">Hypothesis numbering realigned to the approved planning document:</w:t>
            </w:r>
            <w:r>
              <w:t xml:space="preserve"> </w:t>
            </w:r>
            <w:r>
              <w:rPr>
                <w:bCs/>
                <w:b/>
              </w:rPr>
              <w:t xml:space="preserve">H3 = DISC → INT (−)</w:t>
            </w:r>
            <w:r>
              <w:t xml:space="preserve"> </w:t>
            </w:r>
            <w:r>
              <w:t xml:space="preserve">and</w:t>
            </w:r>
            <w:r>
              <w:t xml:space="preserve"> </w:t>
            </w:r>
            <w:r>
              <w:rPr>
                <w:bCs/>
                <w:b/>
              </w:rPr>
              <w:t xml:space="preserve">H5 = REL → ENG (+)</w:t>
            </w:r>
            <w:r>
              <w:t xml:space="preserve">.</w:t>
            </w:r>
          </w:p>
        </w:tc>
        <w:tc>
          <w:tcPr/>
          <w:p>
            <w:pPr>
              <w:pStyle w:val="Compact"/>
              <w:jc w:val="left"/>
            </w:pPr>
            <w:r>
              <w:t xml:space="preserve">v1.0 had independently renumbered (H3 = REL → ENG; H5 = TRU → PI), so the governance document and the approved plan disagreed on what</w:t>
            </w:r>
            <w:r>
              <w:t xml:space="preserve"> </w:t>
            </w:r>
            <w:r>
              <w:t xml:space="preserve">“</w:t>
            </w:r>
            <w:r>
              <w:t xml:space="preserve">H3</w:t>
            </w:r>
            <w:r>
              <w:t xml:space="preserve">”</w:t>
            </w:r>
            <w:r>
              <w:t xml:space="preserve"> </w:t>
            </w:r>
            <w:r>
              <w:t xml:space="preserve">denotes. Planning numbering prevails; all downstream artefacts must be renumbered, not the plan.</w:t>
            </w:r>
          </w:p>
        </w:tc>
      </w:tr>
      <w:tr>
        <w:tc>
          <w:tcPr/>
          <w:p>
            <w:pPr>
              <w:pStyle w:val="Compact"/>
              <w:jc w:val="left"/>
            </w:pPr>
            <w:r>
              <w:t xml:space="preserve">C-2</w:t>
            </w:r>
          </w:p>
        </w:tc>
        <w:tc>
          <w:tcPr/>
          <w:p>
            <w:pPr>
              <w:pStyle w:val="Compact"/>
              <w:jc w:val="left"/>
            </w:pPr>
            <w:r>
              <w:rPr>
                <w:bCs/>
                <w:b/>
              </w:rPr>
              <w:t xml:space="preserve">H6 reduced to H6a and H6b.</w:t>
            </w:r>
            <w:r>
              <w:t xml:space="preserve"> </w:t>
            </w:r>
            <w:r>
              <w:t xml:space="preserve">INT → PI demoted to established path E4.</w:t>
            </w:r>
            <w:r>
              <w:t xml:space="preserve"> </w:t>
            </w:r>
            <w:r>
              <w:rPr>
                <w:bCs/>
                <w:b/>
              </w:rPr>
              <w:t xml:space="preserve">[REVERSED in v2.1 — see A-1.]</w:t>
            </w:r>
          </w:p>
        </w:tc>
        <w:tc>
          <w:tcPr/>
          <w:p>
            <w:pPr>
              <w:pStyle w:val="Compact"/>
              <w:jc w:val="left"/>
            </w:pPr>
            <w:r>
              <w:t xml:space="preserve">Team decision, 30 July 2026; reversed the same day on inspection of the ratified research model figure, in which INT → PI is drawn as a solid hypothesised path.</w:t>
            </w:r>
          </w:p>
        </w:tc>
      </w:tr>
      <w:tr>
        <w:tc>
          <w:tcPr/>
          <w:p>
            <w:pPr>
              <w:pStyle w:val="Compact"/>
              <w:jc w:val="left"/>
            </w:pPr>
            <w:r>
              <w:t xml:space="preserve">C-3</w:t>
            </w:r>
          </w:p>
        </w:tc>
        <w:tc>
          <w:tcPr/>
          <w:p>
            <w:pPr>
              <w:pStyle w:val="Compact"/>
              <w:jc w:val="left"/>
            </w:pPr>
            <w:r>
              <w:rPr>
                <w:bCs/>
                <w:b/>
              </w:rPr>
              <w:t xml:space="preserve">TRU → PI demoted</w:t>
            </w:r>
            <w:r>
              <w:t xml:space="preserve"> </w:t>
            </w:r>
            <w:r>
              <w:t xml:space="preserve">from hypothesis to established path E3.</w:t>
            </w:r>
            <w:r>
              <w:t xml:space="preserve"> </w:t>
            </w:r>
            <w:r>
              <w:rPr>
                <w:bCs/>
                <w:b/>
              </w:rPr>
              <w:t xml:space="preserve">[SUPERSEDED in v2.1 — see A-2.]</w:t>
            </w:r>
          </w:p>
        </w:tc>
        <w:tc>
          <w:tcPr/>
          <w:p>
            <w:pPr>
              <w:pStyle w:val="Compact"/>
              <w:jc w:val="left"/>
            </w:pPr>
            <w:r>
              <w:t xml:space="preserve">The approved plan does not number this path. v2.1 goes further: the path is removed from the estimated model altogether and reported as a competing-model robustness check.</w:t>
            </w:r>
          </w:p>
        </w:tc>
      </w:tr>
      <w:tr>
        <w:tc>
          <w:tcPr/>
          <w:p>
            <w:pPr>
              <w:pStyle w:val="Compact"/>
              <w:jc w:val="left"/>
            </w:pPr>
            <w:r>
              <w:t xml:space="preserve">C-4</w:t>
            </w:r>
          </w:p>
        </w:tc>
        <w:tc>
          <w:tcPr/>
          <w:p>
            <w:pPr>
              <w:pStyle w:val="Compact"/>
              <w:jc w:val="left"/>
            </w:pPr>
            <w:r>
              <w:rPr>
                <w:bCs/>
                <w:b/>
              </w:rPr>
              <w:t xml:space="preserve">H7 respecified as a moderated moderation.</w:t>
            </w:r>
            <w:r>
              <w:t xml:space="preserve"> </w:t>
            </w:r>
            <w:r>
              <w:rPr>
                <w:bCs/>
                <w:b/>
              </w:rPr>
              <w:t xml:space="preserve">[SUPERSEDED in v2.3 — see A-8.]</w:t>
            </w:r>
          </w:p>
        </w:tc>
        <w:tc>
          <w:tcPr/>
          <w:p>
            <w:pPr>
              <w:pStyle w:val="Compact"/>
              <w:jc w:val="left"/>
            </w:pPr>
            <w:r>
              <w:t xml:space="preserve">Restored the planning wording</w:t>
            </w:r>
            <w:r>
              <w:t xml:space="preserve"> </w:t>
            </w:r>
            <w:r>
              <w:t xml:space="preserve">“</w:t>
            </w:r>
            <w:r>
              <w:t xml:space="preserve">PDPD awareness × Disclosure level → mod(Intrusiveness→Trust)</w:t>
            </w:r>
            <w:r>
              <w:t xml:space="preserve">”</w:t>
            </w:r>
            <w:r>
              <w:t xml:space="preserve"> </w:t>
            </w:r>
            <w:r>
              <w:t xml:space="preserve">as a three-way product term. That reading is withdrawn by A-8; see Table 0c.</w:t>
            </w:r>
          </w:p>
        </w:tc>
      </w:tr>
      <w:tr>
        <w:tc>
          <w:tcPr/>
          <w:p>
            <w:pPr>
              <w:pStyle w:val="Compact"/>
              <w:jc w:val="left"/>
            </w:pPr>
            <w:r>
              <w:t xml:space="preserve">C-5</w:t>
            </w:r>
          </w:p>
        </w:tc>
        <w:tc>
          <w:tcPr/>
          <w:p>
            <w:pPr>
              <w:pStyle w:val="Compact"/>
              <w:jc w:val="left"/>
            </w:pPr>
            <w:r>
              <w:rPr>
                <w:bCs/>
                <w:b/>
              </w:rPr>
              <w:t xml:space="preserve">Governance rule on DISC amended.</w:t>
            </w:r>
            <w:r>
              <w:t xml:space="preserve"> </w:t>
            </w:r>
            <w:r>
              <w:t xml:space="preserve">DISC remains never a Likert construct, but enters the Study 1 structural model as a dummy-coded (0/1) experimental variable.</w:t>
            </w:r>
          </w:p>
        </w:tc>
        <w:tc>
          <w:tcPr/>
          <w:p>
            <w:pPr>
              <w:pStyle w:val="Compact"/>
              <w:jc w:val="left"/>
            </w:pPr>
            <w:r>
              <w:t xml:space="preserve">Mechanically required by C-1 and C-4. v1.0’s statement that</w:t>
            </w:r>
            <w:r>
              <w:t xml:space="preserve"> </w:t>
            </w:r>
            <w:r>
              <w:t xml:space="preserve">“</w:t>
            </w:r>
            <w:r>
              <w:t xml:space="preserve">DISC does not enter Study 1</w:t>
            </w:r>
            <w:r>
              <w:t xml:space="preserve">”</w:t>
            </w:r>
            <w:r>
              <w:t xml:space="preserve"> </w:t>
            </w:r>
            <w:r>
              <w:t xml:space="preserve">is incompatible with both and is withdrawn. Unaffected by A-8: DISC is still in the structural model, now as the H7b moderator.</w:t>
            </w:r>
          </w:p>
        </w:tc>
      </w:tr>
      <w:tr>
        <w:tc>
          <w:tcPr/>
          <w:p>
            <w:pPr>
              <w:pStyle w:val="Compact"/>
              <w:jc w:val="left"/>
            </w:pPr>
            <w:r>
              <w:t xml:space="preserve">C-6</w:t>
            </w:r>
          </w:p>
        </w:tc>
        <w:tc>
          <w:tcPr/>
          <w:p>
            <w:pPr>
              <w:pStyle w:val="Compact"/>
              <w:jc w:val="left"/>
            </w:pPr>
            <w:r>
              <w:t xml:space="preserve">Established paths formalized as a labelled register</w:t>
            </w:r>
            <w:r>
              <w:t xml:space="preserve"> </w:t>
            </w:r>
            <w:r>
              <w:rPr>
                <w:bCs/>
                <w:b/>
              </w:rPr>
              <w:t xml:space="preserve">E1–E4</w:t>
            </w:r>
            <w:r>
              <w:t xml:space="preserve"> </w:t>
            </w:r>
            <w:r>
              <w:t xml:space="preserve">(§C.1.1), replacing the unlabelled prose list of v1.0.</w:t>
            </w:r>
          </w:p>
        </w:tc>
        <w:tc>
          <w:tcPr/>
          <w:p>
            <w:pPr>
              <w:pStyle w:val="Compact"/>
              <w:jc w:val="left"/>
            </w:pPr>
            <w:r>
              <w:t xml:space="preserve">Prevents demoted paths from being silently re-promoted to hypotheses in downstream drafts. Reduced to E1–E2 by A-3.</w:t>
            </w:r>
          </w:p>
        </w:tc>
      </w:tr>
      <w:tr>
        <w:tc>
          <w:tcPr/>
          <w:p>
            <w:pPr>
              <w:pStyle w:val="Compact"/>
              <w:jc w:val="left"/>
            </w:pPr>
            <w:r>
              <w:t xml:space="preserve">C-7</w:t>
            </w:r>
          </w:p>
        </w:tc>
        <w:tc>
          <w:tcPr/>
          <w:p>
            <w:pPr>
              <w:pStyle w:val="Compact"/>
              <w:jc w:val="left"/>
            </w:pPr>
            <w:r>
              <w:rPr>
                <w:bCs/>
                <w:b/>
              </w:rPr>
              <w:t xml:space="preserve">Measurement register added</w:t>
            </w:r>
            <w:r>
              <w:t xml:space="preserve"> </w:t>
            </w:r>
            <w:r>
              <w:t xml:space="preserve">(§C.4), reproducing the planning-designated scale origins with an explicit verification status for each construct.</w:t>
            </w:r>
          </w:p>
        </w:tc>
        <w:tc>
          <w:tcPr/>
          <w:p>
            <w:pPr>
              <w:pStyle w:val="Compact"/>
              <w:jc w:val="left"/>
            </w:pPr>
            <w:r>
              <w:t xml:space="preserve">Implements the citation-sourcing rule: every item traced to its Scopus-indexed primary source, never through a secondary adaptation.</w:t>
            </w:r>
          </w:p>
        </w:tc>
      </w:tr>
      <w:tr>
        <w:tc>
          <w:tcPr/>
          <w:p>
            <w:pPr>
              <w:pStyle w:val="Compact"/>
              <w:jc w:val="left"/>
            </w:pPr>
            <w:r>
              <w:t xml:space="preserve">C-8</w:t>
            </w:r>
          </w:p>
        </w:tc>
        <w:tc>
          <w:tcPr/>
          <w:p>
            <w:pPr>
              <w:pStyle w:val="Compact"/>
              <w:jc w:val="left"/>
            </w:pPr>
            <w:r>
              <w:rPr>
                <w:bCs/>
                <w:b/>
              </w:rPr>
              <w:t xml:space="preserve">Open-decision and residual-risk register added</w:t>
            </w:r>
            <w:r>
              <w:t xml:space="preserve"> </w:t>
            </w:r>
            <w:r>
              <w:t xml:space="preserve">(§C.6).</w:t>
            </w:r>
          </w:p>
        </w:tc>
        <w:tc>
          <w:tcPr/>
          <w:p>
            <w:pPr>
              <w:pStyle w:val="Compact"/>
              <w:jc w:val="left"/>
            </w:pPr>
            <w:r>
              <w:t xml:space="preserve">Records, rather than conceals, the consequences the team must accept or revisit.</w:t>
            </w:r>
          </w:p>
        </w:tc>
      </w:tr>
    </w:tbl>
    <w:p>
      <w:pPr>
        <w:pStyle w:val="BodyText"/>
      </w:pPr>
      <w:r>
        <w:t xml:space="preserve">Rows marked [REVERSED] or [SUPERSEDED] are retained for audit trail and are not operative.</w:t>
      </w:r>
    </w:p>
    <w:bookmarkEnd w:id="21"/>
    <w:bookmarkStart w:id="22" w:name="X3e59f96bdcf940d00025c03d480763d6272fe99"/>
    <w:p>
      <w:pPr>
        <w:pStyle w:val="Heading2"/>
      </w:pPr>
      <w:r>
        <w:t xml:space="preserve">Table 0b. Amendments, Version 2.0 → Version 2.2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t xml:space="preserve">A-1</w:t>
            </w:r>
          </w:p>
        </w:tc>
        <w:tc>
          <w:tcPr/>
          <w:p>
            <w:pPr>
              <w:pStyle w:val="Compact"/>
              <w:jc w:val="left"/>
            </w:pPr>
            <w:r>
              <w:rPr>
                <w:bCs/>
                <w:b/>
              </w:rPr>
              <w:t xml:space="preserve">INT → PI restored as H6c</w:t>
            </w:r>
            <w:r>
              <w:t xml:space="preserve">, a tested hypothesis. C-2 reversed; E4 withdrawn.</w:t>
            </w:r>
          </w:p>
        </w:tc>
        <w:tc>
          <w:tcPr/>
          <w:p>
            <w:pPr>
              <w:pStyle w:val="Compact"/>
              <w:jc w:val="left"/>
            </w:pPr>
            <w:r>
              <w:t xml:space="preserve">The ratified figure draws INT → PI as a solid arrow labelled</w:t>
            </w:r>
            <w:r>
              <w:t xml:space="preserve"> </w:t>
            </w:r>
            <w:r>
              <w:t xml:space="preserve">“</w:t>
            </w:r>
            <w:r>
              <w:t xml:space="preserve">H6c −</w:t>
            </w:r>
            <w:r>
              <w:t xml:space="preserve">”</w:t>
            </w:r>
            <w:r>
              <w:t xml:space="preserve">, and B1.4 v3.0 develops it as a full hypothesis on Pavlou (2003) and Featherman &amp; Pavlou (2003). Closes OD-1.</w:t>
            </w:r>
          </w:p>
        </w:tc>
      </w:tr>
      <w:tr>
        <w:tc>
          <w:tcPr/>
          <w:p>
            <w:pPr>
              <w:pStyle w:val="Compact"/>
              <w:jc w:val="left"/>
            </w:pPr>
            <w:r>
              <w:t xml:space="preserve">A-2</w:t>
            </w:r>
          </w:p>
        </w:tc>
        <w:tc>
          <w:tcPr/>
          <w:p>
            <w:pPr>
              <w:pStyle w:val="Compact"/>
              <w:jc w:val="left"/>
            </w:pPr>
            <w:r>
              <w:rPr>
                <w:bCs/>
                <w:b/>
              </w:rPr>
              <w:t xml:space="preserve">TRU → PI is not estimated in the main model.</w:t>
            </w:r>
            <w:r>
              <w:t xml:space="preserve"> </w:t>
            </w:r>
            <w:r>
              <w:t xml:space="preserve">Reported as a competing-model robustness check in the Discussion, without a hypothesis number and without an E-label. C-3 superseded; E3 withdrawn.</w:t>
            </w:r>
          </w:p>
        </w:tc>
        <w:tc>
          <w:tcPr/>
          <w:p>
            <w:pPr>
              <w:pStyle w:val="Compact"/>
              <w:jc w:val="left"/>
            </w:pPr>
            <w:r>
              <w:t xml:space="preserve">The ratified figure contains no TRU → PI arrow. Answers the anticipated reviewer question without adding an unplanned hypothesis.</w:t>
            </w:r>
          </w:p>
        </w:tc>
      </w:tr>
      <w:tr>
        <w:tc>
          <w:tcPr/>
          <w:p>
            <w:pPr>
              <w:pStyle w:val="Compact"/>
              <w:jc w:val="left"/>
            </w:pPr>
            <w:r>
              <w:t xml:space="preserve">A-3</w:t>
            </w:r>
          </w:p>
        </w:tc>
        <w:tc>
          <w:tcPr/>
          <w:p>
            <w:pPr>
              <w:pStyle w:val="Compact"/>
              <w:jc w:val="left"/>
            </w:pPr>
            <w:r>
              <w:rPr>
                <w:bCs/>
                <w:b/>
              </w:rPr>
              <w:t xml:space="preserve">Established-path register returns to E1 and E2 only</w:t>
            </w:r>
            <w:r>
              <w:t xml:space="preserve"> </w:t>
            </w:r>
            <w:r>
              <w:t xml:space="preserve">(TRU → ENG; ENG → PI).</w:t>
            </w:r>
          </w:p>
        </w:tc>
        <w:tc>
          <w:tcPr/>
          <w:p>
            <w:pPr>
              <w:pStyle w:val="Compact"/>
              <w:jc w:val="left"/>
            </w:pPr>
            <w:r>
              <w:t xml:space="preserve">Direct consequence of A-1 and A-2.</w:t>
            </w:r>
          </w:p>
        </w:tc>
      </w:tr>
      <w:tr>
        <w:tc>
          <w:tcPr/>
          <w:p>
            <w:pPr>
              <w:pStyle w:val="Compact"/>
              <w:jc w:val="left"/>
            </w:pPr>
            <w:r>
              <w:t xml:space="preserve">A-4</w:t>
            </w:r>
          </w:p>
        </w:tc>
        <w:tc>
          <w:tcPr/>
          <w:p>
            <w:pPr>
              <w:pStyle w:val="Compact"/>
              <w:jc w:val="left"/>
            </w:pPr>
            <w:r>
              <w:rPr>
                <w:bCs/>
                <w:b/>
              </w:rPr>
              <w:t xml:space="preserve">Moderation terms receive a separate symbol family: β_M1 … β_M4.</w:t>
            </w:r>
            <w:r>
              <w:t xml:space="preserve"> </w:t>
            </w:r>
            <w:r>
              <w:rPr>
                <w:bCs/>
                <w:b/>
              </w:rPr>
              <w:t xml:space="preserve">[AMENDED in v2.3 — see A-8.]</w:t>
            </w:r>
          </w:p>
        </w:tc>
        <w:tc>
          <w:tcPr/>
          <w:p>
            <w:pPr>
              <w:pStyle w:val="Compact"/>
              <w:jc w:val="left"/>
            </w:pPr>
            <w:r>
              <w:t xml:space="preserve">v2.0 wrote the three-way coefficient as β₇ while B1.4 v3.0 uses β₇ for TRU → ENG. Separating the families removed the collision. A-8 retires β_M3 and β_M4; the family is now β_M1 and β_M2 only.</w:t>
            </w:r>
          </w:p>
        </w:tc>
      </w:tr>
      <w:tr>
        <w:tc>
          <w:tcPr/>
          <w:p>
            <w:pPr>
              <w:pStyle w:val="Compact"/>
              <w:jc w:val="left"/>
            </w:pPr>
            <w:r>
              <w:t xml:space="preserve">A-5</w:t>
            </w:r>
          </w:p>
        </w:tc>
        <w:tc>
          <w:tcPr/>
          <w:p>
            <w:pPr>
              <w:pStyle w:val="Compact"/>
              <w:jc w:val="left"/>
            </w:pPr>
            <w:r>
              <w:rPr>
                <w:bCs/>
                <w:b/>
              </w:rPr>
              <w:t xml:space="preserve">H3 has exactly one confirmatory test</w:t>
            </w:r>
            <w:r>
              <w:t xml:space="preserve"> </w:t>
            </w:r>
            <w:r>
              <w:t xml:space="preserve">— the two-way ANOVA main effect of Disclosure on INT. The DISC → INT path in the SEM is a specification requirement (Aiken &amp; West, 1991), reported descriptively and never as a second test of H3.</w:t>
            </w:r>
          </w:p>
        </w:tc>
        <w:tc>
          <w:tcPr/>
          <w:p>
            <w:pPr>
              <w:pStyle w:val="Compact"/>
              <w:jc w:val="left"/>
            </w:pPr>
            <w:r>
              <w:t xml:space="preserve">Prevents one hypothesis carrying two test statistics with no rule on which is authoritative. Substance unaffected by A-7; only the study label attached to the ANOVA changed.</w:t>
            </w:r>
          </w:p>
        </w:tc>
      </w:tr>
      <w:tr>
        <w:tc>
          <w:tcPr/>
          <w:p>
            <w:pPr>
              <w:pStyle w:val="Compact"/>
              <w:jc w:val="left"/>
            </w:pPr>
            <w:r>
              <w:t xml:space="preserve">A-6</w:t>
            </w:r>
          </w:p>
        </w:tc>
        <w:tc>
          <w:tcPr/>
          <w:p>
            <w:pPr>
              <w:pStyle w:val="Compact"/>
              <w:jc w:val="left"/>
            </w:pPr>
            <w:r>
              <w:rPr>
                <w:bCs/>
                <w:b/>
              </w:rPr>
              <w:t xml:space="preserve">DISC enters the Study 1 structural model as a dummy (0/1) but never the measurement model.</w:t>
            </w:r>
            <w:r>
              <w:t xml:space="preserve"> </w:t>
            </w:r>
            <w:r>
              <w:t xml:space="preserve">No outer loadings, no AVE, no CR, no HTMT row.</w:t>
            </w:r>
          </w:p>
        </w:tc>
        <w:tc>
          <w:tcPr/>
          <w:p>
            <w:pPr>
              <w:pStyle w:val="Compact"/>
              <w:jc w:val="left"/>
            </w:pPr>
            <w:r>
              <w:t xml:space="preserve">Required by the H7 specification. The prohibition on treating DISC as a reflective construct is unchanged and remains governance rule 4.</w:t>
            </w:r>
          </w:p>
        </w:tc>
      </w:tr>
      <w:tr>
        <w:tc>
          <w:tcPr/>
          <w:p>
            <w:pPr>
              <w:pStyle w:val="Compact"/>
              <w:jc w:val="left"/>
            </w:pPr>
            <w:r>
              <w:t xml:space="preserve">A-7</w:t>
            </w:r>
          </w:p>
        </w:tc>
        <w:tc>
          <w:tcPr/>
          <w:p>
            <w:pPr>
              <w:pStyle w:val="Compact"/>
              <w:jc w:val="left"/>
            </w:pPr>
            <w:r>
              <w:rPr>
                <w:bCs/>
                <w:b/>
              </w:rPr>
              <w:t xml:space="preserve">Study allocation realigned to the approved plan.</w:t>
            </w:r>
            <w:r>
              <w:t xml:space="preserve"> </w:t>
            </w:r>
            <w:r>
              <w:t xml:space="preserve">Study 1 is the behavioural study: the single integrated 2 × 2 Qualtrics survey-experiment, analysed both by PLS-SEM and by two-way ANOVA, carrying all hypotheses including H3. Study 2 is the DSR component only and carries no H-numbered hypothesis.</w:t>
            </w:r>
          </w:p>
        </w:tc>
        <w:tc>
          <w:tcPr/>
          <w:p>
            <w:pPr>
              <w:pStyle w:val="Compact"/>
              <w:jc w:val="left"/>
            </w:pPr>
            <w:r>
              <w:t xml:space="preserve">Planning §1.1 and §5.1 read with governance rule 2. TF v2.1 §C.3 had placed the vignette ANOVA in Study 2, conflicting with the plan’s</w:t>
            </w:r>
            <w:r>
              <w:t xml:space="preserve"> </w:t>
            </w:r>
            <w:r>
              <w:t xml:space="preserve">“</w:t>
            </w:r>
            <w:r>
              <w:t xml:space="preserve">Study 1 (PLS-SEM + 2×2 experiment)</w:t>
            </w:r>
            <w:r>
              <w:t xml:space="preserve">”</w:t>
            </w:r>
            <w:r>
              <w:t xml:space="preserve">. A relabelling amendment: no hypothesis, path, sign, symbol, scale item, vignette or Qualtrics element changed.</w:t>
            </w:r>
          </w:p>
        </w:tc>
      </w:tr>
    </w:tbl>
    <w:bookmarkEnd w:id="22"/>
    <w:bookmarkStart w:id="23" w:name="Xfecaf103cd472c3f851e08667f2681a2471a4a4"/>
    <w:p>
      <w:pPr>
        <w:pStyle w:val="Heading2"/>
      </w:pPr>
      <w:r>
        <w:t xml:space="preserve">Table 0c. Amendments, Version 2.2 → Version 2.4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t xml:space="preserve">A-8</w:t>
            </w:r>
          </w:p>
        </w:tc>
        <w:tc>
          <w:tcPr/>
          <w:p>
            <w:pPr>
              <w:pStyle w:val="Compact"/>
              <w:jc w:val="left"/>
            </w:pPr>
            <w:r>
              <w:rPr>
                <w:bCs/>
                <w:b/>
              </w:rPr>
              <w:t xml:space="preserve">H7 respecified from a third-order to two second-order interactions.</w:t>
            </w:r>
            <w:r>
              <w:t xml:space="preserve"> </w:t>
            </w:r>
            <w:r>
              <w:t xml:space="preserve">H7 is replaced by</w:t>
            </w:r>
            <w:r>
              <w:t xml:space="preserve"> </w:t>
            </w:r>
            <w:r>
              <w:rPr>
                <w:bCs/>
                <w:b/>
              </w:rPr>
              <w:t xml:space="preserve">H7a</w:t>
            </w:r>
            <w:r>
              <w:t xml:space="preserve"> </w:t>
            </w:r>
            <w:r>
              <w:t xml:space="preserve">(PDPL × INT → mod(INT→TRU), β_M1) and</w:t>
            </w:r>
            <w:r>
              <w:t xml:space="preserve"> </w:t>
            </w:r>
            <w:r>
              <w:rPr>
                <w:bCs/>
                <w:b/>
              </w:rPr>
              <w:t xml:space="preserve">H7b</w:t>
            </w:r>
            <w:r>
              <w:t xml:space="preserve"> </w:t>
            </w:r>
            <w:r>
              <w:t xml:space="preserve">(DISC × INT → mod(INT→TRU), β_M2), estimated as two independent two-way terms in one model. The product term INT × PDPL × DISC is removed from the estimated model, the hypothesis register and the symbol family.</w:t>
            </w:r>
            <w:r>
              <w:t xml:space="preserve"> </w:t>
            </w:r>
            <w:r>
              <w:rPr>
                <w:bCs/>
                <w:b/>
              </w:rPr>
              <w:t xml:space="preserve">β_M3 and β_M4 are retired.</w:t>
            </w:r>
          </w:p>
        </w:tc>
        <w:tc>
          <w:tcPr/>
          <w:p>
            <w:pPr>
              <w:pStyle w:val="Compact"/>
              <w:jc w:val="left"/>
            </w:pPr>
            <w:r>
              <w:t xml:space="preserve">Planning §1.1 states H7 as</w:t>
            </w:r>
            <w:r>
              <w:t xml:space="preserve"> </w:t>
            </w:r>
            <w:r>
              <w:t xml:space="preserve">“</w:t>
            </w:r>
            <w:r>
              <w:t xml:space="preserve">PDPL awareness × Disclosure level → mod(Intrusiveness→Trust)</w:t>
            </w:r>
            <w:r>
              <w:t xml:space="preserve">”</w:t>
            </w:r>
            <w:r>
              <w:t xml:space="preserve">. That line names two moderators; it does not compel a three-way multiplicative form. The v2.0 conjunctive reading made the study’s least-powered term carry its most distinctive claim (OD-2: f² ≈ 0.02 undetectable at n = 400; the Aguinis et al. 2005 empirical median f² ≈ 0.009 would require n ≈ 881). Ratified by project lead, 24 August 2026. Closes OD-2.</w:t>
            </w:r>
          </w:p>
        </w:tc>
      </w:tr>
      <w:tr>
        <w:tc>
          <w:tcPr/>
          <w:p>
            <w:pPr>
              <w:pStyle w:val="Compact"/>
              <w:jc w:val="left"/>
            </w:pPr>
            <w:r>
              <w:t xml:space="preserve">A-9</w:t>
            </w:r>
          </w:p>
        </w:tc>
        <w:tc>
          <w:tcPr/>
          <w:p>
            <w:pPr>
              <w:pStyle w:val="Compact"/>
              <w:jc w:val="left"/>
            </w:pPr>
            <w:r>
              <w:rPr>
                <w:bCs/>
                <w:b/>
              </w:rPr>
              <w:t xml:space="preserve">REL4 is excluded from the Perceived Relevance construct.</w:t>
            </w:r>
            <w:r>
              <w:t xml:space="preserve"> </w:t>
            </w:r>
            <w:r>
              <w:t xml:space="preserve">REL is measured by</w:t>
            </w:r>
            <w:r>
              <w:t xml:space="preserve"> </w:t>
            </w:r>
            <w:r>
              <w:rPr>
                <w:bCs/>
                <w:b/>
              </w:rPr>
              <w:t xml:space="preserve">REL1–REL3</w:t>
            </w:r>
            <w:r>
              <w:t xml:space="preserve">. REL4 remains fielded in the instrument but does not enter the measurement model, the reliability statistics, the AVE/HTMT computation, or the construct score.</w:t>
            </w:r>
          </w:p>
        </w:tc>
        <w:tc>
          <w:tcPr/>
          <w:p>
            <w:pPr>
              <w:pStyle w:val="Compact"/>
              <w:jc w:val="left"/>
            </w:pPr>
            <w:r>
              <w:t xml:space="preserve">Two independent grounds, recorded in that order of weight.</w:t>
            </w:r>
            <w:r>
              <w:t xml:space="preserve"> </w:t>
            </w:r>
            <w:r>
              <w:rPr>
                <w:bCs/>
                <w:b/>
              </w:rPr>
              <w:t xml:space="preserve">(i) Content validity:</w:t>
            </w:r>
            <w:r>
              <w:t xml:space="preserve"> </w:t>
            </w:r>
            <w:r>
              <w:t xml:space="preserve">REL1–REL3 all measure</w:t>
            </w:r>
            <w:r>
              <w:t xml:space="preserve"> </w:t>
            </w:r>
            <w:r>
              <w:rPr>
                <w:iCs/>
                <w:i/>
              </w:rPr>
              <w:t xml:space="preserve">fit</w:t>
            </w:r>
            <w:r>
              <w:t xml:space="preserve"> </w:t>
            </w:r>
            <w:r>
              <w:t xml:space="preserve">(matches my needs / my preferences / relevant and suitable to me). REL4 measures</w:t>
            </w:r>
            <w:r>
              <w:t xml:space="preserve"> </w:t>
            </w:r>
            <w:r>
              <w:rPr>
                <w:iCs/>
                <w:i/>
              </w:rPr>
              <w:t xml:space="preserve">decision usefulness</w:t>
            </w:r>
            <w:r>
              <w:t xml:space="preserve"> </w:t>
            </w:r>
            <w:r>
              <w:t xml:space="preserve">— whether recommendations make it easy to find suitable products for a purchase decision — which is a search-effort-reduction facet closer to perceived usefulness than to relevance, and therefore a second dimension inside a construct specified as unidimensional.</w:t>
            </w:r>
            <w:r>
              <w:t xml:space="preserve"> </w:t>
            </w:r>
            <w:r>
              <w:rPr>
                <w:bCs/>
                <w:b/>
              </w:rPr>
              <w:t xml:space="preserve">(ii) Empirical corroboration:</w:t>
            </w:r>
            <w:r>
              <w:t xml:space="preserve"> </w:t>
            </w:r>
            <w:r>
              <w:t xml:space="preserve">the pilot (n = 35) two-factor AIP–REL EFA flagged REL4 with a primary loading below 0.60 and a narrow primary-to-secondary gap, which is the pattern a misplaced facet produces. Ratified by project lead, 26 August 2026.</w:t>
            </w:r>
          </w:p>
        </w:tc>
      </w:tr>
      <w:tr>
        <w:tc>
          <w:tcPr/>
          <w:p>
            <w:pPr>
              <w:pStyle w:val="Compact"/>
              <w:jc w:val="left"/>
            </w:pPr>
            <w:r>
              <w:t xml:space="preserve">A-10</w:t>
            </w:r>
          </w:p>
        </w:tc>
        <w:tc>
          <w:tcPr/>
          <w:p>
            <w:pPr>
              <w:pStyle w:val="Compact"/>
              <w:jc w:val="left"/>
            </w:pPr>
            <w:r>
              <w:rPr>
                <w:bCs/>
                <w:b/>
              </w:rPr>
              <w:t xml:space="preserve">Measurement register reconciled to the fielded instrument: TRU = 5 items (TRU1–TRU5), ENG = 6 items (ENG1–ENG6).</w:t>
            </w:r>
            <w:r>
              <w:t xml:space="preserve"> </w:t>
            </w:r>
            <w:r>
              <w:t xml:space="preserve">Table 5 of v2.1 recorded TRU = 6 and ENG = 5, which does not match</w:t>
            </w:r>
            <w:r>
              <w:t xml:space="preserve"> </w:t>
            </w:r>
            <w:r>
              <w:rPr>
                <w:rStyle w:val="VerbatimChar"/>
              </w:rPr>
              <w:t xml:space="preserve">PROJ_MAIN</w:t>
            </w:r>
            <w:r>
              <w:t xml:space="preserve">. Every prose reference to</w:t>
            </w:r>
            <w:r>
              <w:t xml:space="preserve"> </w:t>
            </w:r>
            <w:r>
              <w:t xml:space="preserve">“</w:t>
            </w:r>
            <w:r>
              <w:t xml:space="preserve">TRU4–TRU6</w:t>
            </w:r>
            <w:r>
              <w:t xml:space="preserve">”</w:t>
            </w:r>
            <w:r>
              <w:t xml:space="preserve"> </w:t>
            </w:r>
            <w:r>
              <w:t xml:space="preserve">and</w:t>
            </w:r>
            <w:r>
              <w:t xml:space="preserve"> </w:t>
            </w:r>
            <w:r>
              <w:t xml:space="preserve">“</w:t>
            </w:r>
            <w:r>
              <w:t xml:space="preserve">ENG1–ENG5</w:t>
            </w:r>
            <w:r>
              <w:t xml:space="preserve">”</w:t>
            </w:r>
            <w:r>
              <w:t xml:space="preserve"> </w:t>
            </w:r>
            <w:r>
              <w:t xml:space="preserve">is corrected accordingly.</w:t>
            </w:r>
          </w:p>
        </w:tc>
        <w:tc>
          <w:tcPr/>
          <w:p>
            <w:pPr>
              <w:pStyle w:val="Compact"/>
              <w:jc w:val="left"/>
            </w:pPr>
            <w:r>
              <w:t xml:space="preserve">The discrepancy was a register error, not an instrument error: the totals reconcile to 33 either way (6+4+5+6+5+3+4 = 6+4+5+5+6+3+4), which is why it survived earlier audits. The instrument has been fielded and the pilot has run on TRU1–TRU5 / ENG1–ENG6; there is no version of this project in which the register’s counts are the operative ones. The register is corrected to the fielded reality rather than the instrument re-fielded to the register. Ratified by project lead, 26 August 2026.</w:t>
            </w:r>
          </w:p>
        </w:tc>
      </w:tr>
    </w:tbl>
    <w:p>
      <w:pPr>
        <w:pStyle w:val="BodyText"/>
      </w:pPr>
      <w:r>
        <w:rPr>
          <w:bCs/>
          <w:b/>
        </w:rPr>
        <w:t xml:space="preserve">Item-count consequence of A-9 and A-10.</w:t>
      </w:r>
      <w:r>
        <w:t xml:space="preserve"> </w:t>
      </w:r>
      <w:r>
        <w:t xml:space="preserve">The instrument fields</w:t>
      </w:r>
      <w:r>
        <w:t xml:space="preserve"> </w:t>
      </w:r>
      <w:r>
        <w:rPr>
          <w:bCs/>
          <w:b/>
        </w:rPr>
        <w:t xml:space="preserve">33 reflective items</w:t>
      </w:r>
      <w:r>
        <w:t xml:space="preserve">. The measurement model analyses</w:t>
      </w:r>
      <w:r>
        <w:t xml:space="preserve"> </w:t>
      </w:r>
      <w:r>
        <w:rPr>
          <w:bCs/>
          <w:b/>
        </w:rPr>
        <w:t xml:space="preserve">32</w:t>
      </w:r>
      <w:r>
        <w:t xml:space="preserve">: REL4 is fielded but not analysed. Both numbers are correct and they are not interchangeable — methods text must say which it means. Downstream code constants keyed to</w:t>
      </w:r>
      <w:r>
        <w:t xml:space="preserve"> </w:t>
      </w:r>
      <w:r>
        <w:t xml:space="preserve">“</w:t>
      </w:r>
      <w:r>
        <w:t xml:space="preserve">33 items</w:t>
      </w:r>
      <w:r>
        <w:t xml:space="preserve">”</w:t>
      </w:r>
      <w:r>
        <w:t xml:space="preserve"> </w:t>
      </w:r>
      <w:r>
        <w:t xml:space="preserve">(missing-data proportion, straightlining SD) must be checked against §C.4.1.</w:t>
      </w:r>
    </w:p>
    <w:bookmarkEnd w:id="23"/>
    <w:bookmarkEnd w:id="24"/>
    <w:bookmarkStart w:id="25" w:name="purpose-and-governance-of-this-document"/>
    <w:p>
      <w:pPr>
        <w:pStyle w:val="Heading1"/>
      </w:pPr>
      <w:r>
        <w:t xml:space="preserve">Purpose and Governance of This Document</w:t>
      </w:r>
    </w:p>
    <w:p>
      <w:pPr>
        <w:pStyle w:val="FirstParagraph"/>
      </w:pPr>
      <w:r>
        <w:t xml:space="preserve">This document consolidates the project’s three source components — the</w:t>
      </w:r>
      <w:r>
        <w:t xml:space="preserve"> </w:t>
      </w:r>
      <w:r>
        <w:rPr>
          <w:bCs/>
          <w:b/>
        </w:rPr>
        <w:t xml:space="preserve">literature review</w:t>
      </w:r>
      <w:r>
        <w:t xml:space="preserve"> </w:t>
      </w:r>
      <w:r>
        <w:t xml:space="preserve">(52 catalogued papers), the</w:t>
      </w:r>
      <w:r>
        <w:t xml:space="preserve"> </w:t>
      </w:r>
      <w:r>
        <w:rPr>
          <w:bCs/>
          <w:b/>
        </w:rPr>
        <w:t xml:space="preserve">conceptual review of Trust Theory</w:t>
      </w:r>
      <w:r>
        <w:t xml:space="preserve">, and the</w:t>
      </w:r>
      <w:r>
        <w:t xml:space="preserve"> </w:t>
      </w:r>
      <w:r>
        <w:rPr>
          <w:bCs/>
          <w:b/>
        </w:rPr>
        <w:t xml:space="preserve">novelty and regulatory comparison analysis</w:t>
      </w:r>
      <w:r>
        <w:t xml:space="preserve"> </w:t>
      </w:r>
      <w:r>
        <w:t xml:space="preserve">— into a single, internally consistent theoretical and regulatory base. Its function is prescriptive as well as descriptive: every subsequent deliverable (measurement instrument, vignette design, PLS-SEM specification, AI-agent evaluation protocol, and manuscript sections) must align with the definitions, path specifications, and framing decisions recorded here. Where a downstream document deviates, this document prevails unless the team formally revises it.</w:t>
      </w:r>
    </w:p>
    <w:p>
      <w:pPr>
        <w:pStyle w:val="BodyText"/>
      </w:pPr>
      <w:r>
        <w:t xml:space="preserve">Four governance rules apply.</w:t>
      </w:r>
    </w:p>
    <w:p>
      <w:pPr>
        <w:numPr>
          <w:ilvl w:val="0"/>
          <w:numId w:val="1002"/>
        </w:numPr>
      </w:pPr>
      <w:r>
        <w:rPr>
          <w:bCs/>
          <w:b/>
        </w:rPr>
        <w:t xml:space="preserve">(1) Construct naming is locked</w:t>
      </w:r>
      <w:r>
        <w:t xml:space="preserve"> </w:t>
      </w:r>
      <w:r>
        <w:t xml:space="preserve">to the labels in Table 1. In particular, the regulatory-awareness moderator is standardized as</w:t>
      </w:r>
      <w:r>
        <w:t xml:space="preserve"> </w:t>
      </w:r>
      <w:r>
        <w:rPr>
          <w:bCs/>
          <w:b/>
        </w:rPr>
        <w:t xml:space="preserve">PDPL Awareness</w:t>
      </w:r>
      <w:r>
        <w:t xml:space="preserve"> </w:t>
      </w:r>
      <w:r>
        <w:t xml:space="preserve">(Personal Data Protection Law Awareness), superseding earlier drafts that used</w:t>
      </w:r>
      <w:r>
        <w:t xml:space="preserve"> </w:t>
      </w:r>
      <w:r>
        <w:t xml:space="preserve">“</w:t>
      </w:r>
      <w:r>
        <w:t xml:space="preserve">PDPD Awareness</w:t>
      </w:r>
      <w:r>
        <w:t xml:space="preserve">”</w:t>
      </w:r>
      <w:r>
        <w:t xml:space="preserve">, because Law 91/2025/QH15 replaced Decree 13/2023/NĐ-CP as the operative instrument from 1 January 2026. Any deliverable, project brief, or instruction file still reading</w:t>
      </w:r>
      <w:r>
        <w:t xml:space="preserve"> </w:t>
      </w:r>
      <w:r>
        <w:t xml:space="preserve">“</w:t>
      </w:r>
      <w:r>
        <w:t xml:space="preserve">PDPD</w:t>
      </w:r>
      <w:r>
        <w:t xml:space="preserve">”</w:t>
      </w:r>
      <w:r>
        <w:t xml:space="preserve">,</w:t>
      </w:r>
      <w:r>
        <w:t xml:space="preserve"> </w:t>
      </w:r>
      <w:r>
        <w:t xml:space="preserve">“</w:t>
      </w:r>
      <w:r>
        <w:t xml:space="preserve">PDP Law Awareness</w:t>
      </w:r>
      <w:r>
        <w:t xml:space="preserve">”</w:t>
      </w:r>
      <w:r>
        <w:t xml:space="preserve">, or</w:t>
      </w:r>
      <w:r>
        <w:t xml:space="preserve"> </w:t>
      </w:r>
      <w:r>
        <w:t xml:space="preserve">“</w:t>
      </w:r>
      <w:r>
        <w:t xml:space="preserve">Decree 13</w:t>
      </w:r>
      <w:r>
        <w:t xml:space="preserve">”</w:t>
      </w:r>
      <w:r>
        <w:t xml:space="preserve"> </w:t>
      </w:r>
      <w:r>
        <w:t xml:space="preserve">is out of date and must be corrected before distribution.</w:t>
      </w:r>
    </w:p>
    <w:p>
      <w:pPr>
        <w:numPr>
          <w:ilvl w:val="0"/>
          <w:numId w:val="1002"/>
        </w:numPr>
      </w:pPr>
      <w:r>
        <w:rPr>
          <w:bCs/>
          <w:b/>
        </w:rPr>
        <w:t xml:space="preserve">(2) Hypothesis numbering is bound to the approved planning document</w:t>
      </w:r>
      <w:r>
        <w:t xml:space="preserve"> </w:t>
      </w:r>
      <w:r>
        <w:t xml:space="preserve">and is fixed by Table 3 (§C.1). The locked set is</w:t>
      </w:r>
      <w:r>
        <w:t xml:space="preserve"> </w:t>
      </w:r>
      <w:r>
        <w:rPr>
          <w:bCs/>
          <w:b/>
        </w:rPr>
        <w:t xml:space="preserve">H1, H2, H3, H4, H5, H6a, H6b, H6c, H7a, H7b</w:t>
      </w:r>
      <w:r>
        <w:t xml:space="preserve">. No downstream deliverable may renumber them for local convenience; if a renumbering is genuinely required, this document is revised first and the version number is incremented.</w:t>
      </w:r>
    </w:p>
    <w:p>
      <w:pPr>
        <w:numPr>
          <w:ilvl w:val="0"/>
          <w:numId w:val="1002"/>
        </w:numPr>
      </w:pPr>
      <w:r>
        <w:rPr>
          <w:bCs/>
          <w:b/>
        </w:rPr>
        <w:t xml:space="preserve">(3) Tested hypotheses are visually and analytically distinguished from established paths (E1, E2).</w:t>
      </w:r>
      <w:r>
        <w:t xml:space="preserve"> </w:t>
      </w:r>
      <w:r>
        <w:t xml:space="preserve">Established paths are estimated and reported but are justified by prior theory rather than framed as novel contributions. In every model figure: solid arrows denote the hypothesised direct paths H1–H6c;</w:t>
      </w:r>
      <w:r>
        <w:t xml:space="preserve"> </w:t>
      </w:r>
      <w:r>
        <w:rPr>
          <w:bCs/>
          <w:b/>
        </w:rPr>
        <w:t xml:space="preserve">two separate dashed arrows</w:t>
      </w:r>
      <w:r>
        <w:t xml:space="preserve"> </w:t>
      </w:r>
      <w:r>
        <w:t xml:space="preserve">denote the H7a and H7b moderations; dotted arrows denote E1 and E2. Non-hypothesised lower-order specification terms are not drawn as arrows — they are declared in a figure note.</w:t>
      </w:r>
    </w:p>
    <w:p>
      <w:pPr>
        <w:numPr>
          <w:ilvl w:val="0"/>
          <w:numId w:val="1002"/>
        </w:numPr>
      </w:pPr>
      <w:r>
        <w:rPr>
          <w:bCs/>
          <w:b/>
        </w:rPr>
        <w:t xml:space="preserve">(4) Disclosure Level (DISC) is never measured as a Likert-scale construct</w:t>
      </w:r>
      <w:r>
        <w:t xml:space="preserve"> </w:t>
      </w:r>
      <w:r>
        <w:t xml:space="preserve">— it is a manipulated factor, dummy-coded 0 = No Disclosure / 1 = With Disclosure. It nonetheless</w:t>
      </w:r>
      <w:r>
        <w:t xml:space="preserve"> </w:t>
      </w:r>
      <w:r>
        <w:rPr>
          <w:bCs/>
          <w:b/>
        </w:rPr>
        <w:t xml:space="preserve">does enter the Study 1 structural model</w:t>
      </w:r>
      <w:r>
        <w:t xml:space="preserve">, as the predictor in H3 and as the moderator in H7b. This amends the v1.0 rule that</w:t>
      </w:r>
      <w:r>
        <w:t xml:space="preserve"> </w:t>
      </w:r>
      <w:r>
        <w:t xml:space="preserve">“</w:t>
      </w:r>
      <w:r>
        <w:t xml:space="preserve">DISC does not enter Study 1</w:t>
      </w:r>
      <w:r>
        <w:t xml:space="preserve">”</w:t>
      </w:r>
      <w:r>
        <w:t xml:space="preserve">, which is incompatible with the ratified H3 and H7 specifications.</w:t>
      </w:r>
    </w:p>
    <w:p>
      <w:pPr>
        <w:pStyle w:val="FirstParagraph"/>
      </w:pPr>
      <w:r>
        <w:rPr>
          <w:iCs/>
          <w:i/>
        </w:rPr>
        <w:t xml:space="preserve">Fielding consequence of rule 4.</w:t>
      </w:r>
      <w:r>
        <w:t xml:space="preserve"> </w:t>
      </w:r>
      <w:r>
        <w:t xml:space="preserve">Because every respondent must carry a DISC value for the H7b interaction to be estimable, the survey and the experiment cannot be fielded as two separate collections. They must be a single integrated Qualtrics instrument in which respondents are randomly assigned to one of the four 2 × 2 cells and then complete the full item battery — the design already specified in the planning document (Month 1, Week 4).</w:t>
      </w:r>
    </w:p>
    <w:bookmarkEnd w:id="25"/>
    <w:bookmarkStart w:id="38" w:name="part-a.-theoretical-foundations"/>
    <w:p>
      <w:pPr>
        <w:pStyle w:val="Heading1"/>
      </w:pPr>
      <w:r>
        <w:t xml:space="preserve">Part A. Theoretical Foundations</w:t>
      </w:r>
    </w:p>
    <w:bookmarkStart w:id="26" w:name="X772e2c0c299e527f1fb008ac7b23dc777e0137f"/>
    <w:p>
      <w:pPr>
        <w:pStyle w:val="Heading2"/>
      </w:pPr>
      <w:r>
        <w:t xml:space="preserve">A.1 Meta-Framework: The Stimulus–Organism–Response (SOR) Architecture</w:t>
      </w:r>
    </w:p>
    <w:p>
      <w:pPr>
        <w:pStyle w:val="FirstParagraph"/>
      </w:pPr>
      <w:r>
        <w:t xml:space="preserve">The research model is organized by the SOR paradigm (Mehrabian &amp; Russell, 1974; applied to AI personalization by Teepapal, 2025,</w:t>
      </w:r>
      <w:r>
        <w:t xml:space="preserve"> </w:t>
      </w:r>
      <w:r>
        <w:rPr>
          <w:iCs/>
          <w:i/>
        </w:rPr>
        <w:t xml:space="preserve">Computers in Human Behavior</w:t>
      </w:r>
      <w:r>
        <w:t xml:space="preserve">). SOR supplies the causal ordering into which the three theoretical pillars are slotted: environmental stimuli trigger internal organismic states, which in turn drive behavioral responses. In the present model:</w:t>
      </w:r>
    </w:p>
    <w:p>
      <w:pPr>
        <w:numPr>
          <w:ilvl w:val="0"/>
          <w:numId w:val="1003"/>
        </w:numPr>
      </w:pPr>
      <w:r>
        <w:rPr>
          <w:bCs/>
          <w:b/>
        </w:rPr>
        <w:t xml:space="preserve">Stimulus (S):</w:t>
      </w:r>
      <w:r>
        <w:t xml:space="preserve"> </w:t>
      </w:r>
      <w:r>
        <w:t xml:space="preserve">AI Personalization Intensity (AIP) — the degree to which the omnichannel retail environment deploys AI-driven, individually tailored recommendations, offers, and communications across touchpoints.</w:t>
      </w:r>
      <w:r>
        <w:t xml:space="preserve"> </w:t>
      </w:r>
      <w:r>
        <w:rPr>
          <w:bCs/>
          <w:b/>
        </w:rPr>
        <w:t xml:space="preserve">Disclosure Level (DISC)</w:t>
      </w:r>
      <w:r>
        <w:t xml:space="preserve"> </w:t>
      </w:r>
      <w:r>
        <w:t xml:space="preserve">is a second, experimentally manipulated stimulus (No Disclosure vs. With Disclosure). DISC is not merely a background factor: it carries its own hypothesized effect on the organism layer (H3) and independently conditions the intrusiveness–trust relationship (H7b).</w:t>
      </w:r>
    </w:p>
    <w:p>
      <w:pPr>
        <w:numPr>
          <w:ilvl w:val="0"/>
          <w:numId w:val="1003"/>
        </w:numPr>
      </w:pPr>
      <w:r>
        <w:rPr>
          <w:bCs/>
          <w:b/>
        </w:rPr>
        <w:t xml:space="preserve">Organism (O):</w:t>
      </w:r>
      <w:r>
        <w:t xml:space="preserve"> </w:t>
      </w:r>
      <w:r>
        <w:t xml:space="preserve">the consumer’s internal evaluative states — Perceived Relevance (REL), Perceived Intrusiveness (INT), and Consumer Trust (TRU, cognitive + affective). The organism layer is where Privacy Calculus Theory and Trust Theory operate.</w:t>
      </w:r>
    </w:p>
    <w:p>
      <w:pPr>
        <w:numPr>
          <w:ilvl w:val="0"/>
          <w:numId w:val="1003"/>
        </w:numPr>
      </w:pPr>
      <w:r>
        <w:rPr>
          <w:bCs/>
          <w:b/>
        </w:rPr>
        <w:t xml:space="preserve">Response (R):</w:t>
      </w:r>
      <w:r>
        <w:t xml:space="preserve"> </w:t>
      </w:r>
      <w:r>
        <w:t xml:space="preserve">Customer Engagement (ENG) and Purchase Intention (PI) — the attitudinal-behavioral outcomes. PI is predicted from two sources: the direct residual cost path INT → PI (H6c) and the engagement route (H5, H6b, then E2). It is therefore a hypothesis-bearing outcome, not merely a distal criterion.</w:t>
      </w:r>
    </w:p>
    <w:p>
      <w:pPr>
        <w:pStyle w:val="FirstParagraph"/>
      </w:pPr>
      <w:r>
        <w:t xml:space="preserve">SOR is deliberately used as a</w:t>
      </w:r>
      <w:r>
        <w:t xml:space="preserve"> </w:t>
      </w:r>
      <w:r>
        <w:rPr>
          <w:iCs/>
          <w:i/>
        </w:rPr>
        <w:t xml:space="preserve">meta-framework</w:t>
      </w:r>
      <w:r>
        <w:t xml:space="preserve"> </w:t>
      </w:r>
      <w:r>
        <w:t xml:space="preserve">rather than a substantive theory: it structures the model but does not by itself explain why relevance and intrusiveness arise from the same stimulus, why trust mediates, or why regulatory awareness moderates. Those explanatory burdens are carried by the three pillars below. This division of labor mirrors the dominant practice in the corpus (e.g., Teepapal, 2025 grounds SOR; Aydin, 2026 supplies the relevance–intrusiveness duality via Privacy Calculus).</w:t>
      </w:r>
    </w:p>
    <w:bookmarkEnd w:id="26"/>
    <w:bookmarkStart w:id="27" w:name="X4fd5343d21cf0dfaff75e29ed90608dfe5d87d2"/>
    <w:p>
      <w:pPr>
        <w:pStyle w:val="Heading2"/>
      </w:pPr>
      <w:r>
        <w:t xml:space="preserve">A.2 Pillar 1 — Privacy Calculus Theory (Dinev &amp; Hart, 2006)</w:t>
      </w:r>
    </w:p>
    <w:p>
      <w:pPr>
        <w:pStyle w:val="FirstParagraph"/>
      </w:pPr>
      <w:r>
        <w:t xml:space="preserve">Privacy Calculus Theory (Dinev &amp; Hart, 2006,</w:t>
      </w:r>
      <w:r>
        <w:t xml:space="preserve"> </w:t>
      </w:r>
      <w:r>
        <w:rPr>
          <w:iCs/>
          <w:i/>
        </w:rPr>
        <w:t xml:space="preserve">Information Systems Research</w:t>
      </w:r>
      <w:r>
        <w:t xml:space="preserve">) models the consumer as a boundedly rational actor who weighs the expected benefits of information disclosure against its perceived privacy risks before (and while) engaging with data-intensive services. Applied to AI-driven personalization, the calculus produces the model’s core tension: the same personalization stimulus (AIP) simultaneously generates a</w:t>
      </w:r>
      <w:r>
        <w:t xml:space="preserve"> </w:t>
      </w:r>
      <w:r>
        <w:rPr>
          <w:bCs/>
          <w:b/>
        </w:rPr>
        <w:t xml:space="preserve">benefit-side perception — Perceived Relevance (REL)</w:t>
      </w:r>
      <w:r>
        <w:t xml:space="preserve"> </w:t>
      </w:r>
      <w:r>
        <w:t xml:space="preserve">— and a</w:t>
      </w:r>
      <w:r>
        <w:t xml:space="preserve"> </w:t>
      </w:r>
      <w:r>
        <w:rPr>
          <w:bCs/>
          <w:b/>
        </w:rPr>
        <w:t xml:space="preserve">cost-side perception — Perceived Intrusiveness (INT)</w:t>
      </w:r>
      <w:r>
        <w:t xml:space="preserve">. This duality is the personalization–privacy paradox documented repeatedly in the reviewed corpus (Sutanto et al.’s paradox framing in Canhoto et al., 2024; Aydin, 2026; Teepapal, 2025; social-exchange variants in entries 18, 33, 34 of the literature review).</w:t>
      </w:r>
    </w:p>
    <w:p>
      <w:pPr>
        <w:pStyle w:val="BodyText"/>
      </w:pPr>
      <w:r>
        <w:rPr>
          <w:bCs/>
          <w:b/>
        </w:rPr>
        <w:t xml:space="preserve">Perceived Relevance (REL)</w:t>
      </w:r>
      <w:r>
        <w:t xml:space="preserve"> </w:t>
      </w:r>
      <w:r>
        <w:t xml:space="preserve">captures the consumer’s judgment that AI-personalized content matches their needs, preferences, and situational context — the utility term of the calculus. Following Amendment A-9, REL is measured by REL1–REL3, all of which are</w:t>
      </w:r>
      <w:r>
        <w:t xml:space="preserve"> </w:t>
      </w:r>
      <w:r>
        <w:rPr>
          <w:iCs/>
          <w:i/>
        </w:rPr>
        <w:t xml:space="preserve">fit</w:t>
      </w:r>
      <w:r>
        <w:t xml:space="preserve"> </w:t>
      </w:r>
      <w:r>
        <w:t xml:space="preserve">judgements; the search-effort item REL4 is excluded because effort reduction is a distinct benefit facet and its inclusion would make the construct multidimensional (§C.4).</w:t>
      </w:r>
      <w:r>
        <w:t xml:space="preserve"> </w:t>
      </w:r>
      <w:r>
        <w:rPr>
          <w:bCs/>
          <w:b/>
        </w:rPr>
        <w:t xml:space="preserve">Perceived Intrusiveness (INT)</w:t>
      </w:r>
      <w:r>
        <w:t xml:space="preserve"> </w:t>
      </w:r>
      <w:r>
        <w:t xml:space="preserve">captures the felt violation of psychological and informational boundaries — the sense of being excessively observed, profiled, or targeted — the risk term of the calculus. Both are organism-level appraisals of the identical stimulus, which is why the model specifies parallel paths AIP → REL (H1, positive) and AIP → INT (H2, positive): higher personalization intensity raises both the perceived benefit and the perceived cost, and the downstream consequences (H4, H5, H6a, H6b, H6c) determine which side of the calculus prevails.</w:t>
      </w:r>
    </w:p>
    <w:p>
      <w:pPr>
        <w:pStyle w:val="BodyText"/>
      </w:pPr>
      <w:r>
        <w:t xml:space="preserve">The model adds a second, design-controllable input to the cost side. The calculus is not a fixed property of the stimulus: the cost term is itself a function of what the consumer is told about the data practice generating the recommendation. H3 formalizes this — explicit disclosure is predicted to reduce INT at constant AIP — which is what makes the cost term a managerial and regulatory lever rather than an inevitability, and what licenses the Study 2 artifact to intervene on it.</w:t>
      </w:r>
    </w:p>
    <w:p>
      <w:pPr>
        <w:pStyle w:val="BodyText"/>
      </w:pPr>
      <w:r>
        <w:rPr>
          <w:iCs/>
          <w:i/>
        </w:rPr>
        <w:t xml:space="preserve">Positioning against the corpus.</w:t>
      </w:r>
      <w:r>
        <w:t xml:space="preserve"> </w:t>
      </w:r>
      <w:r>
        <w:t xml:space="preserve">Of the 34 Topic #1 papers, Privacy Calculus appears (alone or in combination) in at least eight; however, most treat the calculus outcome as disclosure intention or continued use. The present model advances the calculus by routing both terms through a multidimensional trust construct and by conditioning the cost-side path on two independent institutional carriers — regulatory awareness and firm-level disclosure (H7a, H7b) — a combination absent from every catalogued paper.</w:t>
      </w:r>
    </w:p>
    <w:bookmarkEnd w:id="27"/>
    <w:bookmarkStart w:id="32" w:name="X6faa8b1ce723aba97182a2dd19ca6586f15dff7"/>
    <w:p>
      <w:pPr>
        <w:pStyle w:val="Heading2"/>
      </w:pPr>
      <w:r>
        <w:t xml:space="preserve">A.3 Pillar 2 — Trust Theory (McKnight, Choudhury, &amp; Kacmar, 2002)</w:t>
      </w:r>
    </w:p>
    <w:p>
      <w:pPr>
        <w:pStyle w:val="FirstParagraph"/>
      </w:pPr>
      <w:r>
        <w:t xml:space="preserve">McKnight et al. (2002,</w:t>
      </w:r>
      <w:r>
        <w:t xml:space="preserve"> </w:t>
      </w:r>
      <w:r>
        <w:rPr>
          <w:iCs/>
          <w:i/>
        </w:rPr>
        <w:t xml:space="preserve">Information Systems Research</w:t>
      </w:r>
      <w:r>
        <w:t xml:space="preserve">, 13(3), 334–359) provide the multidimensional trust typology from which the model’s Consumer Trust construct is drawn. Three of their dimensions are mobilized, each with a distinct role.</w:t>
      </w:r>
    </w:p>
    <w:bookmarkStart w:id="28" w:name="a.3.1-cognitive-trust-trusting-beliefs"/>
    <w:p>
      <w:pPr>
        <w:pStyle w:val="Heading3"/>
      </w:pPr>
      <w:r>
        <w:t xml:space="preserve">A.3.1 Cognitive trust — trusting beliefs</w:t>
      </w:r>
    </w:p>
    <w:p>
      <w:pPr>
        <w:pStyle w:val="FirstParagraph"/>
      </w:pPr>
      <w:r>
        <w:t xml:space="preserve">Cognitive trust corresponds to McKnight et al.’s</w:t>
      </w:r>
      <w:r>
        <w:t xml:space="preserve"> </w:t>
      </w:r>
      <w:r>
        <w:rPr>
          <w:iCs/>
          <w:i/>
        </w:rPr>
        <w:t xml:space="preserve">trusting beliefs</w:t>
      </w:r>
      <w:r>
        <w:t xml:space="preserve">: a rational, evidence-based assessment that a specific trustee possesses four qualities —</w:t>
      </w:r>
      <w:r>
        <w:t xml:space="preserve"> </w:t>
      </w:r>
      <w:r>
        <w:rPr>
          <w:bCs/>
          <w:b/>
        </w:rPr>
        <w:t xml:space="preserve">competence</w:t>
      </w:r>
      <w:r>
        <w:t xml:space="preserve"> </w:t>
      </w:r>
      <w:r>
        <w:t xml:space="preserve">(ability to deliver on functional promises, e.g., accurate AI recommendations),</w:t>
      </w:r>
      <w:r>
        <w:t xml:space="preserve"> </w:t>
      </w:r>
      <w:r>
        <w:rPr>
          <w:bCs/>
          <w:b/>
        </w:rPr>
        <w:t xml:space="preserve">benevolence</w:t>
      </w:r>
      <w:r>
        <w:t xml:space="preserve"> </w:t>
      </w:r>
      <w:r>
        <w:t xml:space="preserve">(genuine care for the customer’s interests),</w:t>
      </w:r>
      <w:r>
        <w:t xml:space="preserve"> </w:t>
      </w:r>
      <w:r>
        <w:rPr>
          <w:bCs/>
          <w:b/>
        </w:rPr>
        <w:t xml:space="preserve">integrity</w:t>
      </w:r>
      <w:r>
        <w:t xml:space="preserve"> </w:t>
      </w:r>
      <w:r>
        <w:t xml:space="preserve">(honesty and adherence to disclosed principles, e.g., using data only as stated), and</w:t>
      </w:r>
      <w:r>
        <w:t xml:space="preserve"> </w:t>
      </w:r>
      <w:r>
        <w:rPr>
          <w:bCs/>
          <w:b/>
        </w:rPr>
        <w:t xml:space="preserve">predictability</w:t>
      </w:r>
      <w:r>
        <w:t xml:space="preserve"> </w:t>
      </w:r>
      <w:r>
        <w:t xml:space="preserve">(behavioral consistency across interactions). Trusting beliefs are trustee-specific: they concern the consumer’s evaluation of a particular AI agent or retailer, not the marketplace at large. In the measurement model, items</w:t>
      </w:r>
      <w:r>
        <w:t xml:space="preserve"> </w:t>
      </w:r>
      <w:r>
        <w:rPr>
          <w:bCs/>
          <w:b/>
        </w:rPr>
        <w:t xml:space="preserve">TRU1–TRU3</w:t>
      </w:r>
      <w:r>
        <w:t xml:space="preserve"> </w:t>
      </w:r>
      <w:r>
        <w:t xml:space="preserve">operationalize this facet. Cognitive trust is the natural downstream target of Perceived Relevance (relevance signals competence) and the natural point of erosion from Perceived Intrusiveness (intrusiveness damages benevolence and integrity).</w:t>
      </w:r>
    </w:p>
    <w:bookmarkEnd w:id="28"/>
    <w:bookmarkStart w:id="29" w:name="X5fe4fed7c35ab8b35e6ba9667b68fc91fd32c1c"/>
    <w:p>
      <w:pPr>
        <w:pStyle w:val="Heading3"/>
      </w:pPr>
      <w:r>
        <w:t xml:space="preserve">A.3.2 Affective trust — trusting intentions</w:t>
      </w:r>
    </w:p>
    <w:p>
      <w:pPr>
        <w:pStyle w:val="FirstParagraph"/>
      </w:pPr>
      <w:r>
        <w:t xml:space="preserve">McKnight et al.’s</w:t>
      </w:r>
      <w:r>
        <w:t xml:space="preserve"> </w:t>
      </w:r>
      <w:r>
        <w:rPr>
          <w:iCs/>
          <w:i/>
        </w:rPr>
        <w:t xml:space="preserve">trusting intentions</w:t>
      </w:r>
      <w:r>
        <w:t xml:space="preserve"> </w:t>
      </w:r>
      <w:r>
        <w:t xml:space="preserve">— the willingness to depend on the trustee under risk — carry an affective, volitional quality (</w:t>
      </w:r>
      <w:r>
        <w:t xml:space="preserve">“</w:t>
      </w:r>
      <w:r>
        <w:t xml:space="preserve">I feel willing to rely on the agent</w:t>
      </w:r>
      <w:r>
        <w:t xml:space="preserve">”</w:t>
      </w:r>
      <w:r>
        <w:t xml:space="preserve">) that is distinct from cognitive assessment (</w:t>
      </w:r>
      <w:r>
        <w:t xml:space="preserve">“</w:t>
      </w:r>
      <w:r>
        <w:t xml:space="preserve">I think the agent is competent</w:t>
      </w:r>
      <w:r>
        <w:t xml:space="preserve">”</w:t>
      </w:r>
      <w:r>
        <w:t xml:space="preserve">). This maps onto the cognitive–affective duality specified for Consumer Trust. The affective dimension is not a separate construct in McKnight et al.’s measurement model but the downstream consequence of trusting beliefs interacting with disposition to trust and perceived structural assurance. Items</w:t>
      </w:r>
      <w:r>
        <w:t xml:space="preserve"> </w:t>
      </w:r>
      <w:r>
        <w:rPr>
          <w:bCs/>
          <w:b/>
        </w:rPr>
        <w:t xml:space="preserve">TRU4–TRU5</w:t>
      </w:r>
      <w:r>
        <w:t xml:space="preserve"> </w:t>
      </w:r>
      <w:r>
        <w:t xml:space="preserve">capture this affective sense of safety and overall confidence (Amendment A-10). For PLS-SEM, Consumer Trust is modeled as a single reflective construct with both facets represented among its indicators; the cognitive–affective distinction is theoretical scaffolding for hypothesis rationale, not a higher-order measurement claim — this avoids an unjustified second-order specification that reviewers would probe.</w:t>
      </w:r>
    </w:p>
    <w:bookmarkEnd w:id="29"/>
    <w:bookmarkStart w:id="30" w:name="X029b6072f2de78c2a7dcd6a96e0bdf3f8342d9a"/>
    <w:p>
      <w:pPr>
        <w:pStyle w:val="Heading3"/>
      </w:pPr>
      <w:r>
        <w:t xml:space="preserve">A.3.3 Institution-based trust — the ancestor of PDPL Awareness</w:t>
      </w:r>
    </w:p>
    <w:p>
      <w:pPr>
        <w:pStyle w:val="FirstParagraph"/>
      </w:pPr>
      <w:r>
        <w:t xml:space="preserve">Institution-based trust is the belief that impersonal structures — not any specific vendor’s character — make successful transactions likely. It decomposes into</w:t>
      </w:r>
      <w:r>
        <w:t xml:space="preserve"> </w:t>
      </w:r>
      <w:r>
        <w:rPr>
          <w:bCs/>
          <w:b/>
        </w:rPr>
        <w:t xml:space="preserve">structural assurance</w:t>
      </w:r>
      <w:r>
        <w:t xml:space="preserve"> </w:t>
      </w:r>
      <w:r>
        <w:t xml:space="preserve">(confidence that legal, technological, or regulatory safety nets exist) and</w:t>
      </w:r>
      <w:r>
        <w:t xml:space="preserve"> </w:t>
      </w:r>
      <w:r>
        <w:rPr>
          <w:bCs/>
          <w:b/>
        </w:rPr>
        <w:t xml:space="preserve">situational normality</w:t>
      </w:r>
      <w:r>
        <w:t xml:space="preserve"> </w:t>
      </w:r>
      <w:r>
        <w:t xml:space="preserve">(perception that the transaction context is properly ordered). Critically, McKnight et al. model institution-based trust as an</w:t>
      </w:r>
      <w:r>
        <w:t xml:space="preserve"> </w:t>
      </w:r>
      <w:r>
        <w:rPr>
          <w:iCs/>
          <w:i/>
        </w:rPr>
        <w:t xml:space="preserve">antecedent that shapes the formation of trusting beliefs</w:t>
      </w:r>
      <w:r>
        <w:t xml:space="preserve">, not as a co-equal indicator of the same latent construct — a sequencing grounded in institutional sociology (Zucker, 1986; Shapiro, 1987). This dimension is the direct conceptual ancestor of Scott’s (1995) regulative pillar and, through it, of the PDPL Awareness moderator (§A.5). It is also the source of the two-carrier logic on which H7a and H7b rest: structural assurance reaches the consumer through distinct channels, and the model tests each channel’s buffering capacity separately (§A.5.1).</w:t>
      </w:r>
    </w:p>
    <w:bookmarkEnd w:id="30"/>
    <w:bookmarkStart w:id="31" w:name="Xf452b619afe652bd0d4d2651c40937def0ae56f"/>
    <w:p>
      <w:pPr>
        <w:pStyle w:val="Heading3"/>
      </w:pPr>
      <w:r>
        <w:t xml:space="preserve">A.3.4 Supporting empirical evidence — Bart et al. (2005)</w:t>
      </w:r>
    </w:p>
    <w:p>
      <w:pPr>
        <w:pStyle w:val="FirstParagraph"/>
      </w:pPr>
      <w:r>
        <w:t xml:space="preserve">Bart, Shankar, Sultan, and Urban (2005,</w:t>
      </w:r>
      <w:r>
        <w:t xml:space="preserve"> </w:t>
      </w:r>
      <w:r>
        <w:rPr>
          <w:iCs/>
          <w:i/>
        </w:rPr>
        <w:t xml:space="preserve">Journal of Marketing</w:t>
      </w:r>
      <w:r>
        <w:t xml:space="preserve">, 69(4), 133–152) provide large-scale empirical confirmation that privacy and security cues are among the strongest drivers of online trust, particularly when information risk and involvement are high — a context closely analogous to AI-driven personalization in omnichannel retail. Their finding that trust partially mediates the relationship between site characteristics and behavioral intent reinforces the positioning of Consumer Trust as mediating between perceptions (REL, INT) and outcomes (ENG, PI).</w:t>
      </w:r>
      <w:r>
        <w:t xml:space="preserve"> </w:t>
      </w:r>
      <w:r>
        <w:rPr>
          <w:bCs/>
          <w:b/>
        </w:rPr>
        <w:t xml:space="preserve">Framing rule:</w:t>
      </w:r>
      <w:r>
        <w:t xml:space="preserve"> </w:t>
      </w:r>
      <w:r>
        <w:t xml:space="preserve">Bart et al. are cited as empirical validation of trust drivers, not as a separate theoretical pillar — the theoretical architecture remains McKnight et al.’s typology. The manuscript must maintain this distinction to avoid the appearance of theory-stacking.</w:t>
      </w:r>
    </w:p>
    <w:bookmarkEnd w:id="31"/>
    <w:bookmarkEnd w:id="32"/>
    <w:bookmarkStart w:id="33" w:name="X7a44201973f8132429762743831436db01a2484"/>
    <w:p>
      <w:pPr>
        <w:pStyle w:val="Heading2"/>
      </w:pPr>
      <w:r>
        <w:t xml:space="preserve">A.4 The Trust → Engagement Bridge (Brodie et al., 2011)</w:t>
      </w:r>
    </w:p>
    <w:p>
      <w:pPr>
        <w:pStyle w:val="FirstParagraph"/>
      </w:pPr>
      <w:r>
        <w:t xml:space="preserve">Brodie, Hollebeek, Jurić, and Ilić (2011,</w:t>
      </w:r>
      <w:r>
        <w:t xml:space="preserve"> </w:t>
      </w:r>
      <w:r>
        <w:rPr>
          <w:iCs/>
          <w:i/>
        </w:rPr>
        <w:t xml:space="preserve">Journal of Service Research</w:t>
      </w:r>
      <w:r>
        <w:t xml:space="preserve">, 14(3), 252–271) ground Customer Engagement in relationship marketing and service-dominant logic. Two fundamental propositions matter here:</w:t>
      </w:r>
      <w:r>
        <w:t xml:space="preserve"> </w:t>
      </w:r>
      <w:r>
        <w:rPr>
          <w:bCs/>
          <w:b/>
        </w:rPr>
        <w:t xml:space="preserve">FP1</w:t>
      </w:r>
      <w:r>
        <w:t xml:space="preserve"> </w:t>
      </w:r>
      <w:r>
        <w:t xml:space="preserve">— engagement arises from interactive, co-creative experiences with a focal object (here, the AI agent / omnichannel platform); and</w:t>
      </w:r>
      <w:r>
        <w:t xml:space="preserve"> </w:t>
      </w:r>
      <w:r>
        <w:rPr>
          <w:bCs/>
          <w:b/>
        </w:rPr>
        <w:t xml:space="preserve">FP4</w:t>
      </w:r>
      <w:r>
        <w:t xml:space="preserve"> </w:t>
      </w:r>
      <w:r>
        <w:t xml:space="preserve">— engagement is multidimensional, expressed simultaneously through cognitive (absorption), emotional (enthusiasm), and behavioral (interaction, recommendation) dimensions, operationalized as</w:t>
      </w:r>
      <w:r>
        <w:t xml:space="preserve"> </w:t>
      </w:r>
      <w:r>
        <w:rPr>
          <w:bCs/>
          <w:b/>
        </w:rPr>
        <w:t xml:space="preserve">ENG1–ENG6</w:t>
      </w:r>
      <w:r>
        <w:t xml:space="preserve"> </w:t>
      </w:r>
      <w:r>
        <w:t xml:space="preserve">(Amendment A-10). FP1 is the rationale for H5 (REL → ENG): relevant content</w:t>
      </w:r>
      <w:r>
        <w:t xml:space="preserve"> </w:t>
      </w:r>
      <w:r>
        <w:rPr>
          <w:iCs/>
          <w:i/>
        </w:rPr>
        <w:t xml:space="preserve">is</w:t>
      </w:r>
      <w:r>
        <w:t xml:space="preserve"> </w:t>
      </w:r>
      <w:r>
        <w:t xml:space="preserve">the interactive, value-co-creating experience from which engagement arises. FP4 is the rationale for H6b: felt surveillance suppresses absorption and enthusiasm specifically, which is why intrusiveness registers as engagement withdrawal and not merely as distrust.</w:t>
      </w:r>
    </w:p>
    <w:p>
      <w:pPr>
        <w:pStyle w:val="BodyText"/>
      </w:pPr>
      <w:r>
        <w:t xml:space="preserve">Because engagement is theorized within the same relationship-marketing tradition whose commitment–trust framework (Morgan &amp; Hunt, 1994) casts trust as the pivotal relational mediator, Brodie et al. treat trust as a condition that precedes and enables deep engagement. Accordingly,</w:t>
      </w:r>
      <w:r>
        <w:t xml:space="preserve"> </w:t>
      </w:r>
      <w:r>
        <w:rPr>
          <w:bCs/>
          <w:b/>
        </w:rPr>
        <w:t xml:space="preserve">Consumer Trust → Customer Engagement</w:t>
      </w:r>
      <w:r>
        <w:t xml:space="preserve"> </w:t>
      </w:r>
      <w:r>
        <w:t xml:space="preserve">(E1) and</w:t>
      </w:r>
      <w:r>
        <w:t xml:space="preserve"> </w:t>
      </w:r>
      <w:r>
        <w:rPr>
          <w:bCs/>
          <w:b/>
        </w:rPr>
        <w:t xml:space="preserve">Customer Engagement → Purchase Intention</w:t>
      </w:r>
      <w:r>
        <w:t xml:space="preserve"> </w:t>
      </w:r>
      <w:r>
        <w:t xml:space="preserve">(E2) enter the structural model as established paths, estimated but not framed as tested hypotheses. Van Doorn et al. (2010) supply the specific warrant for E2: engagement behaviours, including non-transactional ones, are direct antecedents of subsequent transactional outcomes. Reporting rule: the coefficients of E1 and E2 are reported for model completeness, with contribution claims reserved for the H-numbered hypotheses.</w:t>
      </w:r>
    </w:p>
    <w:p>
      <w:pPr>
        <w:pStyle w:val="BodyText"/>
      </w:pPr>
      <w:r>
        <w:rPr>
          <w:iCs/>
          <w:i/>
        </w:rPr>
        <w:t xml:space="preserve">Why there is no TRU → PI arrow.</w:t>
      </w:r>
      <w:r>
        <w:t xml:space="preserve"> </w:t>
      </w:r>
      <w:r>
        <w:t xml:space="preserve">A direct trust-to-intention path is standard in the trust literature and a reviewer will ask about its absence. The model routes trust to purchase intention through engagement (E1 → E2) because the study’s theoretical interest is in engagement as the mediating relational state, and because adding TRU → PI would introduce a path the design was not built to support and that the approved plan does not number. The path is therefore estimated</w:t>
      </w:r>
      <w:r>
        <w:t xml:space="preserve"> </w:t>
      </w:r>
      <w:r>
        <w:rPr>
          <w:bCs/>
          <w:b/>
        </w:rPr>
        <w:t xml:space="preserve">as a competing-model robustness check reported in the Discussion</w:t>
      </w:r>
      <w:r>
        <w:t xml:space="preserve">, not in the main structural model, and carries neither an H-number nor an E-label.</w:t>
      </w:r>
    </w:p>
    <w:bookmarkEnd w:id="33"/>
    <w:bookmarkStart w:id="35" w:name="X82848970fd868a48c8542f882b5a545ebe3e6d1"/>
    <w:p>
      <w:pPr>
        <w:pStyle w:val="Heading2"/>
      </w:pPr>
      <w:r>
        <w:t xml:space="preserve">A.5 Pillar 3 — Institutional Theory (Scott, 1995) and PDPL Awareness</w:t>
      </w:r>
    </w:p>
    <w:p>
      <w:pPr>
        <w:pStyle w:val="FirstParagraph"/>
      </w:pPr>
      <w:r>
        <w:t xml:space="preserve">Scott’s (1995) three-pillar institutional framework distinguishes regulative (laws, sanctions), normative (values, norms), and cultural-cognitive (shared understandings) carriers of institutional order. The present model mobilizes the</w:t>
      </w:r>
      <w:r>
        <w:t xml:space="preserve"> </w:t>
      </w:r>
      <w:r>
        <w:rPr>
          <w:bCs/>
          <w:b/>
        </w:rPr>
        <w:t xml:space="preserve">regulative pillar</w:t>
      </w:r>
      <w:r>
        <w:t xml:space="preserve">: Vietnam’s personal-data-protection regime — Decree 13/2023/NĐ-CP, superseded by the Personal Data Protection Law No. 91/2025/QH15 (</w:t>
      </w:r>
      <w:r>
        <w:t xml:space="preserve">“</w:t>
      </w:r>
      <w:r>
        <w:t xml:space="preserve">PDP Law 2025</w:t>
      </w:r>
      <w:r>
        <w:t xml:space="preserve">”</w:t>
      </w:r>
      <w:r>
        <w:t xml:space="preserve">, effective 1 January 2026) — constitutes a newly formalized regulative institution governing AI-driven data processing.</w:t>
      </w:r>
    </w:p>
    <w:p>
      <w:pPr>
        <w:pStyle w:val="BodyText"/>
      </w:pPr>
      <w:r>
        <w:rPr>
          <w:bCs/>
          <w:b/>
        </w:rPr>
        <w:t xml:space="preserve">PDPL Awareness</w:t>
      </w:r>
      <w:r>
        <w:t xml:space="preserve"> </w:t>
      </w:r>
      <w:r>
        <w:t xml:space="preserve">operationalizes McKnight et al.’s institution-based trust in this specific regulative context: the consumer’s awareness of the existence, content, and protective force of Vietnam’s data-protection law (items PDPL1–PDPL4). Because Vietnam’s regime is in active transition (decree → statute in under three years), awareness varies substantially across consumers — unlike mature-market contexts (e.g., GDPR) where baseline awareness approaches saturation. This heterogeneity is precisely what makes PDPL Awareness viable as a moderator: it creates natural variance in perceived structural assurance.</w:t>
      </w:r>
    </w:p>
    <w:bookmarkStart w:id="34" w:name="X0d5d09135203eda78044e62127d1a219841c950"/>
    <w:p>
      <w:pPr>
        <w:pStyle w:val="Heading3"/>
      </w:pPr>
      <w:r>
        <w:t xml:space="preserve">A.5.1 H7a and H7b: Two Independent Carriers of Structural Assurance</w:t>
      </w:r>
    </w:p>
    <w:p>
      <w:pPr>
        <w:pStyle w:val="FirstParagraph"/>
      </w:pPr>
      <w:r>
        <w:rPr>
          <w:iCs/>
          <w:i/>
        </w:rPr>
        <w:t xml:space="preserve">This section replaces the v2.0/v2.1 moderated-moderation development in full (Amendment A-8). The conjunctive argument set out there — that structural assurance becomes behaviourally efficacious only when the institutional entitlement and its situational instantiation co-occur — required a third-order product term to test and is withdrawn along with it.</w:t>
      </w:r>
    </w:p>
    <w:p>
      <w:pPr>
        <w:pStyle w:val="BodyText"/>
      </w:pPr>
      <w:r>
        <w:t xml:space="preserve">Structural assurance reaches the consumer through two carriers, which differ in locus, verifiability, and cost, and which are modelled as</w:t>
      </w:r>
      <w:r>
        <w:t xml:space="preserve"> </w:t>
      </w:r>
      <w:r>
        <w:rPr>
          <w:bCs/>
          <w:b/>
        </w:rPr>
        <w:t xml:space="preserve">independent</w:t>
      </w:r>
      <w:r>
        <w:t xml:space="preserve"> </w:t>
      </w:r>
      <w:r>
        <w:t xml:space="preserve">moderators of the INT → TRU relationship rather than as a single conjunctive term:</w:t>
      </w:r>
    </w:p>
    <w:p>
      <w:pPr>
        <w:numPr>
          <w:ilvl w:val="0"/>
          <w:numId w:val="1004"/>
        </w:numPr>
      </w:pPr>
      <w:r>
        <w:rPr>
          <w:bCs/>
          <w:b/>
        </w:rPr>
        <w:t xml:space="preserve">De jure assurance — PDPL Awareness.</w:t>
      </w:r>
      <w:r>
        <w:t xml:space="preserve"> </w:t>
      </w:r>
      <w:r>
        <w:t xml:space="preserve">Knowledge that Law 91/2025/QH15 exists and confers enforceable entitlements (Arts. 8–10, 28). Its locus is the institutional environment; it is exogenous to the retailer and generic rather than transaction-specific. In Scott’s terms it is pure regulative-pillar content.</w:t>
      </w:r>
      <w:r>
        <w:t xml:space="preserve"> </w:t>
      </w:r>
      <w:r>
        <w:rPr>
          <w:bCs/>
          <w:b/>
        </w:rPr>
        <w:t xml:space="preserve">H7a</w:t>
      </w:r>
      <w:r>
        <w:t xml:space="preserve"> </w:t>
      </w:r>
      <w:r>
        <w:t xml:space="preserve">predicts that higher PDPL Awareness attenuates the negative slope of INT → TRU: β_M1 &gt; 0.</w:t>
      </w:r>
    </w:p>
    <w:p>
      <w:pPr>
        <w:numPr>
          <w:ilvl w:val="0"/>
          <w:numId w:val="1004"/>
        </w:numPr>
      </w:pPr>
      <w:r>
        <w:rPr>
          <w:bCs/>
          <w:b/>
        </w:rPr>
        <w:t xml:space="preserve">De facto assurance — Disclosure Level.</w:t>
      </w:r>
      <w:r>
        <w:t xml:space="preserve"> </w:t>
      </w:r>
      <w:r>
        <w:t xml:space="preserve">The retailer’s own act of disclosing its data practices at the moment of personalization, the behaviour the statute contemplates in Art. 28(8)(a)–(b) and Art. 29. Its locus is the interface; it is endogenous to the firm, transaction-specific, and — because disclosure invites scrutiny and enables opt-out — a costly and therefore credible signal of integrity.</w:t>
      </w:r>
      <w:r>
        <w:t xml:space="preserve"> </w:t>
      </w:r>
      <w:r>
        <w:rPr>
          <w:bCs/>
          <w:b/>
        </w:rPr>
        <w:t xml:space="preserve">H7b</w:t>
      </w:r>
      <w:r>
        <w:t xml:space="preserve"> </w:t>
      </w:r>
      <w:r>
        <w:t xml:space="preserve">predicts that the With-Disclosure condition attenuates the negative slope of INT → TRU relative to No-Disclosure: β_M2 &gt; 0.</w:t>
      </w:r>
    </w:p>
    <w:p>
      <w:pPr>
        <w:pStyle w:val="FirstParagraph"/>
      </w:pPr>
      <w:r>
        <w:t xml:space="preserve">H7a and H7b are</w:t>
      </w:r>
      <w:r>
        <w:t xml:space="preserve"> </w:t>
      </w:r>
      <w:r>
        <w:rPr>
          <w:bCs/>
          <w:b/>
        </w:rPr>
        <w:t xml:space="preserve">independent, additive predictions</w:t>
      </w:r>
      <w:r>
        <w:t xml:space="preserve">: each carrier is expected to buffer trust erosion on its own, without requiring the other to be present. Part B’s institutional gaps supply the reason each carrier plausibly bites. Gap 1 establishes that the Vietnamese regime pairs high entry formality with low exit control and low algorithmic transparency, so de jure entitlement is real but procedurally distant from a live personalization episode — which is why its buffering effect is predicted but not predicted to be large. Gap 4 adds that severe paper sanctions under centralized supervision may not translate into felt enforcement salience, for the same reason. Disclosure, by contrast, operates at the interface and at the moment of the appraisal, which is why H7b is the carrier with the more direct mechanism even though it is the weaker institutional claim.</w:t>
      </w:r>
    </w:p>
    <w:p>
      <w:pPr>
        <w:pStyle w:val="BodyText"/>
      </w:pPr>
      <w:r>
        <w:t xml:space="preserve">Because both terms are estimated in one model with each carrier held constant for the other, the</w:t>
      </w:r>
      <w:r>
        <w:t xml:space="preserve"> </w:t>
      </w:r>
      <w:r>
        <w:rPr>
          <w:bCs/>
          <w:b/>
        </w:rPr>
        <w:t xml:space="preserve">relative magnitude of β_M1 versus β_M2</w:t>
      </w:r>
      <w:r>
        <w:t xml:space="preserve"> </w:t>
      </w:r>
      <w:r>
        <w:t xml:space="preserve">is itself interpretable: it indicates which lever — institutional awareness or firm-level disclosure — carries more behavioural leverage. That comparison is the practical yield of the two-carrier framing and is reported in the Discussion.</w:t>
      </w:r>
    </w:p>
    <w:p>
      <w:pPr>
        <w:pStyle w:val="BodyText"/>
      </w:pPr>
      <w:r>
        <w:t xml:space="preserve">Both H7a and H7b moderate the</w:t>
      </w:r>
      <w:r>
        <w:t xml:space="preserve"> </w:t>
      </w:r>
      <w:r>
        <w:rPr>
          <w:bCs/>
          <w:b/>
        </w:rPr>
        <w:t xml:space="preserve">H6a path only</w:t>
      </w:r>
      <w:r>
        <w:t xml:space="preserve"> </w:t>
      </w:r>
      <w:r>
        <w:t xml:space="preserve">(INT → TRU) — never H6b, never H6c. The specification must be stated identically in the diagram, the hypothesis table and the SmartPLS model; any inconsistency is a direct reviewer risk. Estimation is specified in §C.2.</w:t>
      </w:r>
    </w:p>
    <w:p>
      <w:pPr>
        <w:pStyle w:val="BodyText"/>
      </w:pPr>
      <w:r>
        <w:rPr>
          <w:iCs/>
          <w:i/>
        </w:rPr>
        <w:t xml:space="preserve">What was given up, and what was gained.</w:t>
      </w:r>
      <w:r>
        <w:t xml:space="preserve"> </w:t>
      </w:r>
      <w:r>
        <w:t xml:space="preserve">The withdrawn v2.0 specification tested a stronger and more distinctive claim: that de jure awareness is inert</w:t>
      </w:r>
      <w:r>
        <w:t xml:space="preserve"> </w:t>
      </w:r>
      <w:r>
        <w:rPr>
          <w:iCs/>
          <w:i/>
        </w:rPr>
        <w:t xml:space="preserve">unless</w:t>
      </w:r>
      <w:r>
        <w:t xml:space="preserve"> </w:t>
      </w:r>
      <w:r>
        <w:t xml:space="preserve">instantiated. Two independent buffers is a more ordinary finding. What is gained is a design that can actually detect its own hypotheses at the pre-registered sample size, and a Discussion claim (relative carrier leverage) that the data can support. The honest framing in the manuscript is that the two-carrier distinction remains the institutional contribution — it is the</w:t>
      </w:r>
      <w:r>
        <w:t xml:space="preserve"> </w:t>
      </w:r>
      <w:r>
        <w:rPr>
          <w:iCs/>
          <w:i/>
        </w:rPr>
        <w:t xml:space="preserve">conjunctive</w:t>
      </w:r>
      <w:r>
        <w:t xml:space="preserve"> </w:t>
      </w:r>
      <w:r>
        <w:t xml:space="preserve">mechanism, not the distinction itself, that is no longer claimed.</w:t>
      </w:r>
    </w:p>
    <w:bookmarkEnd w:id="34"/>
    <w:bookmarkEnd w:id="35"/>
    <w:bookmarkStart w:id="36" w:name="X7024f622dc5b4037bf588806c0ef495fe7de8a2"/>
    <w:p>
      <w:pPr>
        <w:pStyle w:val="Heading2"/>
      </w:pPr>
      <w:r>
        <w:t xml:space="preserve">A.6 Integrated Construct-to-Theory Map (Table 1 — Naming Locked)</w:t>
      </w:r>
    </w:p>
    <w:p>
      <w:pPr>
        <w:pStyle w:val="FirstParagraph"/>
      </w:pPr>
      <w:r>
        <w:t xml:space="preserve">Table 1 is the master reference for construct labels, abbreviations, theoretical anchors, and model roles. All instruments, diagrams, and manuscript sections must use these labels verbatim.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Code</w:t>
            </w:r>
          </w:p>
        </w:tc>
        <w:tc>
          <w:tcPr/>
          <w:p>
            <w:pPr>
              <w:pStyle w:val="Compact"/>
              <w:jc w:val="left"/>
            </w:pPr>
            <w:r>
              <w:rPr>
                <w:bCs/>
                <w:b/>
              </w:rPr>
              <w:t xml:space="preserve">Construct</w:t>
            </w:r>
          </w:p>
        </w:tc>
        <w:tc>
          <w:tcPr/>
          <w:p>
            <w:pPr>
              <w:pStyle w:val="Compact"/>
              <w:jc w:val="left"/>
            </w:pPr>
            <w:r>
              <w:rPr>
                <w:bCs/>
                <w:b/>
              </w:rPr>
              <w:t xml:space="preserve">Definition (working)</w:t>
            </w:r>
          </w:p>
        </w:tc>
        <w:tc>
          <w:tcPr/>
          <w:p>
            <w:pPr>
              <w:pStyle w:val="Compact"/>
              <w:jc w:val="left"/>
            </w:pPr>
            <w:r>
              <w:rPr>
                <w:bCs/>
                <w:b/>
              </w:rPr>
              <w:t xml:space="preserve">Theoretical anchor</w:t>
            </w:r>
          </w:p>
        </w:tc>
        <w:tc>
          <w:tcPr/>
          <w:p>
            <w:pPr>
              <w:pStyle w:val="Compact"/>
              <w:jc w:val="left"/>
            </w:pPr>
            <w:r>
              <w:rPr>
                <w:bCs/>
                <w:b/>
              </w:rPr>
              <w:t xml:space="preserve">Role in model</w:t>
            </w:r>
          </w:p>
        </w:tc>
      </w:tr>
      <w:tr>
        <w:tc>
          <w:tcPr/>
          <w:p>
            <w:pPr>
              <w:pStyle w:val="Compact"/>
              <w:jc w:val="left"/>
            </w:pPr>
            <w:r>
              <w:rPr>
                <w:bCs/>
                <w:b/>
              </w:rPr>
              <w:t xml:space="preserve">AIP</w:t>
            </w:r>
          </w:p>
        </w:tc>
        <w:tc>
          <w:tcPr/>
          <w:p>
            <w:pPr>
              <w:pStyle w:val="Compact"/>
              <w:jc w:val="left"/>
            </w:pPr>
            <w:r>
              <w:t xml:space="preserve">AI Personalization Intensity</w:t>
            </w:r>
          </w:p>
        </w:tc>
        <w:tc>
          <w:tcPr/>
          <w:p>
            <w:pPr>
              <w:pStyle w:val="Compact"/>
              <w:jc w:val="left"/>
            </w:pPr>
            <w:r>
              <w:t xml:space="preserve">Degree to which the retailer deploys AI-driven, individually tailored content across omnichannel touchpoints (AIP1–AIP6).</w:t>
            </w:r>
          </w:p>
        </w:tc>
        <w:tc>
          <w:tcPr/>
          <w:p>
            <w:pPr>
              <w:pStyle w:val="Compact"/>
              <w:jc w:val="left"/>
            </w:pPr>
            <w:r>
              <w:t xml:space="preserve">SOR (stimulus); personalization literature</w:t>
            </w:r>
          </w:p>
        </w:tc>
        <w:tc>
          <w:tcPr/>
          <w:p>
            <w:pPr>
              <w:pStyle w:val="Compact"/>
              <w:jc w:val="left"/>
            </w:pPr>
            <w:r>
              <w:t xml:space="preserve">Exogenous stimulus (S); H1, H2. Manipulated Low/High in the 2 × 2.</w:t>
            </w:r>
          </w:p>
        </w:tc>
      </w:tr>
      <w:tr>
        <w:tc>
          <w:tcPr/>
          <w:p>
            <w:pPr>
              <w:pStyle w:val="Compact"/>
              <w:jc w:val="left"/>
            </w:pPr>
            <w:r>
              <w:rPr>
                <w:bCs/>
                <w:b/>
              </w:rPr>
              <w:t xml:space="preserve">REL</w:t>
            </w:r>
          </w:p>
        </w:tc>
        <w:tc>
          <w:tcPr/>
          <w:p>
            <w:pPr>
              <w:pStyle w:val="Compact"/>
              <w:jc w:val="left"/>
            </w:pPr>
            <w:r>
              <w:t xml:space="preserve">Perceived Relevance</w:t>
            </w:r>
          </w:p>
        </w:tc>
        <w:tc>
          <w:tcPr/>
          <w:p>
            <w:pPr>
              <w:pStyle w:val="Compact"/>
              <w:jc w:val="left"/>
            </w:pPr>
            <w:r>
              <w:t xml:space="preserve">Judgment that personalized content matches one’s needs, preferences, and context (</w:t>
            </w:r>
            <w:r>
              <w:rPr>
                <w:bCs/>
                <w:b/>
              </w:rPr>
              <w:t xml:space="preserve">REL1–REL3</w:t>
            </w:r>
            <w:r>
              <w:t xml:space="preserve">; REL4 fielded but excluded, A-9).</w:t>
            </w:r>
          </w:p>
        </w:tc>
        <w:tc>
          <w:tcPr/>
          <w:p>
            <w:pPr>
              <w:pStyle w:val="Compact"/>
              <w:jc w:val="left"/>
            </w:pPr>
            <w:r>
              <w:t xml:space="preserve">Privacy Calculus — benefit term (Dinev &amp; Hart, 2006)</w:t>
            </w:r>
          </w:p>
        </w:tc>
        <w:tc>
          <w:tcPr/>
          <w:p>
            <w:pPr>
              <w:pStyle w:val="Compact"/>
              <w:jc w:val="left"/>
            </w:pPr>
            <w:r>
              <w:t xml:space="preserve">Organism; mediator (H1, H4, H5)</w:t>
            </w:r>
          </w:p>
        </w:tc>
      </w:tr>
      <w:tr>
        <w:tc>
          <w:tcPr/>
          <w:p>
            <w:pPr>
              <w:pStyle w:val="Compact"/>
              <w:jc w:val="left"/>
            </w:pPr>
            <w:r>
              <w:rPr>
                <w:bCs/>
                <w:b/>
              </w:rPr>
              <w:t xml:space="preserve">INT</w:t>
            </w:r>
          </w:p>
        </w:tc>
        <w:tc>
          <w:tcPr/>
          <w:p>
            <w:pPr>
              <w:pStyle w:val="Compact"/>
              <w:jc w:val="left"/>
            </w:pPr>
            <w:r>
              <w:t xml:space="preserve">Perceived Intrusiveness</w:t>
            </w:r>
          </w:p>
        </w:tc>
        <w:tc>
          <w:tcPr/>
          <w:p>
            <w:pPr>
              <w:pStyle w:val="Compact"/>
              <w:jc w:val="left"/>
            </w:pPr>
            <w:r>
              <w:t xml:space="preserve">Felt violation of psychological/informational boundaries by personalization (INT1–INT5).</w:t>
            </w:r>
          </w:p>
        </w:tc>
        <w:tc>
          <w:tcPr/>
          <w:p>
            <w:pPr>
              <w:pStyle w:val="Compact"/>
              <w:jc w:val="left"/>
            </w:pPr>
            <w:r>
              <w:t xml:space="preserve">Privacy Calculus — risk term (Dinev &amp; Hart, 2006)</w:t>
            </w:r>
          </w:p>
        </w:tc>
        <w:tc>
          <w:tcPr/>
          <w:p>
            <w:pPr>
              <w:pStyle w:val="Compact"/>
              <w:jc w:val="left"/>
            </w:pPr>
            <w:r>
              <w:t xml:space="preserve">Organism; mediator (H2, H3, H6a, H6b, H6c); focal path of both H7a and H7b moderations</w:t>
            </w:r>
          </w:p>
        </w:tc>
      </w:tr>
      <w:tr>
        <w:tc>
          <w:tcPr/>
          <w:p>
            <w:pPr>
              <w:pStyle w:val="Compact"/>
              <w:jc w:val="left"/>
            </w:pPr>
            <w:r>
              <w:rPr>
                <w:bCs/>
                <w:b/>
              </w:rPr>
              <w:t xml:space="preserve">TRU</w:t>
            </w:r>
          </w:p>
        </w:tc>
        <w:tc>
          <w:tcPr/>
          <w:p>
            <w:pPr>
              <w:pStyle w:val="Compact"/>
              <w:jc w:val="left"/>
            </w:pPr>
            <w:r>
              <w:t xml:space="preserve">Consumer Trust (cognitive + affective)</w:t>
            </w:r>
          </w:p>
        </w:tc>
        <w:tc>
          <w:tcPr/>
          <w:p>
            <w:pPr>
              <w:pStyle w:val="Compact"/>
              <w:jc w:val="left"/>
            </w:pPr>
            <w:r>
              <w:t xml:space="preserve">Trusting beliefs in the AI agent’s competence, benevolence, integrity (</w:t>
            </w:r>
            <w:r>
              <w:rPr>
                <w:bCs/>
                <w:b/>
              </w:rPr>
              <w:t xml:space="preserve">TRU1–TRU3</w:t>
            </w:r>
            <w:r>
              <w:t xml:space="preserve">) plus affective willingness to depend (</w:t>
            </w:r>
            <w:r>
              <w:rPr>
                <w:bCs/>
                <w:b/>
              </w:rPr>
              <w:t xml:space="preserve">TRU4–TRU5</w:t>
            </w:r>
            <w:r>
              <w:t xml:space="preserve">).</w:t>
            </w:r>
          </w:p>
        </w:tc>
        <w:tc>
          <w:tcPr/>
          <w:p>
            <w:pPr>
              <w:pStyle w:val="Compact"/>
              <w:jc w:val="left"/>
            </w:pPr>
            <w:r>
              <w:t xml:space="preserve">Trust Theory (McKnight et al., 2002); empirical support: Bart et al. (2005)</w:t>
            </w:r>
          </w:p>
        </w:tc>
        <w:tc>
          <w:tcPr/>
          <w:p>
            <w:pPr>
              <w:pStyle w:val="Compact"/>
              <w:jc w:val="left"/>
            </w:pPr>
            <w:r>
              <w:t xml:space="preserve">Organism; central mediator (H4, H6a, E1). TRU → PI is a competing-model robustness check only.</w:t>
            </w:r>
          </w:p>
        </w:tc>
      </w:tr>
      <w:tr>
        <w:tc>
          <w:tcPr/>
          <w:p>
            <w:pPr>
              <w:pStyle w:val="Compact"/>
              <w:jc w:val="left"/>
            </w:pPr>
            <w:r>
              <w:rPr>
                <w:bCs/>
                <w:b/>
              </w:rPr>
              <w:t xml:space="preserve">ENG</w:t>
            </w:r>
          </w:p>
        </w:tc>
        <w:tc>
          <w:tcPr/>
          <w:p>
            <w:pPr>
              <w:pStyle w:val="Compact"/>
              <w:jc w:val="left"/>
            </w:pPr>
            <w:r>
              <w:t xml:space="preserve">Customer Engagement</w:t>
            </w:r>
          </w:p>
        </w:tc>
        <w:tc>
          <w:tcPr/>
          <w:p>
            <w:pPr>
              <w:pStyle w:val="Compact"/>
              <w:jc w:val="left"/>
            </w:pPr>
            <w:r>
              <w:t xml:space="preserve">Multidimensional cognitive–emotional–behavioral state arising from interactive experience with the AI agent/platform (</w:t>
            </w:r>
            <w:r>
              <w:rPr>
                <w:bCs/>
                <w:b/>
              </w:rPr>
              <w:t xml:space="preserve">ENG1–ENG6</w:t>
            </w:r>
            <w:r>
              <w:t xml:space="preserve">).</w:t>
            </w:r>
          </w:p>
        </w:tc>
        <w:tc>
          <w:tcPr/>
          <w:p>
            <w:pPr>
              <w:pStyle w:val="Compact"/>
              <w:jc w:val="left"/>
            </w:pPr>
            <w:r>
              <w:t xml:space="preserve">Engagement theory (Brodie et al., 2011); Morgan &amp; Hunt (1994)</w:t>
            </w:r>
          </w:p>
        </w:tc>
        <w:tc>
          <w:tcPr/>
          <w:p>
            <w:pPr>
              <w:pStyle w:val="Compact"/>
              <w:jc w:val="left"/>
            </w:pPr>
            <w:r>
              <w:t xml:space="preserve">Response; focal outcome (H5, H6b, E1, E2)</w:t>
            </w:r>
          </w:p>
        </w:tc>
      </w:tr>
      <w:tr>
        <w:tc>
          <w:tcPr/>
          <w:p>
            <w:pPr>
              <w:pStyle w:val="Compact"/>
              <w:jc w:val="left"/>
            </w:pPr>
            <w:r>
              <w:rPr>
                <w:bCs/>
                <w:b/>
              </w:rPr>
              <w:t xml:space="preserve">PI</w:t>
            </w:r>
          </w:p>
        </w:tc>
        <w:tc>
          <w:tcPr/>
          <w:p>
            <w:pPr>
              <w:pStyle w:val="Compact"/>
              <w:jc w:val="left"/>
            </w:pPr>
            <w:r>
              <w:t xml:space="preserve">Purchase Intention</w:t>
            </w:r>
          </w:p>
        </w:tc>
        <w:tc>
          <w:tcPr/>
          <w:p>
            <w:pPr>
              <w:pStyle w:val="Compact"/>
              <w:jc w:val="left"/>
            </w:pPr>
            <w:r>
              <w:t xml:space="preserve">Intention to purchase via the AI-personalized omnichannel service (PI1–PI3).</w:t>
            </w:r>
          </w:p>
        </w:tc>
        <w:tc>
          <w:tcPr/>
          <w:p>
            <w:pPr>
              <w:pStyle w:val="Compact"/>
              <w:jc w:val="left"/>
            </w:pPr>
            <w:r>
              <w:t xml:space="preserve">Perceived transaction risk (Pavlou, 2003; Featherman &amp; Pavlou, 2003); willingness to transact under risk (McKnight et al., 2002)</w:t>
            </w:r>
          </w:p>
        </w:tc>
        <w:tc>
          <w:tcPr/>
          <w:p>
            <w:pPr>
              <w:pStyle w:val="Compact"/>
              <w:jc w:val="left"/>
            </w:pPr>
            <w:r>
              <w:t xml:space="preserve">Response; terminal outcome (H6c, E2)</w:t>
            </w:r>
          </w:p>
        </w:tc>
      </w:tr>
      <w:tr>
        <w:tc>
          <w:tcPr/>
          <w:p>
            <w:pPr>
              <w:pStyle w:val="Compact"/>
              <w:jc w:val="left"/>
            </w:pPr>
            <w:r>
              <w:rPr>
                <w:bCs/>
                <w:b/>
              </w:rPr>
              <w:t xml:space="preserve">PDPL</w:t>
            </w:r>
          </w:p>
        </w:tc>
        <w:tc>
          <w:tcPr/>
          <w:p>
            <w:pPr>
              <w:pStyle w:val="Compact"/>
              <w:jc w:val="left"/>
            </w:pPr>
            <w:r>
              <w:t xml:space="preserve">PDPL Awareness</w:t>
            </w:r>
          </w:p>
        </w:tc>
        <w:tc>
          <w:tcPr/>
          <w:p>
            <w:pPr>
              <w:pStyle w:val="Compact"/>
              <w:jc w:val="left"/>
            </w:pPr>
            <w:r>
              <w:t xml:space="preserve">Awareness of the existence, content, and protective force of PDP Law 2025 (Law 91/2025/QH15) (PDPL1–PDPL4).</w:t>
            </w:r>
          </w:p>
        </w:tc>
        <w:tc>
          <w:tcPr/>
          <w:p>
            <w:pPr>
              <w:pStyle w:val="Compact"/>
              <w:jc w:val="left"/>
            </w:pPr>
            <w:r>
              <w:t xml:space="preserve">Institution-based trust — structural assurance (McKnight et al., 2002); regulative pillar (Scott, 1995)</w:t>
            </w:r>
          </w:p>
        </w:tc>
        <w:tc>
          <w:tcPr/>
          <w:p>
            <w:pPr>
              <w:pStyle w:val="Compact"/>
              <w:jc w:val="left"/>
            </w:pPr>
            <w:r>
              <w:t xml:space="preserve">Moderator of INT → TRU in</w:t>
            </w:r>
            <w:r>
              <w:t xml:space="preserve"> </w:t>
            </w:r>
            <w:r>
              <w:rPr>
                <w:bCs/>
                <w:b/>
              </w:rPr>
              <w:t xml:space="preserve">H7a</w:t>
            </w:r>
            <w:r>
              <w:t xml:space="preserve"> </w:t>
            </w:r>
            <w:r>
              <w:t xml:space="preserve">(β_M1); de jure carrier</w:t>
            </w:r>
          </w:p>
        </w:tc>
      </w:tr>
      <w:tr>
        <w:tc>
          <w:tcPr/>
          <w:p>
            <w:pPr>
              <w:pStyle w:val="Compact"/>
              <w:jc w:val="left"/>
            </w:pPr>
            <w:r>
              <w:rPr>
                <w:bCs/>
                <w:b/>
              </w:rPr>
              <w:t xml:space="preserve">DISC</w:t>
            </w:r>
          </w:p>
        </w:tc>
        <w:tc>
          <w:tcPr/>
          <w:p>
            <w:pPr>
              <w:pStyle w:val="Compact"/>
              <w:jc w:val="left"/>
            </w:pPr>
            <w:r>
              <w:t xml:space="preserve">Disclosure Level</w:t>
            </w:r>
          </w:p>
        </w:tc>
        <w:tc>
          <w:tcPr/>
          <w:p>
            <w:pPr>
              <w:pStyle w:val="Compact"/>
              <w:jc w:val="left"/>
            </w:pPr>
            <w:r>
              <w:t xml:space="preserve">Presence vs. absence of explicit data-practice disclosure in the personalization interface.</w:t>
            </w:r>
          </w:p>
        </w:tc>
        <w:tc>
          <w:tcPr/>
          <w:p>
            <w:pPr>
              <w:pStyle w:val="Compact"/>
              <w:jc w:val="left"/>
            </w:pPr>
            <w:r>
              <w:t xml:space="preserve">Transparency/disclosure literature; PDP Law 2025 Arts. 28(8), 29</w:t>
            </w:r>
          </w:p>
        </w:tc>
        <w:tc>
          <w:tcPr/>
          <w:p>
            <w:pPr>
              <w:pStyle w:val="Compact"/>
              <w:jc w:val="left"/>
            </w:pPr>
            <w:r>
              <w:t xml:space="preserve">Manipulated factor, dummy 0/1 —</w:t>
            </w:r>
            <w:r>
              <w:t xml:space="preserve"> </w:t>
            </w:r>
            <w:r>
              <w:rPr>
                <w:bCs/>
                <w:b/>
              </w:rPr>
              <w:t xml:space="preserve">never a Likert construct</w:t>
            </w:r>
            <w:r>
              <w:t xml:space="preserve"> </w:t>
            </w:r>
            <w:r>
              <w:t xml:space="preserve">and never in the measurement model. Predictor in H3 (ANOVA test); moderator of INT → TRU in</w:t>
            </w:r>
            <w:r>
              <w:t xml:space="preserve"> </w:t>
            </w:r>
            <w:r>
              <w:rPr>
                <w:bCs/>
                <w:b/>
              </w:rPr>
              <w:t xml:space="preserve">H7b</w:t>
            </w:r>
            <w:r>
              <w:t xml:space="preserve"> </w:t>
            </w:r>
            <w:r>
              <w:t xml:space="preserve">(β_M2); de facto carrier</w:t>
            </w:r>
          </w:p>
        </w:tc>
      </w:tr>
    </w:tbl>
    <w:p>
      <w:pPr>
        <w:pStyle w:val="BodyText"/>
      </w:pPr>
      <w:r>
        <w:t xml:space="preserve">Table 1. Construct-to-theory map. Labels are locked; downstream deliverables must reproduce them verbatim.</w:t>
      </w:r>
    </w:p>
    <w:p>
      <w:pPr>
        <w:pStyle w:val="BodyText"/>
      </w:pPr>
      <w:r>
        <w:rPr>
          <w:iCs/>
          <w:i/>
        </w:rPr>
        <w:t xml:space="preserve">Naming-consistency guardrail.</w:t>
      </w:r>
      <w:r>
        <w:t xml:space="preserve"> </w:t>
      </w:r>
      <w:r>
        <w:t xml:space="preserve">“</w:t>
      </w:r>
      <w:r>
        <w:t xml:space="preserve">PDPL Awareness</w:t>
      </w:r>
      <w:r>
        <w:t xml:space="preserve">”</w:t>
      </w:r>
      <w:r>
        <w:t xml:space="preserve"> </w:t>
      </w:r>
      <w:r>
        <w:t xml:space="preserve">replaces</w:t>
      </w:r>
      <w:r>
        <w:t xml:space="preserve"> </w:t>
      </w:r>
      <w:r>
        <w:t xml:space="preserve">“</w:t>
      </w:r>
      <w:r>
        <w:t xml:space="preserve">PDPD Awareness</w:t>
      </w:r>
      <w:r>
        <w:t xml:space="preserve">”</w:t>
      </w:r>
      <w:r>
        <w:t xml:space="preserve"> </w:t>
      </w:r>
      <w:r>
        <w:t xml:space="preserve">in all documents going forward;</w:t>
      </w:r>
      <w:r>
        <w:t xml:space="preserve"> </w:t>
      </w:r>
      <w:r>
        <w:t xml:space="preserve">“</w:t>
      </w:r>
      <w:r>
        <w:t xml:space="preserve">Disclosure Level</w:t>
      </w:r>
      <w:r>
        <w:t xml:space="preserve">”</w:t>
      </w:r>
      <w:r>
        <w:t xml:space="preserve"> </w:t>
      </w:r>
      <w:r>
        <w:t xml:space="preserve">replaces any residual use of</w:t>
      </w:r>
      <w:r>
        <w:t xml:space="preserve"> </w:t>
      </w:r>
      <w:r>
        <w:t xml:space="preserve">“</w:t>
      </w:r>
      <w:r>
        <w:t xml:space="preserve">Data Collection Depth</w:t>
      </w:r>
      <w:r>
        <w:t xml:space="preserve">”</w:t>
      </w:r>
      <w:r>
        <w:t xml:space="preserve">. A one-time find-and-replace pass over existing deliverables — including the project brief and the literature-review spreadsheet’s Takeaway column — is required before main collection opens.</w:t>
      </w:r>
    </w:p>
    <w:bookmarkEnd w:id="36"/>
    <w:bookmarkStart w:id="37" w:name="X8a00222154c14dd0cb6423a4efe82986f546502"/>
    <w:p>
      <w:pPr>
        <w:pStyle w:val="Heading2"/>
      </w:pPr>
      <w:r>
        <w:t xml:space="preserve">A.7 Positioning Within the Reviewed Literature (52 Catalogued Entries)</w:t>
      </w:r>
    </w:p>
    <w:p>
      <w:pPr>
        <w:pStyle w:val="FirstParagraph"/>
      </w:pPr>
      <w:r>
        <w:t xml:space="preserve">The literature review spreadsheet catalogues 52 entries across six clusters:</w:t>
      </w:r>
      <w:r>
        <w:t xml:space="preserve"> </w:t>
      </w:r>
      <w:r>
        <w:rPr>
          <w:bCs/>
          <w:b/>
        </w:rPr>
        <w:t xml:space="preserve">Topic #1</w:t>
      </w:r>
      <w:r>
        <w:t xml:space="preserve"> </w:t>
      </w:r>
      <w:r>
        <w:t xml:space="preserve">— AI-driven personalization, the personalization–privacy paradox, and consumer response (34 papers);</w:t>
      </w:r>
      <w:r>
        <w:t xml:space="preserve"> </w:t>
      </w:r>
      <w:r>
        <w:rPr>
          <w:bCs/>
          <w:b/>
        </w:rPr>
        <w:t xml:space="preserve">Topic #2</w:t>
      </w:r>
      <w:r>
        <w:t xml:space="preserve"> </w:t>
      </w:r>
      <w:r>
        <w:t xml:space="preserve">— omnichannel trust and channel integration (5);</w:t>
      </w:r>
      <w:r>
        <w:t xml:space="preserve"> </w:t>
      </w:r>
      <w:r>
        <w:rPr>
          <w:bCs/>
          <w:b/>
        </w:rPr>
        <w:t xml:space="preserve">Topic #3</w:t>
      </w:r>
      <w:r>
        <w:t xml:space="preserve"> </w:t>
      </w:r>
      <w:r>
        <w:t xml:space="preserve">— data-protection regulation and governance (5);</w:t>
      </w:r>
      <w:r>
        <w:t xml:space="preserve"> </w:t>
      </w:r>
      <w:r>
        <w:rPr>
          <w:bCs/>
          <w:b/>
        </w:rPr>
        <w:t xml:space="preserve">Topic 0</w:t>
      </w:r>
      <w:r>
        <w:t xml:space="preserve"> </w:t>
      </w:r>
      <w:r>
        <w:t xml:space="preserve">— foundational theory primers (Privacy Calculus, TRA) (3);</w:t>
      </w:r>
      <w:r>
        <w:t xml:space="preserve"> </w:t>
      </w:r>
      <w:r>
        <w:rPr>
          <w:bCs/>
          <w:b/>
        </w:rPr>
        <w:t xml:space="preserve">DSR Methodology</w:t>
      </w:r>
      <w:r>
        <w:t xml:space="preserve"> </w:t>
      </w:r>
      <w:r>
        <w:t xml:space="preserve">(2, anchored in Hevner et al., 2004 and the design-science paradigm); and</w:t>
      </w:r>
      <w:r>
        <w:t xml:space="preserve"> </w:t>
      </w:r>
      <w:r>
        <w:rPr>
          <w:bCs/>
          <w:b/>
        </w:rPr>
        <w:t xml:space="preserve">SDG 12 / green recommender systems and Vietnamese green consumption</w:t>
      </w:r>
      <w:r>
        <w:t xml:space="preserve"> </w:t>
      </w:r>
      <w:r>
        <w:t xml:space="preserve">(3). Theoretical coverage across the corpus is dominated by Privacy Calculus, SOR, Social Exchange Theory, TAM/TPB, ELM, and assorted trust models (trust transfer, layered trust, mind perception).</w:t>
      </w:r>
    </w:p>
    <w:p>
      <w:pPr>
        <w:pStyle w:val="BodyText"/>
      </w:pPr>
      <w:r>
        <w:t xml:space="preserve">Three observations position the present study.</w:t>
      </w:r>
      <w:r>
        <w:t xml:space="preserve"> </w:t>
      </w:r>
      <w:r>
        <w:rPr>
          <w:bCs/>
          <w:b/>
        </w:rPr>
        <w:t xml:space="preserve">First</w:t>
      </w:r>
      <w:r>
        <w:t xml:space="preserve">, no catalogued paper combines the three-pillar architecture (Privacy Calculus + multidimensional Trust + Institutional Theory) in a single structural model; papers either examine the paradox without institutional conditioning (e.g., Canhoto et al., 2024; Teepapal, 2025) or examine regulation without consumer-level modeling (Topic #3 governance papers).</w:t>
      </w:r>
      <w:r>
        <w:t xml:space="preserve"> </w:t>
      </w:r>
      <w:r>
        <w:rPr>
          <w:bCs/>
          <w:b/>
        </w:rPr>
        <w:t xml:space="preserve">Second</w:t>
      </w:r>
      <w:r>
        <w:t xml:space="preserve">, the closest construct-level neighbor, Aydin (2026), demonstrates the relevance/intrusiveness → trust mechanism but treats personalization as unidimensional and includes no regulatory moderator — its stated gap is precisely the entry point of H7a, and the entry point widens with H7b: neither a regulatory-awareness moderator nor a manipulated firm-disclosure moderator on the intrusiveness–trust path appears anywhere in the corpus, let alone both estimated together.</w:t>
      </w:r>
      <w:r>
        <w:t xml:space="preserve"> </w:t>
      </w:r>
      <w:r>
        <w:rPr>
          <w:bCs/>
          <w:b/>
        </w:rPr>
        <w:t xml:space="preserve">Third</w:t>
      </w:r>
      <w:r>
        <w:t xml:space="preserve">, the DSR and SDG 12 entries establish that sustainability-aware re-ranking exists as an algorithmic literature (recommendation diversity, multi-objective ranking, rank aggregation) but has not been coupled to a behavioral privacy–trust model in an emerging-market omnichannel setting. The Study 2 artifact occupies exactly this junction, grounded methodologically in Hevner et al. (2004) and Peffers et al. (2007).</w:t>
      </w:r>
    </w:p>
    <w:bookmarkEnd w:id="37"/>
    <w:bookmarkEnd w:id="38"/>
    <w:bookmarkStart w:id="49" w:name="part-b.-regulatory-comparison"/>
    <w:p>
      <w:pPr>
        <w:pStyle w:val="Heading1"/>
      </w:pPr>
      <w:r>
        <w:t xml:space="preserve">Part B. Regulatory Comparison</w:t>
      </w:r>
    </w:p>
    <w:p>
      <w:pPr>
        <w:pStyle w:val="FirstParagraph"/>
      </w:pPr>
      <w:r>
        <w:rPr>
          <w:iCs/>
          <w:i/>
        </w:rPr>
        <w:t xml:space="preserve">Version note.</w:t>
      </w:r>
      <w:r>
        <w:t xml:space="preserve"> </w:t>
      </w:r>
      <w:r>
        <w:t xml:space="preserve">Part B is carried over from Version 1.0 without substantive change, except in §B.6 where the third novelty statement is affected by Amendment A-8 (see OD-9). Article-level citations to Law 91/2025/QH15 remain provisional pending OCR verification against the signed statute (§C.6, OD-4).</w:t>
      </w:r>
    </w:p>
    <w:p>
      <w:pPr>
        <w:pStyle w:val="BodyText"/>
      </w:pPr>
      <w:r>
        <w:t xml:space="preserve">Part B benchmarks Vietnam’s PDP Law 2025 (Law No. 91/2025/QH15, passed by the National Assembly, effective 1 January 2026; superseding Decree 13/2023/NĐ-CP) against three reference frames: the EU GDPR (Regulation (EU) 2016/679) as the hard-law gold standard; SDG 16 (esp. targets 16.6 and 16.10) as the soft-law normative frame; and ESG governance reporting (GRI 418 + OECD guidance) as the voluntary-disclosure frame. The comparison serves two functions: (i) it substantiates the institutional-transition premise underlying PDPL Awareness, and (ii) it yields four institutional gaps that constitute the study’s novelty claims (§B.6).</w:t>
      </w:r>
    </w:p>
    <w:bookmarkStart w:id="39" w:name="b.1-nature-and-scope-of-the-instruments"/>
    <w:p>
      <w:pPr>
        <w:pStyle w:val="Heading2"/>
      </w:pPr>
      <w:r>
        <w:t xml:space="preserve">B.1 Nature and Scope of the Instruments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 (Law 91/2025/QH15)</w:t>
            </w:r>
          </w:p>
        </w:tc>
        <w:tc>
          <w:tcPr/>
          <w:p>
            <w:pPr>
              <w:pStyle w:val="Compact"/>
              <w:jc w:val="left"/>
            </w:pPr>
            <w:r>
              <w:rPr>
                <w:bCs/>
                <w:b/>
              </w:rPr>
              <w:t xml:space="preserve">SDG 16</w:t>
            </w:r>
          </w:p>
        </w:tc>
        <w:tc>
          <w:tcPr/>
          <w:p>
            <w:pPr>
              <w:pStyle w:val="Compact"/>
              <w:jc w:val="left"/>
            </w:pPr>
            <w:r>
              <w:rPr>
                <w:bCs/>
                <w:b/>
              </w:rPr>
              <w:t xml:space="preserve">ESG (GRI 418 + OECD)</w:t>
            </w:r>
          </w:p>
        </w:tc>
      </w:tr>
      <w:tr>
        <w:tc>
          <w:tcPr/>
          <w:p>
            <w:pPr>
              <w:pStyle w:val="Compact"/>
              <w:jc w:val="left"/>
            </w:pPr>
            <w:r>
              <w:rPr>
                <w:bCs/>
                <w:b/>
              </w:rPr>
              <w:t xml:space="preserve">Instrument type</w:t>
            </w:r>
          </w:p>
        </w:tc>
        <w:tc>
          <w:tcPr/>
          <w:p>
            <w:pPr>
              <w:pStyle w:val="Compact"/>
              <w:jc w:val="left"/>
            </w:pPr>
            <w:r>
              <w:t xml:space="preserve">Regulation (EU) 2016/679 — directly binding hard law.</w:t>
            </w:r>
          </w:p>
        </w:tc>
        <w:tc>
          <w:tcPr/>
          <w:p>
            <w:pPr>
              <w:pStyle w:val="Compact"/>
              <w:jc w:val="left"/>
            </w:pPr>
            <w:r>
              <w:t xml:space="preserve">Statute enacted by the National Assembly — Art. 1; 5 chapters, 39 articles; hard law.</w:t>
            </w:r>
          </w:p>
        </w:tc>
        <w:tc>
          <w:tcPr/>
          <w:p>
            <w:pPr>
              <w:pStyle w:val="Compact"/>
              <w:jc w:val="left"/>
            </w:pPr>
            <w:r>
              <w:t xml:space="preserve">Soft law / norm (UN, 2015).</w:t>
            </w:r>
          </w:p>
        </w:tc>
        <w:tc>
          <w:tcPr/>
          <w:p>
            <w:pPr>
              <w:pStyle w:val="Compact"/>
              <w:jc w:val="left"/>
            </w:pPr>
            <w:r>
              <w:t xml:space="preserve">Voluntary reporting standard.</w:t>
            </w:r>
          </w:p>
        </w:tc>
      </w:tr>
      <w:tr>
        <w:tc>
          <w:tcPr/>
          <w:p>
            <w:pPr>
              <w:pStyle w:val="Compact"/>
              <w:jc w:val="left"/>
            </w:pPr>
            <w:r>
              <w:rPr>
                <w:bCs/>
                <w:b/>
              </w:rPr>
              <w:t xml:space="preserve">Enforcement body</w:t>
            </w:r>
          </w:p>
        </w:tc>
        <w:tc>
          <w:tcPr/>
          <w:p>
            <w:pPr>
              <w:pStyle w:val="Compact"/>
              <w:jc w:val="left"/>
            </w:pPr>
            <w:r>
              <w:t xml:space="preserve">EDPB plus an independent DPA in each member state (Art. 51).</w:t>
            </w:r>
          </w:p>
        </w:tc>
        <w:tc>
          <w:tcPr/>
          <w:p>
            <w:pPr>
              <w:pStyle w:val="Compact"/>
              <w:jc w:val="left"/>
            </w:pPr>
            <w:r>
              <w:t xml:space="preserve">Arts. 33, 36: Ministry of Public Security is the focal authority — no independent DPA.</w:t>
            </w:r>
          </w:p>
        </w:tc>
        <w:tc>
          <w:tcPr/>
          <w:p>
            <w:pPr>
              <w:pStyle w:val="Compact"/>
              <w:jc w:val="left"/>
            </w:pPr>
            <w:r>
              <w:t xml:space="preserve">None (national indicators only).</w:t>
            </w:r>
          </w:p>
        </w:tc>
        <w:tc>
          <w:tcPr/>
          <w:p>
            <w:pPr>
              <w:pStyle w:val="Compact"/>
              <w:jc w:val="left"/>
            </w:pPr>
            <w:r>
              <w:t xml:space="preserve">None; affects ESG ratings only.</w:t>
            </w:r>
          </w:p>
        </w:tc>
      </w:tr>
      <w:tr>
        <w:tc>
          <w:tcPr/>
          <w:p>
            <w:pPr>
              <w:pStyle w:val="Compact"/>
              <w:jc w:val="left"/>
            </w:pPr>
            <w:r>
              <w:rPr>
                <w:bCs/>
                <w:b/>
              </w:rPr>
              <w:t xml:space="preserve">Extraterritorial scope</w:t>
            </w:r>
          </w:p>
        </w:tc>
        <w:tc>
          <w:tcPr/>
          <w:p>
            <w:pPr>
              <w:pStyle w:val="Compact"/>
              <w:jc w:val="left"/>
            </w:pPr>
            <w:r>
              <w:t xml:space="preserve">Art. 3: applies to non-EU organizations processing EU residents’ data.</w:t>
            </w:r>
          </w:p>
        </w:tc>
        <w:tc>
          <w:tcPr/>
          <w:p>
            <w:pPr>
              <w:pStyle w:val="Compact"/>
              <w:jc w:val="left"/>
            </w:pPr>
            <w:r>
              <w:t xml:space="preserve">Art. 1(2)(c): applies to foreign organizations</w:t>
            </w:r>
            <w:r>
              <w:t xml:space="preserve"> </w:t>
            </w:r>
            <w:r>
              <w:t xml:space="preserve">“</w:t>
            </w:r>
            <w:r>
              <w:t xml:space="preserve">directly participating in or related to</w:t>
            </w:r>
            <w:r>
              <w:t xml:space="preserve">”</w:t>
            </w:r>
            <w:r>
              <w:t xml:space="preserve"> </w:t>
            </w:r>
            <w:r>
              <w:t xml:space="preserve">processing of Vietnamese citizens’ data.</w:t>
            </w:r>
          </w:p>
        </w:tc>
        <w:tc>
          <w:tcPr/>
          <w:p>
            <w:pPr>
              <w:pStyle w:val="Compact"/>
              <w:jc w:val="left"/>
            </w:pPr>
            <w:r>
              <w:t xml:space="preserve">Not applicable.</w:t>
            </w:r>
          </w:p>
        </w:tc>
        <w:tc>
          <w:tcPr/>
          <w:p>
            <w:pPr>
              <w:pStyle w:val="Compact"/>
              <w:jc w:val="left"/>
            </w:pPr>
            <w:r>
              <w:t xml:space="preserve">Not applicable.</w:t>
            </w:r>
          </w:p>
        </w:tc>
      </w:tr>
    </w:tbl>
    <w:p>
      <w:pPr>
        <w:pStyle w:val="BodyText"/>
      </w:pPr>
      <w:r>
        <w:t xml:space="preserve">Table 2a. Instrument type, enforcement architecture, and territorial reach.</w:t>
      </w:r>
    </w:p>
    <w:bookmarkEnd w:id="39"/>
    <w:bookmarkStart w:id="40" w:name="b.2-consent-requirements"/>
    <w:p>
      <w:pPr>
        <w:pStyle w:val="Heading2"/>
      </w:pPr>
      <w:r>
        <w:t xml:space="preserve">B.2 Consent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w:t>
            </w:r>
          </w:p>
        </w:tc>
      </w:tr>
      <w:tr>
        <w:tc>
          <w:tcPr/>
          <w:p>
            <w:pPr>
              <w:pStyle w:val="Compact"/>
              <w:jc w:val="left"/>
            </w:pPr>
            <w:r>
              <w:rPr>
                <w:bCs/>
                <w:b/>
              </w:rPr>
              <w:t xml:space="preserve">Consent standard</w:t>
            </w:r>
          </w:p>
        </w:tc>
        <w:tc>
          <w:tcPr/>
          <w:p>
            <w:pPr>
              <w:pStyle w:val="Compact"/>
              <w:jc w:val="left"/>
            </w:pPr>
            <w:r>
              <w:t xml:space="preserve">Art. 4(11): freely given, specific, informed, unambiguous; pre-ticked boxes invalid (CJEU Planet49, 2019).</w:t>
            </w:r>
          </w:p>
        </w:tc>
        <w:tc>
          <w:tcPr/>
          <w:p>
            <w:pPr>
              <w:pStyle w:val="Compact"/>
              <w:jc w:val="left"/>
            </w:pPr>
            <w:r>
              <w:t xml:space="preserve">Art. 9(2)–(3): voluntary; data subject must know data types, purposes, controller, rights/obligations; expressed in a clear, reproducible, verifiable format (incl. electronic). Art. 9(4)(d): silence or non-response is expressly not consent.</w:t>
            </w:r>
          </w:p>
        </w:tc>
      </w:tr>
      <w:tr>
        <w:tc>
          <w:tcPr/>
          <w:p>
            <w:pPr>
              <w:pStyle w:val="Compact"/>
              <w:jc w:val="left"/>
            </w:pPr>
            <w:r>
              <w:rPr>
                <w:bCs/>
                <w:b/>
              </w:rPr>
              <w:t xml:space="preserve">Granularity</w:t>
            </w:r>
          </w:p>
        </w:tc>
        <w:tc>
          <w:tcPr/>
          <w:p>
            <w:pPr>
              <w:pStyle w:val="Compact"/>
              <w:jc w:val="left"/>
            </w:pPr>
            <w:r>
              <w:t xml:space="preserve">Per purpose; bundling not permitted.</w:t>
            </w:r>
          </w:p>
        </w:tc>
        <w:tc>
          <w:tcPr/>
          <w:p>
            <w:pPr>
              <w:pStyle w:val="Compact"/>
              <w:jc w:val="left"/>
            </w:pPr>
            <w:r>
              <w:t xml:space="preserve">Art. 9(4)(a)–(b): consent per individual purpose; may not be conditioned on consenting to other purposes (anti-bundling).</w:t>
            </w:r>
          </w:p>
        </w:tc>
      </w:tr>
      <w:tr>
        <w:tc>
          <w:tcPr/>
          <w:p>
            <w:pPr>
              <w:pStyle w:val="Compact"/>
              <w:jc w:val="left"/>
            </w:pPr>
            <w:r>
              <w:rPr>
                <w:bCs/>
                <w:b/>
              </w:rPr>
              <w:t xml:space="preserve">Withdrawal</w:t>
            </w:r>
          </w:p>
        </w:tc>
        <w:tc>
          <w:tcPr/>
          <w:p>
            <w:pPr>
              <w:pStyle w:val="Compact"/>
              <w:jc w:val="left"/>
            </w:pPr>
            <w:r>
              <w:t xml:space="preserve">Art. 7(3): withdrawal as easy as giving consent — unconditional.</w:t>
            </w:r>
          </w:p>
        </w:tc>
        <w:tc>
          <w:tcPr/>
          <w:p>
            <w:pPr>
              <w:pStyle w:val="Compact"/>
              <w:jc w:val="left"/>
            </w:pPr>
            <w:r>
              <w:t xml:space="preserve">Art. 10: withdrawal permitted at any time when the subject has grounds to doubt scope, purpose, or accuracy — i.e., conditioned; written/verifiable form required (Art. 10(2)).</w:t>
            </w:r>
          </w:p>
        </w:tc>
      </w:tr>
      <w:tr>
        <w:tc>
          <w:tcPr/>
          <w:p>
            <w:pPr>
              <w:pStyle w:val="Compact"/>
              <w:jc w:val="left"/>
            </w:pPr>
            <w:r>
              <w:rPr>
                <w:bCs/>
                <w:b/>
              </w:rPr>
              <w:t xml:space="preserve">Consent exemptions</w:t>
            </w:r>
          </w:p>
        </w:tc>
        <w:tc>
          <w:tcPr/>
          <w:p>
            <w:pPr>
              <w:pStyle w:val="Compact"/>
              <w:jc w:val="left"/>
            </w:pPr>
            <w:r>
              <w:t xml:space="preserve">Art. 6: legitimate interest, contract performance, etc.</w:t>
            </w:r>
          </w:p>
        </w:tc>
        <w:tc>
          <w:tcPr/>
          <w:p>
            <w:pPr>
              <w:pStyle w:val="Compact"/>
              <w:jc w:val="left"/>
            </w:pPr>
            <w:r>
              <w:t xml:space="preserve">Art. 19(1)(a)–(d): protection of life/health in emergencies, national security, state-agency operations, performance of agreements.</w:t>
            </w:r>
          </w:p>
        </w:tc>
      </w:tr>
      <w:tr>
        <w:tc>
          <w:tcPr/>
          <w:p>
            <w:pPr>
              <w:pStyle w:val="Compact"/>
              <w:jc w:val="left"/>
            </w:pPr>
            <w:r>
              <w:rPr>
                <w:bCs/>
                <w:b/>
              </w:rPr>
              <w:t xml:space="preserve">Sensitive data</w:t>
            </w:r>
          </w:p>
        </w:tc>
        <w:tc>
          <w:tcPr/>
          <w:p>
            <w:pPr>
              <w:pStyle w:val="Compact"/>
              <w:jc w:val="left"/>
            </w:pPr>
            <w:r>
              <w:t xml:space="preserve">Art. 9: explicit consent required for special-category data (health, religion, biometrics…).</w:t>
            </w:r>
          </w:p>
        </w:tc>
        <w:tc>
          <w:tcPr/>
          <w:p>
            <w:pPr>
              <w:pStyle w:val="Compact"/>
              <w:jc w:val="left"/>
            </w:pPr>
            <w:r>
              <w:t xml:space="preserve">Separate consent required for medical/health data; credit data may not be used for scoring without consent.</w:t>
            </w:r>
          </w:p>
        </w:tc>
      </w:tr>
    </w:tbl>
    <w:p>
      <w:pPr>
        <w:pStyle w:val="BodyText"/>
      </w:pPr>
      <w:r>
        <w:t xml:space="preserve">Table 2b. Consent standards, granularity, and withdrawal.</w:t>
      </w:r>
    </w:p>
    <w:bookmarkEnd w:id="40"/>
    <w:bookmarkStart w:id="41" w:name="X86681b71c82f86e2311ca3c47551a21b66657bd"/>
    <w:p>
      <w:pPr>
        <w:pStyle w:val="Heading2"/>
      </w:pPr>
      <w:r>
        <w:t xml:space="preserve">B.3 Disclosure and Transparency Obligations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w:t>
            </w:r>
          </w:p>
        </w:tc>
      </w:tr>
      <w:tr>
        <w:tc>
          <w:tcPr/>
          <w:p>
            <w:pPr>
              <w:pStyle w:val="Compact"/>
              <w:jc w:val="left"/>
            </w:pPr>
            <w:r>
              <w:rPr>
                <w:bCs/>
                <w:b/>
              </w:rPr>
              <w:t xml:space="preserve">Disclosure at collection</w:t>
            </w:r>
          </w:p>
        </w:tc>
        <w:tc>
          <w:tcPr/>
          <w:p>
            <w:pPr>
              <w:pStyle w:val="Compact"/>
              <w:jc w:val="left"/>
            </w:pPr>
            <w:r>
              <w:t xml:space="preserve">Arts. 13–14: mandatory disclosure of controller identity, purposes, legal basis, retention, recipients (within one month for indirect collection).</w:t>
            </w:r>
          </w:p>
        </w:tc>
        <w:tc>
          <w:tcPr/>
          <w:p>
            <w:pPr>
              <w:pStyle w:val="Compact"/>
              <w:jc w:val="left"/>
            </w:pPr>
            <w:r>
              <w:t xml:space="preserve">Transparency principle (Art. 3(2)): collection/processing must be within scope and for specific, clear purposes — principle-level rather than itemized.</w:t>
            </w:r>
          </w:p>
        </w:tc>
      </w:tr>
      <w:tr>
        <w:tc>
          <w:tcPr/>
          <w:p>
            <w:pPr>
              <w:pStyle w:val="Compact"/>
              <w:jc w:val="left"/>
            </w:pPr>
            <w:r>
              <w:rPr>
                <w:bCs/>
                <w:b/>
              </w:rPr>
              <w:t xml:space="preserve">Behavioral / personalized advertising</w:t>
            </w:r>
          </w:p>
        </w:tc>
        <w:tc>
          <w:tcPr/>
          <w:p>
            <w:pPr>
              <w:pStyle w:val="Compact"/>
              <w:jc w:val="left"/>
            </w:pPr>
            <w:r>
              <w:t xml:space="preserve">No dedicated provision in the original GDPR.</w:t>
            </w:r>
          </w:p>
        </w:tc>
        <w:tc>
          <w:tcPr/>
          <w:p>
            <w:pPr>
              <w:pStyle w:val="Compact"/>
              <w:jc w:val="left"/>
            </w:pPr>
            <w:r>
              <w:t xml:space="preserve">Art. 28(8): dedicated rules for behavioral/targeted/personalized advertising — (a) tracking-based collection only with consent; (b) opt-out of data sharing, defined retention, deletion when no longer necessary. Art. 28(5): right to demand cessation of ads (opt-out).</w:t>
            </w:r>
          </w:p>
        </w:tc>
      </w:tr>
      <w:tr>
        <w:tc>
          <w:tcPr/>
          <w:p>
            <w:pPr>
              <w:pStyle w:val="Compact"/>
              <w:jc w:val="left"/>
            </w:pPr>
            <w:r>
              <w:rPr>
                <w:bCs/>
                <w:b/>
              </w:rPr>
              <w:t xml:space="preserve">AI / Big Data systems</w:t>
            </w:r>
          </w:p>
        </w:tc>
        <w:tc>
          <w:tcPr/>
          <w:p>
            <w:pPr>
              <w:pStyle w:val="Compact"/>
              <w:jc w:val="left"/>
            </w:pPr>
            <w:r>
              <w:t xml:space="preserve">Not in the original GDPR (added later via the EU AI Act 2024).</w:t>
            </w:r>
          </w:p>
        </w:tc>
        <w:tc>
          <w:tcPr/>
          <w:p>
            <w:pPr>
              <w:pStyle w:val="Compact"/>
              <w:jc w:val="left"/>
            </w:pPr>
            <w:r>
              <w:t xml:space="preserve">Art. 30 — a dedicated in-statute provision: processing within purpose and necessity limits, consistent with</w:t>
            </w:r>
            <w:r>
              <w:t xml:space="preserve"> </w:t>
            </w:r>
            <w:r>
              <w:t xml:space="preserve">“</w:t>
            </w:r>
            <w:r>
              <w:t xml:space="preserve">ethical standards and fine customs</w:t>
            </w:r>
            <w:r>
              <w:t xml:space="preserve">”</w:t>
            </w:r>
            <w:r>
              <w:t xml:space="preserve">; Art. 30(4): risk-based classification of AI processing.</w:t>
            </w:r>
          </w:p>
        </w:tc>
      </w:tr>
      <w:tr>
        <w:tc>
          <w:tcPr/>
          <w:p>
            <w:pPr>
              <w:pStyle w:val="Compact"/>
              <w:jc w:val="left"/>
            </w:pPr>
            <w:r>
              <w:rPr>
                <w:bCs/>
                <w:b/>
              </w:rPr>
              <w:t xml:space="preserve">Right to explanation</w:t>
            </w:r>
          </w:p>
        </w:tc>
        <w:tc>
          <w:tcPr/>
          <w:p>
            <w:pPr>
              <w:pStyle w:val="Compact"/>
              <w:jc w:val="left"/>
            </w:pPr>
            <w:r>
              <w:t xml:space="preserve">Arts. 13(2)(f) &amp; 22:</w:t>
            </w:r>
            <w:r>
              <w:t xml:space="preserve"> </w:t>
            </w:r>
            <w:r>
              <w:t xml:space="preserve">“</w:t>
            </w:r>
            <w:r>
              <w:t xml:space="preserve">meaningful information about the logic involved</w:t>
            </w:r>
            <w:r>
              <w:t xml:space="preserve">”</w:t>
            </w:r>
            <w:r>
              <w:t xml:space="preserve"> </w:t>
            </w:r>
            <w:r>
              <w:t xml:space="preserve">+ right to object to solely automated decisions.</w:t>
            </w:r>
          </w:p>
        </w:tc>
        <w:tc>
          <w:tcPr/>
          <w:p>
            <w:pPr>
              <w:pStyle w:val="Compact"/>
              <w:jc w:val="left"/>
            </w:pPr>
            <w:r>
              <w:t xml:space="preserve">Absent — Art. 30 requires only risk classification and ethical compliance; no obligation to explain personalization logic to individual data subjects.</w:t>
            </w:r>
          </w:p>
        </w:tc>
      </w:tr>
      <w:tr>
        <w:tc>
          <w:tcPr/>
          <w:p>
            <w:pPr>
              <w:pStyle w:val="Compact"/>
              <w:jc w:val="left"/>
            </w:pPr>
            <w:r>
              <w:rPr>
                <w:bCs/>
                <w:b/>
              </w:rPr>
              <w:t xml:space="preserve">Platform transparency</w:t>
            </w:r>
          </w:p>
        </w:tc>
        <w:tc>
          <w:tcPr/>
          <w:p>
            <w:pPr>
              <w:pStyle w:val="Compact"/>
              <w:jc w:val="left"/>
            </w:pPr>
            <w:r>
              <w:t xml:space="preserve">No dedicated provision.</w:t>
            </w:r>
          </w:p>
        </w:tc>
        <w:tc>
          <w:tcPr/>
          <w:p>
            <w:pPr>
              <w:pStyle w:val="Compact"/>
              <w:jc w:val="left"/>
            </w:pPr>
            <w:r>
              <w:t xml:space="preserve">Art. 29: social networks/online media must publish privacy policies, offer cookie refusal and a</w:t>
            </w:r>
            <w:r>
              <w:t xml:space="preserve"> </w:t>
            </w:r>
            <w:r>
              <w:t xml:space="preserve">“</w:t>
            </w:r>
            <w:r>
              <w:t xml:space="preserve">do-not-track</w:t>
            </w:r>
            <w:r>
              <w:t xml:space="preserve">”</w:t>
            </w:r>
            <w:r>
              <w:t xml:space="preserve"> </w:t>
            </w:r>
            <w:r>
              <w:t xml:space="preserve">option.</w:t>
            </w:r>
          </w:p>
        </w:tc>
      </w:tr>
    </w:tbl>
    <w:p>
      <w:pPr>
        <w:pStyle w:val="BodyText"/>
      </w:pPr>
      <w:r>
        <w:t xml:space="preserve">Table 2c. Disclosure, algorithmic transparency, and platform duties.</w:t>
      </w:r>
    </w:p>
    <w:p>
      <w:pPr>
        <w:pStyle w:val="BodyText"/>
      </w:pPr>
      <w:r>
        <w:rPr>
          <w:iCs/>
          <w:i/>
        </w:rPr>
        <w:t xml:space="preserve">Design linkage.</w:t>
      </w:r>
      <w:r>
        <w:t xml:space="preserve"> </w:t>
      </w:r>
      <w:r>
        <w:t xml:space="preserve">Arts. 28(8)(a)–(b), 28(5), and 29 supply the statutory content of the</w:t>
      </w:r>
      <w:r>
        <w:t xml:space="preserve"> </w:t>
      </w:r>
      <w:r>
        <w:rPr>
          <w:bCs/>
          <w:b/>
        </w:rPr>
        <w:t xml:space="preserve">With Disclosure</w:t>
      </w:r>
      <w:r>
        <w:t xml:space="preserve"> </w:t>
      </w:r>
      <w:r>
        <w:t xml:space="preserve">vignette condition and therefore the operational definition of DISC. The manipulation is not a generic</w:t>
      </w:r>
      <w:r>
        <w:t xml:space="preserve"> </w:t>
      </w:r>
      <w:r>
        <w:t xml:space="preserve">“</w:t>
      </w:r>
      <w:r>
        <w:t xml:space="preserve">privacy notice</w:t>
      </w:r>
      <w:r>
        <w:t xml:space="preserve">”</w:t>
      </w:r>
      <w:r>
        <w:t xml:space="preserve">: it states the tracking basis, the opt-out of data sharing, and the retention/deletion terms, so that H3 tests a legally realistic disclosure rather than an arbitrary one, and H7b moderates on a statutorily grounded carrier. The same three provisions define the compliance target of the Study 2 artifact’s Disclosure Optimizer.</w:t>
      </w:r>
    </w:p>
    <w:bookmarkEnd w:id="41"/>
    <w:bookmarkStart w:id="42" w:name="b.4-sanctions"/>
    <w:p>
      <w:pPr>
        <w:pStyle w:val="Heading2"/>
      </w:pPr>
      <w:r>
        <w:t xml:space="preserve">B.4 Sanctions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w:t>
            </w:r>
          </w:p>
        </w:tc>
      </w:tr>
      <w:tr>
        <w:tc>
          <w:tcPr/>
          <w:p>
            <w:pPr>
              <w:pStyle w:val="Compact"/>
              <w:jc w:val="left"/>
            </w:pPr>
            <w:r>
              <w:rPr>
                <w:bCs/>
                <w:b/>
              </w:rPr>
              <w:t xml:space="preserve">General cap</w:t>
            </w:r>
          </w:p>
        </w:tc>
        <w:tc>
          <w:tcPr/>
          <w:p>
            <w:pPr>
              <w:pStyle w:val="Compact"/>
              <w:jc w:val="left"/>
            </w:pPr>
            <w:r>
              <w:t xml:space="preserve">Art. 83: up to 4% of global turnover or €20 million.</w:t>
            </w:r>
          </w:p>
        </w:tc>
        <w:tc>
          <w:tcPr/>
          <w:p>
            <w:pPr>
              <w:pStyle w:val="Compact"/>
              <w:jc w:val="left"/>
            </w:pPr>
            <w:r>
              <w:t xml:space="preserve">Art. 8(5): up to VND 3 billion.</w:t>
            </w:r>
          </w:p>
        </w:tc>
      </w:tr>
      <w:tr>
        <w:tc>
          <w:tcPr/>
          <w:p>
            <w:pPr>
              <w:pStyle w:val="Compact"/>
              <w:jc w:val="left"/>
            </w:pPr>
            <w:r>
              <w:rPr>
                <w:bCs/>
                <w:b/>
              </w:rPr>
              <w:t xml:space="preserve">Data trading</w:t>
            </w:r>
          </w:p>
        </w:tc>
        <w:tc>
          <w:tcPr/>
          <w:p>
            <w:pPr>
              <w:pStyle w:val="Compact"/>
              <w:jc w:val="left"/>
            </w:pPr>
            <w:r>
              <w:t xml:space="preserve">General cap applies.</w:t>
            </w:r>
          </w:p>
        </w:tc>
        <w:tc>
          <w:tcPr/>
          <w:p>
            <w:pPr>
              <w:pStyle w:val="Compact"/>
              <w:jc w:val="left"/>
            </w:pPr>
            <w:r>
              <w:t xml:space="preserve">Art. 8(3): up to 10× the illicit gains — with no percentage ceiling, potentially harsher than the GDPR in high-profit violations.</w:t>
            </w:r>
          </w:p>
        </w:tc>
      </w:tr>
      <w:tr>
        <w:tc>
          <w:tcPr/>
          <w:p>
            <w:pPr>
              <w:pStyle w:val="Compact"/>
              <w:jc w:val="left"/>
            </w:pPr>
            <w:r>
              <w:rPr>
                <w:bCs/>
                <w:b/>
              </w:rPr>
              <w:t xml:space="preserve">Unlawful cross-border transfer</w:t>
            </w:r>
          </w:p>
        </w:tc>
        <w:tc>
          <w:tcPr/>
          <w:p>
            <w:pPr>
              <w:pStyle w:val="Compact"/>
              <w:jc w:val="left"/>
            </w:pPr>
            <w:r>
              <w:t xml:space="preserve">General cap applies.</w:t>
            </w:r>
          </w:p>
        </w:tc>
        <w:tc>
          <w:tcPr/>
          <w:p>
            <w:pPr>
              <w:pStyle w:val="Compact"/>
              <w:jc w:val="left"/>
            </w:pPr>
            <w:r>
              <w:t xml:space="preserve">Art. 8(4): 5% of the preceding year’s revenue.</w:t>
            </w:r>
          </w:p>
        </w:tc>
      </w:tr>
      <w:tr>
        <w:tc>
          <w:tcPr/>
          <w:p>
            <w:pPr>
              <w:pStyle w:val="Compact"/>
              <w:jc w:val="left"/>
            </w:pPr>
            <w:r>
              <w:rPr>
                <w:bCs/>
                <w:b/>
              </w:rPr>
              <w:t xml:space="preserve">Absolute prohibitions</w:t>
            </w:r>
          </w:p>
        </w:tc>
        <w:tc>
          <w:tcPr/>
          <w:p>
            <w:pPr>
              <w:pStyle w:val="Compact"/>
              <w:jc w:val="left"/>
            </w:pPr>
            <w:r>
              <w:t xml:space="preserve">No equivalent list.</w:t>
            </w:r>
          </w:p>
        </w:tc>
        <w:tc>
          <w:tcPr/>
          <w:p>
            <w:pPr>
              <w:pStyle w:val="Compact"/>
              <w:jc w:val="left"/>
            </w:pPr>
            <w:r>
              <w:t xml:space="preserve">Art. 7(6): outright prohibition on buying and selling personal data, save where other laws provide.</w:t>
            </w:r>
          </w:p>
        </w:tc>
      </w:tr>
    </w:tbl>
    <w:p>
      <w:pPr>
        <w:pStyle w:val="BodyText"/>
      </w:pPr>
      <w:r>
        <w:t xml:space="preserve">Table 2d. Sanction ceilings and absolute prohibitions.</w:t>
      </w:r>
    </w:p>
    <w:bookmarkEnd w:id="42"/>
    <w:bookmarkStart w:id="47" w:name="b.5-identified-institutional-gaps"/>
    <w:p>
      <w:pPr>
        <w:pStyle w:val="Heading2"/>
      </w:pPr>
      <w:r>
        <w:t xml:space="preserve">B.5 Identified Institutional Gaps</w:t>
      </w:r>
    </w:p>
    <w:bookmarkStart w:id="43" w:name="X8fd76643492c24c0285f5e920f183dd596dc931"/>
    <w:p>
      <w:pPr>
        <w:pStyle w:val="Heading3"/>
      </w:pPr>
      <w:r>
        <w:t xml:space="preserve">Gap 1 —</w:t>
      </w:r>
      <w:r>
        <w:t xml:space="preserve"> </w:t>
      </w:r>
      <w:r>
        <w:t xml:space="preserve">“</w:t>
      </w:r>
      <w:r>
        <w:t xml:space="preserve">High Entry Formality, Low Exit Control, Low Algorithmic Transparency</w:t>
      </w:r>
      <w:r>
        <w:t xml:space="preserve">”</w:t>
      </w:r>
    </w:p>
    <w:p>
      <w:pPr>
        <w:pStyle w:val="FirstParagraph"/>
      </w:pPr>
      <w:r>
        <w:rPr>
          <w:bCs/>
          <w:b/>
        </w:rPr>
        <w:t xml:space="preserve">High Entry Formality.</w:t>
      </w:r>
      <w:r>
        <w:t xml:space="preserve"> </w:t>
      </w:r>
      <w:r>
        <w:t xml:space="preserve">At initial collection, Law 91/2025/QH15 erects a control barrier equivalent to international best practice: Art. 9 requires consent that is voluntary, express, highly verifiable, separated per processing purpose (per-purpose consent), and protected against bundled coercion (anti-bundling).</w:t>
      </w:r>
    </w:p>
    <w:p>
      <w:pPr>
        <w:pStyle w:val="BodyText"/>
      </w:pPr>
      <w:r>
        <w:rPr>
          <w:bCs/>
          <w:b/>
        </w:rPr>
        <w:t xml:space="preserve">Low Exit Control.</w:t>
      </w:r>
      <w:r>
        <w:t xml:space="preserve"> </w:t>
      </w:r>
      <w:r>
        <w:t xml:space="preserve">In contrast to the GDPR’s unconditional, friction-free withdrawal (Art. 7(3)), the Vietnamese regime conditions and proceduralizes exit. Art. 10(1) permits withdrawal or processing-restriction requests only when the subject has grounds to doubt the scope, purpose, or accuracy of processing — not as an unconditional right — and Art. 10(2) requires written or verifiable form, raising procedural friction and transaction costs. This can undermine the timeliness and efficacy of withdrawal in real-time data interactions such as live personalization.</w:t>
      </w:r>
    </w:p>
    <w:p>
      <w:pPr>
        <w:pStyle w:val="BodyText"/>
      </w:pPr>
      <w:r>
        <w:rPr>
          <w:bCs/>
          <w:b/>
        </w:rPr>
        <w:t xml:space="preserve">Low Algorithmic Transparency.</w:t>
      </w:r>
      <w:r>
        <w:t xml:space="preserve"> </w:t>
      </w:r>
      <w:r>
        <w:t xml:space="preserve">The statute leaves the</w:t>
      </w:r>
      <w:r>
        <w:t xml:space="preserve"> </w:t>
      </w:r>
      <w:r>
        <w:t xml:space="preserve">“</w:t>
      </w:r>
      <w:r>
        <w:t xml:space="preserve">right to explanation</w:t>
      </w:r>
      <w:r>
        <w:t xml:space="preserve">”</w:t>
      </w:r>
      <w:r>
        <w:t xml:space="preserve"> </w:t>
      </w:r>
      <w:r>
        <w:t xml:space="preserve">— the GDPR’s core safeguard against automated decisions (Arts. 13(2)(f), 22) — entirely open. Art. 30(4) stops at risk-based classification of AI systems, and Art. 28(3) mandates disclosure only of surface-level display parameters, without structuring any duty to account for the underlying inferential logic of personalization models.</w:t>
      </w:r>
    </w:p>
    <w:bookmarkEnd w:id="43"/>
    <w:bookmarkStart w:id="44" w:name="X51cc5a26e09e2b54f793bd2a99766f99b28516a"/>
    <w:p>
      <w:pPr>
        <w:pStyle w:val="Heading3"/>
      </w:pPr>
      <w:r>
        <w:t xml:space="preserve">Gap 2 — Supply-side disclosure vs. demand-side awareness</w:t>
      </w:r>
    </w:p>
    <w:p>
      <w:pPr>
        <w:pStyle w:val="FirstParagraph"/>
      </w:pPr>
      <w:r>
        <w:t xml:space="preserve">All four reference frames — GDPR, PDP Law 2025, SDG 16, and GRI 418 — are supply-side instruments: they measure whether organizations or states disclose lawfully. None measures the degree to which consumers actually know and understand their statutory rights (demand-side cognitive awareness). This is the theoretical vacancy the</w:t>
      </w:r>
      <w:r>
        <w:t xml:space="preserve"> </w:t>
      </w:r>
      <w:r>
        <w:rPr>
          <w:bCs/>
          <w:b/>
        </w:rPr>
        <w:t xml:space="preserve">PDPL Awareness</w:t>
      </w:r>
      <w:r>
        <w:t xml:space="preserve"> </w:t>
      </w:r>
      <w:r>
        <w:t xml:space="preserve">construct fills: it measures not institutional compliance but individual awareness of the law’s existence and content, and then deploys that awareness as the moderator in H7a of the intrusiveness → trust relationship.</w:t>
      </w:r>
    </w:p>
    <w:bookmarkEnd w:id="44"/>
    <w:bookmarkStart w:id="45" w:name="Xe2114affcfcb9f27e96eb4ecfcf6360f8c940d6"/>
    <w:p>
      <w:pPr>
        <w:pStyle w:val="Heading3"/>
      </w:pPr>
      <w:r>
        <w:t xml:space="preserve">Gap 3 — Soft law (SDG 16) vs. hard law (PDP Law 2025)</w:t>
      </w:r>
    </w:p>
    <w:p>
      <w:pPr>
        <w:pStyle w:val="FirstParagraph"/>
      </w:pPr>
      <w:r>
        <w:t xml:space="preserve">SDG 16.6/16.10 supply the normative justification for why transparency matters at the macro level but provide no micro-level (individual/transactional) measurement mechanism. The study accordingly uses SDG 16 to justify the societal significance of the research (Governance-ESG contribution), while PDP Law 2025 supplies the concrete legal basis for the measurement scale. SDG 16 is never a measurement basis (see §C.6, OD-5).</w:t>
      </w:r>
    </w:p>
    <w:bookmarkEnd w:id="45"/>
    <w:bookmarkStart w:id="46" w:name="Xc6fc69b94e0778805bc27b394979a3259d64de6"/>
    <w:p>
      <w:pPr>
        <w:pStyle w:val="Heading3"/>
      </w:pPr>
      <w:r>
        <w:t xml:space="preserve">Gap 4 — Punitive asymmetry: severe sanctions without independent oversight</w:t>
      </w:r>
    </w:p>
    <w:p>
      <w:pPr>
        <w:pStyle w:val="FirstParagraph"/>
      </w:pPr>
      <w:r>
        <w:t xml:space="preserve">On paper, sanctions for data trading (Art. 8(3): 10× illicit gains, no ceiling) can exceed GDPR severity (Art. 83: 4% cap) in large-profit violations, and cross-border penalties (Art. 8(4): 5% of prior-year revenue) are substantial. Yet enforcement (Arts. 33, 36) is concentrated entirely in the Ministry of Public Security, with no independent DPA analogous to the EDPB — the same body both administers the regime and adjudicates complaints, unlike the EU’s separated oversight model. This</w:t>
      </w:r>
      <w:r>
        <w:t xml:space="preserve"> </w:t>
      </w:r>
      <w:r>
        <w:t xml:space="preserve">“</w:t>
      </w:r>
      <w:r>
        <w:t xml:space="preserve">high-deterrence sanctions, centralized supervision</w:t>
      </w:r>
      <w:r>
        <w:t xml:space="preserve">”</w:t>
      </w:r>
      <w:r>
        <w:t xml:space="preserve"> </w:t>
      </w:r>
      <w:r>
        <w:t xml:space="preserve">structure implies that de facto enforcement salience may diverge markedly from de jure severity — explaining why consumer PDPL Awareness can remain low even though statutory penalties are very high, and grounding the de jure carrier’s expected weakness in H7a (§A.5.1).</w:t>
      </w:r>
    </w:p>
    <w:bookmarkEnd w:id="46"/>
    <w:bookmarkEnd w:id="47"/>
    <w:bookmarkStart w:id="48" w:name="Xa50060a49db2f2bac867ddfae4c1dfcb935e56f"/>
    <w:p>
      <w:pPr>
        <w:pStyle w:val="Heading2"/>
      </w:pPr>
      <w:r>
        <w:t xml:space="preserve">B.6 Novelty Statements (Locked Wording for the Manuscript)</w:t>
      </w:r>
    </w:p>
    <w:p>
      <w:pPr>
        <w:pStyle w:val="FirstParagraph"/>
      </w:pPr>
      <w:r>
        <w:rPr>
          <w:bCs/>
          <w:b/>
        </w:rPr>
        <w:t xml:space="preserve">Institutional novelty (Gaps 1 &amp; 4).</w:t>
      </w:r>
      <w:r>
        <w:t xml:space="preserve"> </w:t>
      </w:r>
      <w:r>
        <w:t xml:space="preserve">Law 91/2025/QH15 produces a distinctive institutional configuration: High Entry Formality, Low Exit Control, Low Algorithmic Transparency — coupled with sanctions that are on paper harsher than the GDPR for data trading (10× illicit gains, uncapped) but supervised by a single centralized authority without an independent DPA. This</w:t>
      </w:r>
      <w:r>
        <w:t xml:space="preserve"> </w:t>
      </w:r>
      <w:r>
        <w:t xml:space="preserve">“</w:t>
      </w:r>
      <w:r>
        <w:t xml:space="preserve">high-deterrence / centralized-supervision / low-algorithmic-transparency</w:t>
      </w:r>
      <w:r>
        <w:t xml:space="preserve">”</w:t>
      </w:r>
      <w:r>
        <w:t xml:space="preserve"> </w:t>
      </w:r>
      <w:r>
        <w:t xml:space="preserve">structure generates a new institutional hypothesis: Vietnamese consumers’ PDPL Awareness may be low even though statutory penalties are very high — a de jure severity vs. de facto salience paradox not yet empirically tested in an emerging market.</w:t>
      </w:r>
    </w:p>
    <w:p>
      <w:pPr>
        <w:pStyle w:val="BodyText"/>
      </w:pPr>
      <w:r>
        <w:rPr>
          <w:bCs/>
          <w:b/>
        </w:rPr>
        <w:t xml:space="preserve">Theoretical novelty (Gap 2): from supply-side disclosure to demand-side awareness.</w:t>
      </w:r>
      <w:r>
        <w:t xml:space="preserve"> </w:t>
      </w:r>
      <w:r>
        <w:t xml:space="preserve">The comparative legal analysis shows that all four existing reference frames measure supply-side compliance; none measures demand-side cognitive awareness. PDPL Awareness fills this gap: it captures individual awareness of the existence and content of Law 91/2025/QH15 and uses that awareness as a moderating variable (H7a) in the intrusiveness → trust relationship. Because the law took effect on 1 January 2026, the construct measures an entirely new institutional phenomenon — untested in any prior omnichannel study.</w:t>
      </w:r>
    </w:p>
    <w:p>
      <w:pPr>
        <w:pStyle w:val="BodyText"/>
      </w:pPr>
      <w:r>
        <w:rPr>
          <w:bCs/>
          <w:b/>
        </w:rPr>
        <w:t xml:space="preserve">[Third statement — status pending, see OD-9.]</w:t>
      </w:r>
      <w:r>
        <w:t xml:space="preserve"> </w:t>
      </w:r>
      <w:r>
        <w:t xml:space="preserve">The v2.0 third novelty statement (</w:t>
      </w:r>
      <w:r>
        <w:t xml:space="preserve">“</w:t>
      </w:r>
      <w:r>
        <w:t xml:space="preserve">Novelty extension admitted by v2.0, Gaps 1, 2 &amp; 4 jointly</w:t>
      </w:r>
      <w:r>
        <w:t xml:space="preserve">”</w:t>
      </w:r>
      <w:r>
        <w:t xml:space="preserve">) claimed that the study tests whether de jure awareness is behaviourally inert</w:t>
      </w:r>
      <w:r>
        <w:t xml:space="preserve"> </w:t>
      </w:r>
      <w:r>
        <w:rPr>
          <w:iCs/>
          <w:i/>
        </w:rPr>
        <w:t xml:space="preserve">unless</w:t>
      </w:r>
      <w:r>
        <w:t xml:space="preserve"> </w:t>
      </w:r>
      <w:r>
        <w:t xml:space="preserve">the firm supplies a de facto instantiation of it. That claim rested entirely on the moderated-moderation specification withdrawn by Amendment A-8 and</w:t>
      </w:r>
      <w:r>
        <w:t xml:space="preserve"> </w:t>
      </w:r>
      <w:r>
        <w:rPr>
          <w:bCs/>
          <w:b/>
        </w:rPr>
        <w:t xml:space="preserve">cannot be carried forward unchanged</w:t>
      </w:r>
      <w:r>
        <w:t xml:space="preserve"> </w:t>
      </w:r>
      <w:r>
        <w:t xml:space="preserve">— the design no longer estimates a term capable of testing it. Two options are open and the choice is Khải’s; until it is made, this paragraph is</w:t>
      </w:r>
      <w:r>
        <w:t xml:space="preserve"> </w:t>
      </w:r>
      <w:r>
        <w:rPr>
          <w:bCs/>
          <w:b/>
        </w:rPr>
        <w:t xml:space="preserve">not to be circulated in any draft</w:t>
      </w:r>
      <w:r>
        <w:t xml:space="preserve">:</w:t>
      </w:r>
    </w:p>
    <w:p>
      <w:pPr>
        <w:numPr>
          <w:ilvl w:val="0"/>
          <w:numId w:val="1005"/>
        </w:numPr>
        <w:pStyle w:val="Compact"/>
      </w:pPr>
      <w:r>
        <w:rPr>
          <w:bCs/>
          <w:b/>
        </w:rPr>
        <w:t xml:space="preserve">Option (a) — withdraw.</w:t>
      </w:r>
      <w:r>
        <w:t xml:space="preserve"> </w:t>
      </w:r>
      <w:r>
        <w:t xml:space="preserve">Rely on the two statements above for novelty. Safest; claims nothing the data cannot deliver.</w:t>
      </w:r>
    </w:p>
    <w:p>
      <w:pPr>
        <w:numPr>
          <w:ilvl w:val="0"/>
          <w:numId w:val="1005"/>
        </w:numPr>
        <w:pStyle w:val="Compact"/>
      </w:pPr>
      <w:r>
        <w:rPr>
          <w:bCs/>
          <w:b/>
        </w:rPr>
        <w:t xml:space="preserve">Option (b) — replace.</w:t>
      </w:r>
      <w:r>
        <w:t xml:space="preserve"> </w:t>
      </w:r>
      <w:r>
        <w:t xml:space="preserve">“</w:t>
      </w:r>
      <w:r>
        <w:t xml:space="preserve">Because H7a and H7b are estimated jointly with each carrier held constant for the other, the study additionally tests the relative behavioural leverage of institutional awareness versus firm-level disclosure as independent buffers of intrusiveness-driven trust erosion — answering which lever, legal-awareness campaigns or interface-level disclosure design, has the larger buffering effect.</w:t>
      </w:r>
      <w:r>
        <w:t xml:space="preserve">”</w:t>
      </w:r>
      <w:r>
        <w:t xml:space="preserve"> </w:t>
      </w:r>
      <w:r>
        <w:t xml:space="preserve">Preserves a Gap-2-adjacent extension without resting on an unobservable conjunctive mechanism.</w:t>
      </w:r>
    </w:p>
    <w:p>
      <w:pPr>
        <w:pStyle w:val="FirstParagraph"/>
      </w:pPr>
      <w:r>
        <w:rPr>
          <w:iCs/>
          <w:i/>
        </w:rPr>
        <w:t xml:space="preserve">Framing guardrail.</w:t>
      </w:r>
      <w:r>
        <w:t xml:space="preserve"> </w:t>
      </w:r>
      <w:r>
        <w:t xml:space="preserve">Novelty claims must remain within the two locked statements above (plus whichever third statement is ratified) and the SDG 12 artifact junction (§A.7). Do not extend novelty claims to the SOR structure or the relevance–intrusiveness duality per se, both of which are established; over-claiming is a desk-rejection risk at ECR&amp;A/CHB.</w:t>
      </w:r>
    </w:p>
    <w:bookmarkEnd w:id="48"/>
    <w:bookmarkEnd w:id="49"/>
    <w:bookmarkStart w:id="58" w:name="Xae001ba6cca9096eb0ec4a8830153992a047c1a"/>
    <w:p>
      <w:pPr>
        <w:pStyle w:val="Heading1"/>
      </w:pPr>
      <w:r>
        <w:t xml:space="preserve">Part C. Implications for Hypotheses and Study Design</w:t>
      </w:r>
    </w:p>
    <w:bookmarkStart w:id="51" w:name="X809029a2c5049377dceda4076078a92c435a6b9"/>
    <w:p>
      <w:pPr>
        <w:pStyle w:val="Heading2"/>
      </w:pPr>
      <w:r>
        <w:t xml:space="preserve">C.1 Hypothesis Map (Locked Specification, Planning-Aligned)</w:t>
      </w:r>
    </w:p>
    <w:p>
      <w:pPr>
        <w:pStyle w:val="FirstParagraph"/>
      </w:pPr>
      <w:r>
        <w:t xml:space="preserve">Table 3 is the authoritative hypothesis register. The numbering reproduces the approved</w:t>
      </w:r>
      <w:r>
        <w:t xml:space="preserve"> </w:t>
      </w:r>
      <w:r>
        <w:rPr>
          <w:iCs/>
          <w:i/>
        </w:rPr>
        <w:t xml:space="preserve">Project Outline and Planning</w:t>
      </w:r>
      <w:r>
        <w:t xml:space="preserve"> </w:t>
      </w:r>
      <w:r>
        <w:t xml:space="preserve">document; the</w:t>
      </w:r>
      <w:r>
        <w:t xml:space="preserve"> </w:t>
      </w:r>
      <w:r>
        <w:t xml:space="preserve">“</w:t>
      </w:r>
      <w:r>
        <w:t xml:space="preserve">planning confidence</w:t>
      </w:r>
      <w:r>
        <w:t xml:space="preserve">”</w:t>
      </w:r>
      <w:r>
        <w:t xml:space="preserve"> </w:t>
      </w:r>
      <w:r>
        <w:t xml:space="preserve">column reproduces that document’s own a priori confidence rating, which is retained because it governs how each result is framed in the Discussion (high-confidence nulls are more damaging to the model than moderate-confidence nulls).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ID</w:t>
            </w:r>
          </w:p>
        </w:tc>
        <w:tc>
          <w:tcPr/>
          <w:p>
            <w:pPr>
              <w:pStyle w:val="Compact"/>
              <w:jc w:val="left"/>
            </w:pPr>
            <w:r>
              <w:rPr>
                <w:bCs/>
                <w:b/>
              </w:rPr>
              <w:t xml:space="preserve">Path</w:t>
            </w:r>
          </w:p>
        </w:tc>
        <w:tc>
          <w:tcPr/>
          <w:p>
            <w:pPr>
              <w:pStyle w:val="Compact"/>
              <w:jc w:val="left"/>
            </w:pPr>
            <w:r>
              <w:rPr>
                <w:bCs/>
                <w:b/>
              </w:rPr>
              <w:t xml:space="preserve">Theoretical rationale (anchor)</w:t>
            </w:r>
          </w:p>
        </w:tc>
        <w:tc>
          <w:tcPr/>
          <w:p>
            <w:pPr>
              <w:pStyle w:val="Compact"/>
              <w:jc w:val="left"/>
            </w:pPr>
            <w:r>
              <w:rPr>
                <w:bCs/>
                <w:b/>
              </w:rPr>
              <w:t xml:space="preserve">Planning confidence</w:t>
            </w:r>
          </w:p>
        </w:tc>
      </w:tr>
      <w:tr>
        <w:tc>
          <w:tcPr/>
          <w:p>
            <w:pPr>
              <w:pStyle w:val="Compact"/>
              <w:jc w:val="left"/>
            </w:pPr>
            <w:r>
              <w:rPr>
                <w:bCs/>
                <w:b/>
              </w:rPr>
              <w:t xml:space="preserve">H1</w:t>
            </w:r>
          </w:p>
        </w:tc>
        <w:tc>
          <w:tcPr/>
          <w:p>
            <w:pPr>
              <w:pStyle w:val="Compact"/>
              <w:jc w:val="left"/>
            </w:pPr>
            <w:r>
              <w:t xml:space="preserve">AIP → REL (+)</w:t>
            </w:r>
          </w:p>
        </w:tc>
        <w:tc>
          <w:tcPr/>
          <w:p>
            <w:pPr>
              <w:pStyle w:val="Compact"/>
              <w:jc w:val="left"/>
            </w:pPr>
            <w:r>
              <w:t xml:space="preserve">Higher personalization intensity increases the benefit term of the privacy calculus: better-matched content raises perceived relevance (Dinev &amp; Hart, 2006; SOR stimulus–organism link).</w:t>
            </w:r>
          </w:p>
        </w:tc>
        <w:tc>
          <w:tcPr/>
          <w:p>
            <w:pPr>
              <w:pStyle w:val="Compact"/>
              <w:jc w:val="left"/>
            </w:pPr>
            <w:r>
              <w:t xml:space="preserve">High</w:t>
            </w:r>
          </w:p>
        </w:tc>
      </w:tr>
      <w:tr>
        <w:tc>
          <w:tcPr/>
          <w:p>
            <w:pPr>
              <w:pStyle w:val="Compact"/>
              <w:jc w:val="left"/>
            </w:pPr>
            <w:r>
              <w:rPr>
                <w:bCs/>
                <w:b/>
              </w:rPr>
              <w:t xml:space="preserve">H2</w:t>
            </w:r>
          </w:p>
        </w:tc>
        <w:tc>
          <w:tcPr/>
          <w:p>
            <w:pPr>
              <w:pStyle w:val="Compact"/>
              <w:jc w:val="left"/>
            </w:pPr>
            <w:r>
              <w:t xml:space="preserve">AIP → INT (+)</w:t>
            </w:r>
          </w:p>
        </w:tc>
        <w:tc>
          <w:tcPr/>
          <w:p>
            <w:pPr>
              <w:pStyle w:val="Compact"/>
              <w:jc w:val="left"/>
            </w:pPr>
            <w:r>
              <w:t xml:space="preserve">The same intensity raises the risk term: deeper profiling and cross-channel tracking heighten felt boundary violation (personalization–privacy paradox).</w:t>
            </w:r>
          </w:p>
        </w:tc>
        <w:tc>
          <w:tcPr/>
          <w:p>
            <w:pPr>
              <w:pStyle w:val="Compact"/>
              <w:jc w:val="left"/>
            </w:pPr>
            <w:r>
              <w:t xml:space="preserve">High</w:t>
            </w:r>
          </w:p>
        </w:tc>
      </w:tr>
      <w:tr>
        <w:tc>
          <w:tcPr/>
          <w:p>
            <w:pPr>
              <w:pStyle w:val="Compact"/>
              <w:jc w:val="left"/>
            </w:pPr>
            <w:r>
              <w:rPr>
                <w:bCs/>
                <w:b/>
              </w:rPr>
              <w:t xml:space="preserve">H3</w:t>
            </w:r>
          </w:p>
        </w:tc>
        <w:tc>
          <w:tcPr/>
          <w:p>
            <w:pPr>
              <w:pStyle w:val="Compact"/>
              <w:jc w:val="left"/>
            </w:pPr>
            <w:r>
              <w:t xml:space="preserve">DISC (With Disclosure) → INT (−)</w:t>
            </w:r>
          </w:p>
        </w:tc>
        <w:tc>
          <w:tcPr/>
          <w:p>
            <w:pPr>
              <w:pStyle w:val="Compact"/>
              <w:jc w:val="left"/>
            </w:pPr>
            <w:r>
              <w:t xml:space="preserve">Explicit disclosure converts covert profiling into a declared, consented exchange, restoring situational normality (McKnight et al., 2002) and reducing felt boundary violation at constant personalization intensity. Statutory content of the manipulation: Arts. 28(8)(a)–(b), 28(5), 29.</w:t>
            </w:r>
            <w:r>
              <w:t xml:space="preserve"> </w:t>
            </w:r>
            <w:r>
              <w:rPr>
                <w:bCs/>
                <w:b/>
              </w:rPr>
              <w:t xml:space="preserve">Sole confirmatory test: the Disclosure main effect in the Study 1 two-way ANOVA on INT.</w:t>
            </w:r>
            <w:r>
              <w:t xml:space="preserve"> </w:t>
            </w:r>
            <w:r>
              <w:t xml:space="preserve">The DISC → INT path in the SEM is a specification requirement only (A-5) and is never reported as a second test of H3.</w:t>
            </w:r>
          </w:p>
        </w:tc>
        <w:tc>
          <w:tcPr/>
          <w:p>
            <w:pPr>
              <w:pStyle w:val="Compact"/>
              <w:jc w:val="left"/>
            </w:pPr>
            <w:r>
              <w:t xml:space="preserve">Moderate</w:t>
            </w:r>
          </w:p>
        </w:tc>
      </w:tr>
      <w:tr>
        <w:tc>
          <w:tcPr/>
          <w:p>
            <w:pPr>
              <w:pStyle w:val="Compact"/>
              <w:jc w:val="left"/>
            </w:pPr>
            <w:r>
              <w:rPr>
                <w:bCs/>
                <w:b/>
              </w:rPr>
              <w:t xml:space="preserve">H4</w:t>
            </w:r>
          </w:p>
        </w:tc>
        <w:tc>
          <w:tcPr/>
          <w:p>
            <w:pPr>
              <w:pStyle w:val="Compact"/>
              <w:jc w:val="left"/>
            </w:pPr>
            <w:r>
              <w:t xml:space="preserve">REL → TRU (+)</w:t>
            </w:r>
          </w:p>
        </w:tc>
        <w:tc>
          <w:tcPr/>
          <w:p>
            <w:pPr>
              <w:pStyle w:val="Compact"/>
              <w:jc w:val="left"/>
            </w:pPr>
            <w:r>
              <w:t xml:space="preserve">Relevance signals competence — one of McKnight et al.’s four trusting-belief components — and, by evidencing customer-centricity, benevolence; both strengthen cognitive and affective trust.</w:t>
            </w:r>
          </w:p>
        </w:tc>
        <w:tc>
          <w:tcPr/>
          <w:p>
            <w:pPr>
              <w:pStyle w:val="Compact"/>
              <w:jc w:val="left"/>
            </w:pPr>
            <w:r>
              <w:t xml:space="preserve">High</w:t>
            </w:r>
          </w:p>
        </w:tc>
      </w:tr>
      <w:tr>
        <w:tc>
          <w:tcPr/>
          <w:p>
            <w:pPr>
              <w:pStyle w:val="Compact"/>
              <w:jc w:val="left"/>
            </w:pPr>
            <w:r>
              <w:rPr>
                <w:bCs/>
                <w:b/>
              </w:rPr>
              <w:t xml:space="preserve">H5</w:t>
            </w:r>
          </w:p>
        </w:tc>
        <w:tc>
          <w:tcPr/>
          <w:p>
            <w:pPr>
              <w:pStyle w:val="Compact"/>
              <w:jc w:val="left"/>
            </w:pPr>
            <w:r>
              <w:t xml:space="preserve">REL → ENG (+)</w:t>
            </w:r>
          </w:p>
        </w:tc>
        <w:tc>
          <w:tcPr/>
          <w:p>
            <w:pPr>
              <w:pStyle w:val="Compact"/>
              <w:jc w:val="left"/>
            </w:pPr>
            <w:r>
              <w:t xml:space="preserve">Relevant content constitutes the interactive, value-co-creating experience from which engagement arises (Brodie et al., 2011, FP1).</w:t>
            </w:r>
          </w:p>
        </w:tc>
        <w:tc>
          <w:tcPr/>
          <w:p>
            <w:pPr>
              <w:pStyle w:val="Compact"/>
              <w:jc w:val="left"/>
            </w:pPr>
            <w:r>
              <w:t xml:space="preserve">High</w:t>
            </w:r>
          </w:p>
        </w:tc>
      </w:tr>
      <w:tr>
        <w:tc>
          <w:tcPr/>
          <w:p>
            <w:pPr>
              <w:pStyle w:val="Compact"/>
              <w:jc w:val="left"/>
            </w:pPr>
            <w:r>
              <w:rPr>
                <w:bCs/>
                <w:b/>
              </w:rPr>
              <w:t xml:space="preserve">H6a</w:t>
            </w:r>
          </w:p>
        </w:tc>
        <w:tc>
          <w:tcPr/>
          <w:p>
            <w:pPr>
              <w:pStyle w:val="Compact"/>
              <w:jc w:val="left"/>
            </w:pPr>
            <w:r>
              <w:t xml:space="preserve">INT → TRU (−)</w:t>
            </w:r>
          </w:p>
        </w:tc>
        <w:tc>
          <w:tcPr/>
          <w:p>
            <w:pPr>
              <w:pStyle w:val="Compact"/>
              <w:jc w:val="left"/>
            </w:pPr>
            <w:r>
              <w:t xml:space="preserve">Intrusiveness damages perceived benevolence (</w:t>
            </w:r>
            <w:r>
              <w:t xml:space="preserve">“</w:t>
            </w:r>
            <w:r>
              <w:t xml:space="preserve">data extraction over my welfare</w:t>
            </w:r>
            <w:r>
              <w:t xml:space="preserve">”</w:t>
            </w:r>
            <w:r>
              <w:t xml:space="preserve">) and integrity (</w:t>
            </w:r>
            <w:r>
              <w:t xml:space="preserve">“</w:t>
            </w:r>
            <w:r>
              <w:t xml:space="preserve">practices are not honest</w:t>
            </w:r>
            <w:r>
              <w:t xml:space="preserve">”</w:t>
            </w:r>
            <w:r>
              <w:t xml:space="preserve">) and undermines situational normality; strongest-driver evidence from Bart et al. (2005).</w:t>
            </w:r>
          </w:p>
        </w:tc>
        <w:tc>
          <w:tcPr/>
          <w:p>
            <w:pPr>
              <w:pStyle w:val="Compact"/>
              <w:jc w:val="left"/>
            </w:pPr>
            <w:r>
              <w:t xml:space="preserve">High</w:t>
            </w:r>
          </w:p>
        </w:tc>
      </w:tr>
      <w:tr>
        <w:tc>
          <w:tcPr/>
          <w:p>
            <w:pPr>
              <w:pStyle w:val="Compact"/>
              <w:jc w:val="left"/>
            </w:pPr>
            <w:r>
              <w:rPr>
                <w:bCs/>
                <w:b/>
              </w:rPr>
              <w:t xml:space="preserve">H6b</w:t>
            </w:r>
          </w:p>
        </w:tc>
        <w:tc>
          <w:tcPr/>
          <w:p>
            <w:pPr>
              <w:pStyle w:val="Compact"/>
              <w:jc w:val="left"/>
            </w:pPr>
            <w:r>
              <w:t xml:space="preserve">INT → ENG (−)</w:t>
            </w:r>
          </w:p>
        </w:tc>
        <w:tc>
          <w:tcPr/>
          <w:p>
            <w:pPr>
              <w:pStyle w:val="Compact"/>
              <w:jc w:val="left"/>
            </w:pPr>
            <w:r>
              <w:t xml:space="preserve">Felt surveillance suppresses the absorption and enthusiasm dimensions of engagement (Brodie et al., 2011, FP4); reactance-based withdrawal from the engagement object.</w:t>
            </w:r>
          </w:p>
        </w:tc>
        <w:tc>
          <w:tcPr/>
          <w:p>
            <w:pPr>
              <w:pStyle w:val="Compact"/>
              <w:jc w:val="left"/>
            </w:pPr>
            <w:r>
              <w:t xml:space="preserve">High</w:t>
            </w:r>
          </w:p>
        </w:tc>
      </w:tr>
      <w:tr>
        <w:tc>
          <w:tcPr/>
          <w:p>
            <w:pPr>
              <w:pStyle w:val="Compact"/>
              <w:jc w:val="left"/>
            </w:pPr>
            <w:r>
              <w:rPr>
                <w:bCs/>
                <w:b/>
              </w:rPr>
              <w:t xml:space="preserve">H6c</w:t>
            </w:r>
          </w:p>
        </w:tc>
        <w:tc>
          <w:tcPr/>
          <w:p>
            <w:pPr>
              <w:pStyle w:val="Compact"/>
              <w:jc w:val="left"/>
            </w:pPr>
            <w:r>
              <w:t xml:space="preserve">INT → PI (−)</w:t>
            </w:r>
          </w:p>
        </w:tc>
        <w:tc>
          <w:tcPr/>
          <w:p>
            <w:pPr>
              <w:pStyle w:val="Compact"/>
              <w:jc w:val="left"/>
            </w:pPr>
            <w:r>
              <w:t xml:space="preserve">Residual direct cost effect: intrusiveness is converted into decision-proximal transaction risk that suppresses intention at the point of choice, independently of trust (Pavlou, 2003; Featherman &amp; Pavlou, 2003). Restored as a hypothesis by A-1; estimating it alongside the trust and engagement routes permits a formal decomposition of direct versus indirect effects.</w:t>
            </w:r>
          </w:p>
        </w:tc>
        <w:tc>
          <w:tcPr/>
          <w:p>
            <w:pPr>
              <w:pStyle w:val="Compact"/>
              <w:jc w:val="left"/>
            </w:pPr>
            <w:r>
              <w:t xml:space="preserve">High</w:t>
            </w:r>
          </w:p>
        </w:tc>
      </w:tr>
      <w:tr>
        <w:tc>
          <w:tcPr/>
          <w:p>
            <w:pPr>
              <w:pStyle w:val="Compact"/>
              <w:jc w:val="left"/>
            </w:pPr>
            <w:r>
              <w:rPr>
                <w:bCs/>
                <w:b/>
              </w:rPr>
              <w:t xml:space="preserve">H7a</w:t>
            </w:r>
          </w:p>
        </w:tc>
        <w:tc>
          <w:tcPr/>
          <w:p>
            <w:pPr>
              <w:pStyle w:val="Compact"/>
              <w:jc w:val="left"/>
            </w:pPr>
            <w:r>
              <w:t xml:space="preserve">PDPL Awareness × INT → mod(INT → TRU)</w:t>
            </w:r>
            <w:r>
              <w:t xml:space="preserve"> </w:t>
            </w:r>
            <w:r>
              <w:rPr>
                <w:bCs/>
                <w:b/>
              </w:rPr>
              <w:t xml:space="preserve">Prediction: β_M1 &gt; 0</w:t>
            </w:r>
          </w:p>
        </w:tc>
        <w:tc>
          <w:tcPr/>
          <w:p>
            <w:pPr>
              <w:pStyle w:val="Compact"/>
              <w:jc w:val="left"/>
            </w:pPr>
            <w:r>
              <w:t xml:space="preserve">De jure structural assurance. Awareness that Law 91/2025/QH15 confers enforceable entitlements (Scott’s regulative pillar; McKnight et al.’s structural assurance) attenuates the erosive effect of intrusiveness on trust. Moderates the</w:t>
            </w:r>
            <w:r>
              <w:t xml:space="preserve"> </w:t>
            </w:r>
            <w:r>
              <w:rPr>
                <w:bCs/>
                <w:b/>
              </w:rPr>
              <w:t xml:space="preserve">H6a path only</w:t>
            </w:r>
            <w:r>
              <w:t xml:space="preserve">. Full development in §A.5.1; estimation in §C.2.</w:t>
            </w:r>
          </w:p>
        </w:tc>
        <w:tc>
          <w:tcPr/>
          <w:p>
            <w:pPr>
              <w:pStyle w:val="Compact"/>
              <w:jc w:val="left"/>
            </w:pPr>
            <w:r>
              <w:t xml:space="preserve">Moderate</w:t>
            </w:r>
          </w:p>
        </w:tc>
      </w:tr>
      <w:tr>
        <w:tc>
          <w:tcPr/>
          <w:p>
            <w:pPr>
              <w:pStyle w:val="Compact"/>
              <w:jc w:val="left"/>
            </w:pPr>
            <w:r>
              <w:rPr>
                <w:bCs/>
                <w:b/>
              </w:rPr>
              <w:t xml:space="preserve">H7b</w:t>
            </w:r>
          </w:p>
        </w:tc>
        <w:tc>
          <w:tcPr/>
          <w:p>
            <w:pPr>
              <w:pStyle w:val="Compact"/>
              <w:jc w:val="left"/>
            </w:pPr>
            <w:r>
              <w:t xml:space="preserve">Disclosure Level × INT → mod(INT → TRU)</w:t>
            </w:r>
            <w:r>
              <w:t xml:space="preserve"> </w:t>
            </w:r>
            <w:r>
              <w:rPr>
                <w:bCs/>
                <w:b/>
              </w:rPr>
              <w:t xml:space="preserve">Prediction: β_M2 &gt; 0</w:t>
            </w:r>
          </w:p>
        </w:tc>
        <w:tc>
          <w:tcPr/>
          <w:p>
            <w:pPr>
              <w:pStyle w:val="Compact"/>
              <w:jc w:val="left"/>
            </w:pPr>
            <w:r>
              <w:t xml:space="preserve">De facto structural assurance. Firm-level disclosure at the point of personalization (Arts. 28(8), 29) restores situational normality and signals integrity, attenuating the erosive effect of intrusiveness on trust. Moderates the</w:t>
            </w:r>
            <w:r>
              <w:t xml:space="preserve"> </w:t>
            </w:r>
            <w:r>
              <w:rPr>
                <w:bCs/>
                <w:b/>
              </w:rPr>
              <w:t xml:space="preserve">H6a path only</w:t>
            </w:r>
            <w:r>
              <w:t xml:space="preserve">. Full development in §A.5.1; estimation in §C.2.</w:t>
            </w:r>
          </w:p>
        </w:tc>
        <w:tc>
          <w:tcPr/>
          <w:p>
            <w:pPr>
              <w:pStyle w:val="Compact"/>
              <w:jc w:val="left"/>
            </w:pPr>
            <w:r>
              <w:t xml:space="preserve">Moderate</w:t>
            </w:r>
          </w:p>
        </w:tc>
      </w:tr>
    </w:tbl>
    <w:p>
      <w:pPr>
        <w:pStyle w:val="BodyText"/>
      </w:pPr>
      <w:r>
        <w:t xml:space="preserve">Table 3. Hypothesis register. Numbering is locked by governance rule 2 and may not be altered downstream. Amendment A-8 replaced the single H7 (three-way, β_M4) with H7a and H7b;</w:t>
      </w:r>
      <w:r>
        <w:t xml:space="preserve"> </w:t>
      </w:r>
      <w:r>
        <w:rPr>
          <w:bCs/>
          <w:b/>
        </w:rPr>
        <w:t xml:space="preserve">β_M3 and β_M4 no longer exist</w:t>
      </w:r>
      <w:r>
        <w:t xml:space="preserve"> </w:t>
      </w:r>
      <w:r>
        <w:t xml:space="preserve">and any artefact still carrying them is a pre-v2.3 remnant.</w:t>
      </w:r>
    </w:p>
    <w:bookmarkStart w:id="50" w:name="Xd1de15d33e715a5c5a59b4cc62781314c1c9d70"/>
    <w:p>
      <w:pPr>
        <w:pStyle w:val="Heading3"/>
      </w:pPr>
      <w:r>
        <w:t xml:space="preserve">C.1.1 Established-Path Register (Estimated, Not Hypothesized)</w:t>
      </w:r>
    </w:p>
    <w:p>
      <w:pPr>
        <w:pStyle w:val="FirstParagraph"/>
      </w:pPr>
      <w:r>
        <w:t xml:space="preserve">Established paths are included in the structural model and reported with coefficients, but are justified by prior theory and excluded from all contribution claims. They are drawn as dotted arrows in every model figure and are cited by their E-labels in results tables, so that a demoted path cannot be silently re-promoted in a later draft.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Path</w:t>
            </w:r>
          </w:p>
        </w:tc>
        <w:tc>
          <w:tcPr/>
          <w:p>
            <w:pPr>
              <w:pStyle w:val="Compact"/>
              <w:jc w:val="left"/>
            </w:pPr>
            <w:r>
              <w:rPr>
                <w:bCs/>
                <w:b/>
              </w:rPr>
              <w:t xml:space="preserve">Basis and status</w:t>
            </w:r>
          </w:p>
        </w:tc>
      </w:tr>
      <w:tr>
        <w:tc>
          <w:tcPr/>
          <w:p>
            <w:pPr>
              <w:pStyle w:val="Compact"/>
              <w:jc w:val="left"/>
            </w:pPr>
            <w:r>
              <w:rPr>
                <w:bCs/>
                <w:b/>
              </w:rPr>
              <w:t xml:space="preserve">E1</w:t>
            </w:r>
          </w:p>
        </w:tc>
        <w:tc>
          <w:tcPr/>
          <w:p>
            <w:pPr>
              <w:pStyle w:val="Compact"/>
              <w:jc w:val="left"/>
            </w:pPr>
            <w:r>
              <w:t xml:space="preserve">TRU → ENG (+)</w:t>
            </w:r>
          </w:p>
        </w:tc>
        <w:tc>
          <w:tcPr/>
          <w:p>
            <w:pPr>
              <w:pStyle w:val="Compact"/>
              <w:jc w:val="left"/>
            </w:pPr>
            <w:r>
              <w:t xml:space="preserve">Brodie et al. (2011); Morgan &amp; Hunt (1994) — trust precedes and enables deep engagement within the relationship-marketing tradition. Completes the TRU → ENG → PI mediation chain. Reported as a structural coefficient only, never as a hypothesis-test row.</w:t>
            </w:r>
          </w:p>
        </w:tc>
      </w:tr>
      <w:tr>
        <w:tc>
          <w:tcPr/>
          <w:p>
            <w:pPr>
              <w:pStyle w:val="Compact"/>
              <w:jc w:val="left"/>
            </w:pPr>
            <w:r>
              <w:rPr>
                <w:bCs/>
                <w:b/>
              </w:rPr>
              <w:t xml:space="preserve">E2</w:t>
            </w:r>
          </w:p>
        </w:tc>
        <w:tc>
          <w:tcPr/>
          <w:p>
            <w:pPr>
              <w:pStyle w:val="Compact"/>
              <w:jc w:val="left"/>
            </w:pPr>
            <w:r>
              <w:t xml:space="preserve">ENG → PI (+)</w:t>
            </w:r>
          </w:p>
        </w:tc>
        <w:tc>
          <w:tcPr/>
          <w:p>
            <w:pPr>
              <w:pStyle w:val="Compact"/>
              <w:jc w:val="left"/>
            </w:pPr>
            <w:r>
              <w:t xml:space="preserve">Van Doorn et al. (2010); Brodie et al. (2011) — engagement behaviours, transactional and non-transactional alike, are direct antecedents of subsequent purchase outcomes. Closes the SOR chain. Reported as a structural coefficient only.</w:t>
            </w:r>
          </w:p>
        </w:tc>
      </w:tr>
    </w:tbl>
    <w:p>
      <w:pPr>
        <w:pStyle w:val="BodyText"/>
      </w:pPr>
      <w:r>
        <w:t xml:space="preserve">Table 4. Established-path register (E1, E2). Earlier drafts numbered these</w:t>
      </w:r>
      <w:r>
        <w:t xml:space="preserve"> </w:t>
      </w:r>
      <w:r>
        <w:t xml:space="preserve">“</w:t>
      </w:r>
      <w:r>
        <w:t xml:space="preserve">H7a</w:t>
      </w:r>
      <w:r>
        <w:t xml:space="preserve">”</w:t>
      </w:r>
      <w:r>
        <w:t xml:space="preserve"> </w:t>
      </w:r>
      <w:r>
        <w:t xml:space="preserve">and</w:t>
      </w:r>
      <w:r>
        <w:t xml:space="preserve"> </w:t>
      </w:r>
      <w:r>
        <w:t xml:space="preserve">“</w:t>
      </w:r>
      <w:r>
        <w:t xml:space="preserve">H7(b)</w:t>
      </w:r>
      <w:r>
        <w:t xml:space="preserve">”</w:t>
      </w:r>
      <w:r>
        <w:t xml:space="preserve">; that numbering is withdrawn project-wide — note that</w:t>
      </w:r>
      <w:r>
        <w:t xml:space="preserve"> </w:t>
      </w:r>
      <w:r>
        <w:rPr>
          <w:bCs/>
          <w:b/>
        </w:rPr>
        <w:t xml:space="preserve">H7a and H7b now denote the two moderation hypotheses of Table 3</w:t>
      </w:r>
      <w:r>
        <w:t xml:space="preserve"> </w:t>
      </w:r>
      <w:r>
        <w:t xml:space="preserve">and must never be confused with these established paths.</w:t>
      </w:r>
    </w:p>
    <w:p>
      <w:pPr>
        <w:pStyle w:val="BodyText"/>
      </w:pPr>
      <w:r>
        <w:t xml:space="preserve">Two further categories must not be confused with either hypotheses or established paths.</w:t>
      </w:r>
    </w:p>
    <w:p>
      <w:pPr>
        <w:numPr>
          <w:ilvl w:val="0"/>
          <w:numId w:val="1006"/>
        </w:numPr>
      </w:pPr>
      <w:r>
        <w:rPr>
          <w:bCs/>
          <w:b/>
        </w:rPr>
        <w:t xml:space="preserve">Specification terms.</w:t>
      </w:r>
      <w:r>
        <w:t xml:space="preserve"> </w:t>
      </w:r>
      <w:r>
        <w:t xml:space="preserve">The PDPL main effect, the DISC main effect on TRU, and the DISC → INT path in the SEM are estimated because an interaction is uninterpretable without its lower-order components (Aiken &amp; West, 1991). They carry no hypothesis, are reported in the structural-model table only, and are declared in a figure note rather than drawn as arrows.</w:t>
      </w:r>
      <w:r>
        <w:t xml:space="preserve"> </w:t>
      </w:r>
      <w:r>
        <w:rPr>
          <w:iCs/>
          <w:i/>
        </w:rPr>
        <w:t xml:space="preserve">Note the change under A-8:</w:t>
      </w:r>
      <w:r>
        <w:t xml:space="preserve"> </w:t>
      </w:r>
      <w:r>
        <w:t xml:space="preserve">the products INT × PDPL and INT × DISC are</w:t>
      </w:r>
      <w:r>
        <w:t xml:space="preserve"> </w:t>
      </w:r>
      <w:r>
        <w:rPr>
          <w:bCs/>
          <w:b/>
        </w:rPr>
        <w:t xml:space="preserve">no longer specification terms</w:t>
      </w:r>
      <w:r>
        <w:t xml:space="preserve"> </w:t>
      </w:r>
      <w:r>
        <w:t xml:space="preserve">— they are now the hypothesis-bearing coefficients β_M1 and β_M2. The product PDPL × DISC is not estimated at all.</w:t>
      </w:r>
    </w:p>
    <w:p>
      <w:pPr>
        <w:numPr>
          <w:ilvl w:val="0"/>
          <w:numId w:val="1006"/>
        </w:numPr>
      </w:pPr>
      <w:r>
        <w:rPr>
          <w:bCs/>
          <w:b/>
        </w:rPr>
        <w:t xml:space="preserve">Competing-model robustness check.</w:t>
      </w:r>
      <w:r>
        <w:t xml:space="preserve"> </w:t>
      </w:r>
      <w:r>
        <w:t xml:space="preserve">TRU → PI is estimated in a separate competing-model run and reported in the Discussion. It is not in the main model, carries neither an H-number nor an E-label, and no contribution claim attaches to it (A-2).</w:t>
      </w:r>
    </w:p>
    <w:p>
      <w:pPr>
        <w:pStyle w:val="FirstParagraph"/>
      </w:pPr>
      <w:r>
        <w:rPr>
          <w:bCs/>
          <w:b/>
        </w:rPr>
        <w:t xml:space="preserve">Reporting-integrity rule.</w:t>
      </w:r>
      <w:r>
        <w:t xml:space="preserve"> </w:t>
      </w:r>
      <w:r>
        <w:t xml:space="preserve">All hypothesis results are reported — including non-significant H7a or H7b interactions. Null findings are interpreted (e.g., via the de jure/de facto salience paradox of Gap 4, which predicts precisely that de jure awareness may fail to bite) rather than dropped, and no hypothesis is removed from the register after the data are seen.</w:t>
      </w:r>
    </w:p>
    <w:bookmarkEnd w:id="50"/>
    <w:bookmarkEnd w:id="51"/>
    <w:bookmarkStart w:id="52" w:name="c.2-estimating-h7a-and-h7b"/>
    <w:p>
      <w:pPr>
        <w:pStyle w:val="Heading2"/>
      </w:pPr>
      <w:r>
        <w:t xml:space="preserve">C.2 Estimating H7a and H7b</w:t>
      </w:r>
    </w:p>
    <w:p>
      <w:pPr>
        <w:pStyle w:val="FirstParagraph"/>
      </w:pPr>
      <w:r>
        <w:rPr>
          <w:iCs/>
          <w:i/>
        </w:rPr>
        <w:t xml:space="preserve">This section replaces the v2.1/v2.2 moderated-moderation estimation strategy in full (Amendment A-8). The PLS-MGA-primary / three-way-confirmatory design specified there is withdrawn.</w:t>
      </w:r>
    </w:p>
    <w:p>
      <w:pPr>
        <w:pStyle w:val="BodyText"/>
      </w:pPr>
      <w:r>
        <w:t xml:space="preserve">H7a and H7b are two independent second-order interactions on the same outcome. They are estimated in a single pooled model:</w:t>
      </w:r>
    </w:p>
    <w:p>
      <w:pPr>
        <w:numPr>
          <w:ilvl w:val="0"/>
          <w:numId w:val="1007"/>
        </w:numPr>
      </w:pPr>
      <w:r>
        <w:rPr>
          <w:bCs/>
          <w:b/>
        </w:rPr>
        <w:t xml:space="preserve">Specification.</w:t>
      </w:r>
      <w:r>
        <w:t xml:space="preserve"> </w:t>
      </w:r>
      <w:r>
        <w:t xml:space="preserve">TRU is regressed on INT, PDPL, DISC, INT × PDPL and INT × DISC. Interaction terms are generated by the</w:t>
      </w:r>
      <w:r>
        <w:t xml:space="preserve"> </w:t>
      </w:r>
      <w:r>
        <w:rPr>
          <w:bCs/>
          <w:b/>
        </w:rPr>
        <w:t xml:space="preserve">two-stage approach</w:t>
      </w:r>
      <w:r>
        <w:t xml:space="preserve"> </w:t>
      </w:r>
      <w:r>
        <w:t xml:space="preserve">(Becker et al., 2018), which is preferred to product-indicator methods and does not require the moderator to be reflectively measured — relevant because DISC is an observed dummy.</w:t>
      </w:r>
    </w:p>
    <w:p>
      <w:pPr>
        <w:numPr>
          <w:ilvl w:val="0"/>
          <w:numId w:val="1007"/>
        </w:numPr>
      </w:pPr>
      <w:r>
        <w:rPr>
          <w:bCs/>
          <w:b/>
        </w:rPr>
        <w:t xml:space="preserve">Reporting.</w:t>
      </w:r>
      <w:r>
        <w:t xml:space="preserve"> </w:t>
      </w:r>
      <w:r>
        <w:t xml:space="preserve">Report β_M1 (H7a) and β_M2 (H7b) separately, each with 10,000-resample bias-corrected accelerated bootstrap confidence intervals and an individual f². Do not report a joint test of the two; they are separate hypotheses with separate verdicts.</w:t>
      </w:r>
    </w:p>
    <w:p>
      <w:pPr>
        <w:numPr>
          <w:ilvl w:val="0"/>
          <w:numId w:val="1007"/>
        </w:numPr>
      </w:pPr>
      <w:r>
        <w:rPr>
          <w:bCs/>
          <w:b/>
        </w:rPr>
        <w:t xml:space="preserve">Interpretation — simple slopes.</w:t>
      </w:r>
      <w:r>
        <w:t xml:space="preserve"> </w:t>
      </w:r>
      <w:r>
        <w:t xml:space="preserve">Two two-line plots: the INT → TRU slope at PDPL ± 1 SD (H7a) and at DISC = 0 / 1 (H7b). H7a is supported when the slope is significantly less negative at high PDPL; H7b when it is significantly less negative under With Disclosure. The four-line, four-cell plot required by the withdrawn specification is not produced.</w:t>
      </w:r>
    </w:p>
    <w:p>
      <w:pPr>
        <w:numPr>
          <w:ilvl w:val="0"/>
          <w:numId w:val="1007"/>
        </w:numPr>
      </w:pPr>
      <w:r>
        <w:rPr>
          <w:bCs/>
          <w:b/>
        </w:rPr>
        <w:t xml:space="preserve">Relative-leverage comparison.</w:t>
      </w:r>
      <w:r>
        <w:t xml:space="preserve"> </w:t>
      </w:r>
      <w:r>
        <w:t xml:space="preserve">Because both terms are estimated with the other held constant, their standardized magnitudes are comparable. Report the comparison descriptively in the Discussion; do not present it as a formal hypothesis test unless a coefficient-difference test is pre-registered.</w:t>
      </w:r>
    </w:p>
    <w:p>
      <w:pPr>
        <w:numPr>
          <w:ilvl w:val="0"/>
          <w:numId w:val="1007"/>
        </w:numPr>
      </w:pPr>
      <w:r>
        <w:rPr>
          <w:bCs/>
          <w:b/>
        </w:rPr>
        <w:t xml:space="preserve">PLS-MGA and MICOM are no longer required for H7.</w:t>
      </w:r>
      <w:r>
        <w:t xml:space="preserve"> </w:t>
      </w:r>
      <w:r>
        <w:t xml:space="preserve">DISC is a pooled predictor and moderator inside one model, not a grouping variable for a between-group interaction contrast. If PLS-MGA is used elsewhere (e.g., a demographic robustness check), MICOM remains a prerequisite for that use.</w:t>
      </w:r>
    </w:p>
    <w:p>
      <w:pPr>
        <w:pStyle w:val="FirstParagraph"/>
      </w:pPr>
      <w:r>
        <w:rPr>
          <w:iCs/>
          <w:i/>
        </w:rPr>
        <w:t xml:space="preserve">Power.</w:t>
      </w:r>
      <w:r>
        <w:t xml:space="preserve"> </w:t>
      </w:r>
      <w:r>
        <w:t xml:space="preserve">With two independent second-order terms rather than one third-order term, the highest-order-term power problem that motivated OD-2 no longer applies: detecting f² ≈ 0.02 per interaction is realistic at the pre-registered n ≥ 400. The a priori calculation is documented in the analysis pipeline (</w:t>
      </w:r>
      <w:r>
        <w:rPr>
          <w:rStyle w:val="VerbatimChar"/>
        </w:rPr>
        <w:t xml:space="preserve">06_power_analysis.py</w:t>
      </w:r>
      <w:r>
        <w:t xml:space="preserve">) and must be reconciled against an R-side</w:t>
      </w:r>
      <w:r>
        <w:t xml:space="preserve"> </w:t>
      </w:r>
      <w:r>
        <w:rPr>
          <w:rStyle w:val="VerbatimChar"/>
        </w:rPr>
        <w:t xml:space="preserve">pwr</w:t>
      </w:r>
      <w:r>
        <w:t xml:space="preserve"> </w:t>
      </w:r>
      <w:r>
        <w:t xml:space="preserve">/ WebPower check before the collection quota is frozen.</w:t>
      </w:r>
      <w:r>
        <w:t xml:space="preserve"> </w:t>
      </w:r>
      <w:r>
        <w:rPr>
          <w:bCs/>
          <w:b/>
        </w:rPr>
        <w:t xml:space="preserve">Partial-support language remains pre-committed:</w:t>
      </w:r>
      <w:r>
        <w:t xml:space="preserve"> </w:t>
      </w:r>
      <w:r>
        <w:t xml:space="preserve">if one carrier’s interaction is significant and the other is not, that is reported as support for one hypothesis and non-support for the other — never as generic</w:t>
      </w:r>
      <w:r>
        <w:t xml:space="preserve"> </w:t>
      </w:r>
      <w:r>
        <w:t xml:space="preserve">“</w:t>
      </w:r>
      <w:r>
        <w:t xml:space="preserve">support for H7</w:t>
      </w:r>
      <w:r>
        <w:t xml:space="preserve">”</w:t>
      </w:r>
      <w:r>
        <w:t xml:space="preserve">.</w:t>
      </w:r>
    </w:p>
    <w:bookmarkEnd w:id="52"/>
    <w:bookmarkStart w:id="53" w:name="X95cbb25ef79f5e4577745c04eaf3e37d741b276"/>
    <w:p>
      <w:pPr>
        <w:pStyle w:val="Heading2"/>
      </w:pPr>
      <w:r>
        <w:t xml:space="preserve">C.3 Design Consequences for Study 1 and Study 2</w:t>
      </w:r>
    </w:p>
    <w:p>
      <w:pPr>
        <w:pStyle w:val="FirstParagraph"/>
      </w:pPr>
      <w:r>
        <w:rPr>
          <w:iCs/>
          <w:i/>
        </w:rPr>
        <w:t xml:space="preserve">Incorporates Amendment A-7 in full.</w:t>
      </w:r>
    </w:p>
    <w:p>
      <w:pPr>
        <w:numPr>
          <w:ilvl w:val="0"/>
          <w:numId w:val="1008"/>
        </w:numPr>
      </w:pPr>
      <w:r>
        <w:rPr>
          <w:bCs/>
          <w:b/>
        </w:rPr>
        <w:t xml:space="preserve">One instrument, two analyses within Study 1.</w:t>
      </w:r>
      <w:r>
        <w:t xml:space="preserve"> </w:t>
      </w:r>
      <w:r>
        <w:t xml:space="preserve">Governance rule 4 requires a single integrated Qualtrics survey-experiment: Introduction → random assignment to one of four 2 × 2 cells → vignette → full item battery (with embedded attention checks) → manipulation checks → demographics. DISC (0/1) and AIP condition (Low/High) are recorded as variables for every respondent. This one dataset constitutes Study 1 and is analysed twice — by PLS-SEM and by two-way ANOVA. These are two analyses of one collection, not two collections. Any design in which respondents lack a DISC value makes H7b inestimable.</w:t>
      </w:r>
    </w:p>
    <w:p>
      <w:pPr>
        <w:numPr>
          <w:ilvl w:val="0"/>
          <w:numId w:val="1008"/>
        </w:numPr>
      </w:pPr>
      <w:r>
        <w:rPr>
          <w:bCs/>
          <w:b/>
        </w:rPr>
        <w:t xml:space="preserve">Study 1 — PLS-SEM analysis (n ≥ 350; target n ≥ 400).</w:t>
      </w:r>
      <w:r>
        <w:t xml:space="preserve"> </w:t>
      </w:r>
      <w:r>
        <w:t xml:space="preserve">Latent constructs: AIP, REL, INT, TRU, ENG, PI, PDPL. Observed dummy: DISC. Structural paths H1, H2, H4, H5, H6a, H6b, H6c; established paths E1 and E2; the specification terms listed in §C.1.1 (including DISC → INT); and the H7a/H7b interaction terms per §C.2. DISC enters as an observed dummy and appears in no measurement-model table. Confirmatory composite analysis, not classical CFA: loadings ≥ 0.60 at pilot and ≥ 0.70 at main collection, AVE &gt; 0.50, Cronbach’s α and ρ_A &gt; 0.70, HTMT &lt; 0.85 with particular attention to the AIP–REL pair.</w:t>
      </w:r>
    </w:p>
    <w:p>
      <w:pPr>
        <w:numPr>
          <w:ilvl w:val="0"/>
          <w:numId w:val="1008"/>
        </w:numPr>
      </w:pPr>
      <w:r>
        <w:rPr>
          <w:bCs/>
          <w:b/>
        </w:rPr>
        <w:t xml:space="preserve">Study 1 — two-way ANOVA analysis.</w:t>
      </w:r>
      <w:r>
        <w:t xml:space="preserve"> </w:t>
      </w:r>
      <w:r>
        <w:t xml:space="preserve">Factors: AI Personalization (Low/High) × Disclosure (No/With). Primary test: the Disclosure main effect on INT — the sole confirmatory test of H3. The AIP main effect on INT and REL is reported as an experimental replication of H1 and H2. The AIP × DISC interaction is reported as an exploratory contrast and must not be renumbered as an H-level hypothesis without a formal team decision. Manipulation checks must reach Cohen’s d ≥ 0.50, failing which the vignettes are rewritten before main collection (task B2.10).</w:t>
      </w:r>
    </w:p>
    <w:p>
      <w:pPr>
        <w:numPr>
          <w:ilvl w:val="0"/>
          <w:numId w:val="1008"/>
        </w:numPr>
      </w:pPr>
      <w:r>
        <w:rPr>
          <w:bCs/>
          <w:b/>
        </w:rPr>
        <w:t xml:space="preserve">Study 2 — the DSR artifact.</w:t>
      </w:r>
      <w:r>
        <w:t xml:space="preserve"> </w:t>
      </w:r>
      <w:r>
        <w:t xml:space="preserve">Study 2 is the Design Science Research component: the design, instantiation and evaluation of the privacy-aware AI agent (LangChain / Streamlit). It answers the design research question rather than testing a behavioural proposition, and</w:t>
      </w:r>
      <w:r>
        <w:t xml:space="preserve"> </w:t>
      </w:r>
      <w:r>
        <w:rPr>
          <w:bCs/>
          <w:b/>
        </w:rPr>
        <w:t xml:space="preserve">carries no H-numbered hypothesis</w:t>
      </w:r>
      <w:r>
        <w:t xml:space="preserve">. No result reported under Study 2 may be presented as confirming or disconfirming any hypothesis. Four layers per planning §3.1 — Data, Intelligence, Agent Core (orchestration), Output. The agent operationalises the disclosure and consent principles of PDP Law 2025 Arts. 9–10 and 28–30 by design, and implements SDG 12 through Green Score adaptive re-ranking. Evaluation under DSR guidelines (Hevner et al., 2004; Peffers et al., 2007): an A/B simulation over the synthetic catalogue — Group A with the SDG 12 filter (adaptive λ) against Group B standard recommendation (λ = 0) — on Precision@10, NDCG@10 and Green Exposure Rate, plus a small artifact user study with the Streamlit prototype.</w:t>
      </w:r>
      <w:r>
        <w:t xml:space="preserve"> </w:t>
      </w:r>
      <w:r>
        <w:rPr>
          <w:bCs/>
          <w:b/>
        </w:rPr>
        <w:t xml:space="preserve">Data separation:</w:t>
      </w:r>
      <w:r>
        <w:t xml:space="preserve"> </w:t>
      </w:r>
      <w:r>
        <w:t xml:space="preserve">Study 2 evaluation data are generated by simulation and by the artifact user study; they are distinct from the Study 1 dataset and must never be pooled with it, nor described as a second wave of the survey. Study 2 evaluation metrics must not migrate into Study 1 reporting.</w:t>
      </w:r>
    </w:p>
    <w:p>
      <w:pPr>
        <w:numPr>
          <w:ilvl w:val="0"/>
          <w:numId w:val="1008"/>
        </w:numPr>
      </w:pPr>
      <w:r>
        <w:rPr>
          <w:bCs/>
          <w:b/>
        </w:rPr>
        <w:t xml:space="preserve">Vignette set.</w:t>
      </w:r>
      <w:r>
        <w:t xml:space="preserve"> </w:t>
      </w:r>
      <w:r>
        <w:t xml:space="preserve">Four scenarios per the planning document: (1) Low AIP + No Disclosure; (2) Low AIP + With Disclosure; (3) High AIP + No Disclosure; (4) High AIP + With Disclosure — Group 4 retaining the planning designation as the SDG 16 transparency-governance condition.</w:t>
      </w:r>
      <w:r>
        <w:t xml:space="preserve"> </w:t>
      </w:r>
      <w:r>
        <w:rPr>
          <w:bCs/>
          <w:b/>
        </w:rPr>
        <w:t xml:space="preserve">Internal-validity fix:</w:t>
      </w:r>
      <w:r>
        <w:t xml:space="preserve"> </w:t>
      </w:r>
      <w:r>
        <w:t xml:space="preserve">disclosure depth was asymmetric between Groups 2 and 4; Group 2 has been revised so that both disclosure conditions carry identical opt-out and retention language and differ only in personalization intensity. Without this correction the Disclosure main effect (H3) and the disclosure moderator (H7b) would be confounded with disclosure depth.</w:t>
      </w:r>
    </w:p>
    <w:p>
      <w:pPr>
        <w:numPr>
          <w:ilvl w:val="0"/>
          <w:numId w:val="1008"/>
        </w:numPr>
      </w:pPr>
      <w:r>
        <w:rPr>
          <w:bCs/>
          <w:b/>
        </w:rPr>
        <w:t xml:space="preserve">Measurement.</w:t>
      </w:r>
      <w:r>
        <w:t xml:space="preserve"> </w:t>
      </w:r>
      <w:r>
        <w:rPr>
          <w:bCs/>
          <w:b/>
        </w:rPr>
        <w:t xml:space="preserve">33 reflective items fielded, 32 analysed</w:t>
      </w:r>
      <w:r>
        <w:t xml:space="preserve"> </w:t>
      </w:r>
      <w:r>
        <w:t xml:space="preserve">(REL4 fielded but excluded, A-9), across 7 constructs, plus 2 attention checks and 2 manipulation-check items, with platform-anchored stems and full back-translation (EN → VI → EN). The pilot is the mandatory gate: no main collection opens before it closes. PDPL items must reference PDP Law 2025 by its common Vietnamese name and must not reference Decree 13/2023/NĐ-CP.</w:t>
      </w:r>
    </w:p>
    <w:bookmarkEnd w:id="53"/>
    <w:bookmarkStart w:id="55" w:name="c.4-measurement-register"/>
    <w:p>
      <w:pPr>
        <w:pStyle w:val="Heading2"/>
      </w:pPr>
      <w:r>
        <w:t xml:space="preserve">C.4 Measurement Register</w:t>
      </w:r>
    </w:p>
    <w:p>
      <w:pPr>
        <w:pStyle w:val="FirstParagraph"/>
      </w:pPr>
      <w:r>
        <w:t xml:space="preserve">The scale origins below reproduce the approved planning document. Every entry is provisional until the primary source has been retrieved and verified in Scopus.</w:t>
      </w:r>
      <w:r>
        <w:t xml:space="preserve"> </w:t>
      </w:r>
      <w:r>
        <w:rPr>
          <w:bCs/>
          <w:b/>
        </w:rPr>
        <w:t xml:space="preserve">Project rule:</w:t>
      </w:r>
      <w:r>
        <w:t xml:space="preserve"> </w:t>
      </w:r>
      <w:r>
        <w:t xml:space="preserve">items are traced to the Scopus-indexed primary source, never adopted through a secondary adaptation; unverifiable sources are replaced, not cited with a hedge.</w:t>
      </w:r>
      <w:r>
        <w:t xml:space="preserve"> </w:t>
      </w:r>
      <w:r>
        <w:rPr>
          <w:bCs/>
          <w:b/>
        </w:rPr>
        <w:t xml:space="preserve">Item counts in this table are the fielded and analysed counts of the actual instrument (</w:t>
      </w:r>
      <w:r>
        <w:rPr>
          <w:rStyle w:val="VerbatimChar"/>
          <w:bCs/>
          <w:b/>
        </w:rPr>
        <w:t xml:space="preserve">PROJ_MAIN</w:t>
      </w:r>
      <w:r>
        <w:rPr>
          <w:bCs/>
          <w:b/>
        </w:rPr>
        <w:t xml:space="preserve">), reconciled by Amendment A-10.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Construct</w:t>
            </w:r>
          </w:p>
        </w:tc>
        <w:tc>
          <w:tcPr/>
          <w:p>
            <w:pPr>
              <w:pStyle w:val="Compact"/>
              <w:jc w:val="left"/>
            </w:pPr>
            <w:r>
              <w:rPr>
                <w:bCs/>
                <w:b/>
              </w:rPr>
              <w:t xml:space="preserve">Fielded</w:t>
            </w:r>
          </w:p>
        </w:tc>
        <w:tc>
          <w:tcPr/>
          <w:p>
            <w:pPr>
              <w:pStyle w:val="Compact"/>
              <w:jc w:val="left"/>
            </w:pPr>
            <w:r>
              <w:rPr>
                <w:bCs/>
                <w:b/>
              </w:rPr>
              <w:t xml:space="preserve">Analysed</w:t>
            </w:r>
          </w:p>
        </w:tc>
        <w:tc>
          <w:tcPr/>
          <w:p>
            <w:pPr>
              <w:pStyle w:val="Compact"/>
              <w:jc w:val="left"/>
            </w:pPr>
            <w:r>
              <w:rPr>
                <w:bCs/>
                <w:b/>
              </w:rPr>
              <w:t xml:space="preserve">Planning-designated source</w:t>
            </w:r>
          </w:p>
        </w:tc>
        <w:tc>
          <w:tcPr/>
          <w:p>
            <w:pPr>
              <w:pStyle w:val="Compact"/>
              <w:jc w:val="left"/>
            </w:pPr>
            <w:r>
              <w:rPr>
                <w:bCs/>
                <w:b/>
              </w:rPr>
              <w:t xml:space="preserve">Verification status and known risk</w:t>
            </w:r>
          </w:p>
        </w:tc>
      </w:tr>
      <w:tr>
        <w:tc>
          <w:tcPr/>
          <w:p>
            <w:pPr>
              <w:pStyle w:val="Compact"/>
              <w:jc w:val="left"/>
            </w:pPr>
            <w:r>
              <w:rPr>
                <w:bCs/>
                <w:b/>
              </w:rPr>
              <w:t xml:space="preserve">AIP</w:t>
            </w:r>
          </w:p>
        </w:tc>
        <w:tc>
          <w:tcPr/>
          <w:p>
            <w:pPr>
              <w:pStyle w:val="Compact"/>
              <w:jc w:val="left"/>
            </w:pPr>
            <w:r>
              <w:t xml:space="preserve">6 (AIP1–AIP6)</w:t>
            </w:r>
          </w:p>
        </w:tc>
        <w:tc>
          <w:tcPr/>
          <w:p>
            <w:pPr>
              <w:pStyle w:val="Compact"/>
              <w:jc w:val="left"/>
            </w:pPr>
            <w:r>
              <w:t xml:space="preserve">6</w:t>
            </w:r>
          </w:p>
        </w:tc>
        <w:tc>
          <w:tcPr/>
          <w:p>
            <w:pPr>
              <w:pStyle w:val="Compact"/>
              <w:jc w:val="left"/>
            </w:pPr>
            <w:r>
              <w:t xml:space="preserve">Awad &amp; Krishnan (2006); adapted to the Vietnamese omnichannel context.</w:t>
            </w:r>
          </w:p>
        </w:tc>
        <w:tc>
          <w:tcPr/>
          <w:p>
            <w:pPr>
              <w:pStyle w:val="Compact"/>
              <w:jc w:val="left"/>
            </w:pPr>
            <w:r>
              <w:t xml:space="preserve">Pending primary-source verification.</w:t>
            </w:r>
            <w:r>
              <w:t xml:space="preserve"> </w:t>
            </w:r>
            <w:r>
              <w:rPr>
                <w:bCs/>
                <w:b/>
              </w:rPr>
              <w:t xml:space="preserve">Discriminant-validity risk:</w:t>
            </w:r>
            <w:r>
              <w:t xml:space="preserve"> </w:t>
            </w:r>
            <w:r>
              <w:t xml:space="preserve">AIP items risk conceptual tautology with REL items; the HTMT check for the AIP–REL pair is the decisive test and must clear &lt; 0.85 before main collection. AIP2 was flagged at pilot and is treated as small-sample noise pending main-collection CFA — on the watch list, not actioned.</w:t>
            </w:r>
          </w:p>
        </w:tc>
      </w:tr>
      <w:tr>
        <w:tc>
          <w:tcPr/>
          <w:p>
            <w:pPr>
              <w:pStyle w:val="Compact"/>
              <w:jc w:val="left"/>
            </w:pPr>
            <w:r>
              <w:rPr>
                <w:bCs/>
                <w:b/>
              </w:rPr>
              <w:t xml:space="preserve">REL</w:t>
            </w:r>
          </w:p>
        </w:tc>
        <w:tc>
          <w:tcPr/>
          <w:p>
            <w:pPr>
              <w:pStyle w:val="Compact"/>
              <w:jc w:val="left"/>
            </w:pPr>
            <w:r>
              <w:t xml:space="preserve">4 (REL1–REL4)</w:t>
            </w:r>
          </w:p>
        </w:tc>
        <w:tc>
          <w:tcPr/>
          <w:p>
            <w:pPr>
              <w:pStyle w:val="Compact"/>
              <w:jc w:val="left"/>
            </w:pPr>
            <w:r>
              <w:rPr>
                <w:bCs/>
                <w:b/>
              </w:rPr>
              <w:t xml:space="preserve">3 (REL1–REL3)</w:t>
            </w:r>
          </w:p>
        </w:tc>
        <w:tc>
          <w:tcPr/>
          <w:p>
            <w:pPr>
              <w:pStyle w:val="Compact"/>
              <w:jc w:val="left"/>
            </w:pPr>
            <w:r>
              <w:t xml:space="preserve">Xu et al. (2011) — relevance to needs.</w:t>
            </w:r>
          </w:p>
        </w:tc>
        <w:tc>
          <w:tcPr/>
          <w:p>
            <w:pPr>
              <w:pStyle w:val="Compact"/>
              <w:jc w:val="left"/>
            </w:pPr>
            <w:r>
              <w:t xml:space="preserve">Pending primary-source verification.</w:t>
            </w:r>
            <w:r>
              <w:t xml:space="preserve"> </w:t>
            </w:r>
            <w:r>
              <w:rPr>
                <w:bCs/>
                <w:b/>
              </w:rPr>
              <w:t xml:space="preserve">REL4 excluded by Amendment A-9</w:t>
            </w:r>
            <w:r>
              <w:t xml:space="preserve"> </w:t>
            </w:r>
            <w:r>
              <w:t xml:space="preserve">on content-validity grounds (it measures decision usefulness / search-effort reduction, not fit) with pilot EFA corroboration. REL4 remains in the instrument and is retained in the dataset for a reported sensitivity analysis.</w:t>
            </w:r>
            <w:r>
              <w:t xml:space="preserve"> </w:t>
            </w:r>
            <w:r>
              <w:rPr>
                <w:bCs/>
                <w:b/>
              </w:rPr>
              <w:t xml:space="preserve">Residual risk:</w:t>
            </w:r>
            <w:r>
              <w:t xml:space="preserve"> </w:t>
            </w:r>
            <w:r>
              <w:t xml:space="preserve">REL is now at the three-item floor for a reflective construct — if any REL item fails at main collection the construct cannot be purified further and must be reported as-is.</w:t>
            </w:r>
          </w:p>
        </w:tc>
      </w:tr>
      <w:tr>
        <w:tc>
          <w:tcPr/>
          <w:p>
            <w:pPr>
              <w:pStyle w:val="Compact"/>
              <w:jc w:val="left"/>
            </w:pPr>
            <w:r>
              <w:rPr>
                <w:bCs/>
                <w:b/>
              </w:rPr>
              <w:t xml:space="preserve">INT</w:t>
            </w:r>
          </w:p>
        </w:tc>
        <w:tc>
          <w:tcPr/>
          <w:p>
            <w:pPr>
              <w:pStyle w:val="Compact"/>
              <w:jc w:val="left"/>
            </w:pPr>
            <w:r>
              <w:t xml:space="preserve">5 (INT1–INT5)</w:t>
            </w:r>
          </w:p>
        </w:tc>
        <w:tc>
          <w:tcPr/>
          <w:p>
            <w:pPr>
              <w:pStyle w:val="Compact"/>
              <w:jc w:val="left"/>
            </w:pPr>
            <w:r>
              <w:t xml:space="preserve">5</w:t>
            </w:r>
          </w:p>
        </w:tc>
        <w:tc>
          <w:tcPr/>
          <w:p>
            <w:pPr>
              <w:pStyle w:val="Compact"/>
              <w:jc w:val="left"/>
            </w:pPr>
            <w:r>
              <w:t xml:space="preserve">Li et al. (2017) — privacy-invasion scale.</w:t>
            </w:r>
          </w:p>
        </w:tc>
        <w:tc>
          <w:tcPr/>
          <w:p>
            <w:pPr>
              <w:pStyle w:val="Compact"/>
              <w:jc w:val="left"/>
            </w:pPr>
            <w:r>
              <w:t xml:space="preserve">Pending primary-source verification; the full reference must be resolved before the measurement appendix closes. If adapted from a 5-point original to the 7-point format, the Method section must acknowledge this explicitly.</w:t>
            </w:r>
          </w:p>
        </w:tc>
      </w:tr>
      <w:tr>
        <w:tc>
          <w:tcPr/>
          <w:p>
            <w:pPr>
              <w:pStyle w:val="Compact"/>
              <w:jc w:val="left"/>
            </w:pPr>
            <w:r>
              <w:rPr>
                <w:bCs/>
                <w:b/>
              </w:rPr>
              <w:t xml:space="preserve">TRU</w:t>
            </w:r>
          </w:p>
        </w:tc>
        <w:tc>
          <w:tcPr/>
          <w:p>
            <w:pPr>
              <w:pStyle w:val="Compact"/>
              <w:jc w:val="left"/>
            </w:pPr>
            <w:r>
              <w:t xml:space="preserve">5 (TRU1–TRU5)</w:t>
            </w:r>
          </w:p>
        </w:tc>
        <w:tc>
          <w:tcPr/>
          <w:p>
            <w:pPr>
              <w:pStyle w:val="Compact"/>
              <w:jc w:val="left"/>
            </w:pPr>
            <w:r>
              <w:t xml:space="preserve">5</w:t>
            </w:r>
          </w:p>
        </w:tc>
        <w:tc>
          <w:tcPr/>
          <w:p>
            <w:pPr>
              <w:pStyle w:val="Compact"/>
              <w:jc w:val="left"/>
            </w:pPr>
            <w:r>
              <w:t xml:space="preserve">McKnight et al. (2002) — cognitive + affective.</w:t>
            </w:r>
          </w:p>
        </w:tc>
        <w:tc>
          <w:tcPr/>
          <w:p>
            <w:pPr>
              <w:pStyle w:val="Compact"/>
              <w:jc w:val="left"/>
            </w:pPr>
            <w:r>
              <w:t xml:space="preserve">Pillar source; reference verified.</w:t>
            </w:r>
            <w:r>
              <w:t xml:space="preserve"> </w:t>
            </w:r>
            <w:r>
              <w:rPr>
                <w:bCs/>
                <w:b/>
              </w:rPr>
              <w:t xml:space="preserve">Count corrected from 6 to 5 by Amendment A-10.</w:t>
            </w:r>
            <w:r>
              <w:t xml:space="preserve"> </w:t>
            </w:r>
            <w:r>
              <w:t xml:space="preserve">TRU1–TRU3 = trusting beliefs; TRU4–TRU5 = trusting intentions / affective.</w:t>
            </w:r>
            <w:r>
              <w:t xml:space="preserve"> </w:t>
            </w:r>
            <w:r>
              <w:rPr>
                <w:bCs/>
                <w:b/>
              </w:rPr>
              <w:t xml:space="preserve">Known risk:</w:t>
            </w:r>
            <w:r>
              <w:t xml:space="preserve"> </w:t>
            </w:r>
            <w:r>
              <w:t xml:space="preserve">items must be anchored to a single trustee (the AI agent / platform) rather than mixing recommendation competence with data protection, or both H4 and H6a attenuate.</w:t>
            </w:r>
          </w:p>
        </w:tc>
      </w:tr>
      <w:tr>
        <w:tc>
          <w:tcPr/>
          <w:p>
            <w:pPr>
              <w:pStyle w:val="Compact"/>
              <w:jc w:val="left"/>
            </w:pPr>
            <w:r>
              <w:rPr>
                <w:bCs/>
                <w:b/>
              </w:rPr>
              <w:t xml:space="preserve">ENG</w:t>
            </w:r>
          </w:p>
        </w:tc>
        <w:tc>
          <w:tcPr/>
          <w:p>
            <w:pPr>
              <w:pStyle w:val="Compact"/>
              <w:jc w:val="left"/>
            </w:pPr>
            <w:r>
              <w:t xml:space="preserve">6 (ENG1–ENG6)</w:t>
            </w:r>
          </w:p>
        </w:tc>
        <w:tc>
          <w:tcPr/>
          <w:p>
            <w:pPr>
              <w:pStyle w:val="Compact"/>
              <w:jc w:val="left"/>
            </w:pPr>
            <w:r>
              <w:t xml:space="preserve">6</w:t>
            </w:r>
          </w:p>
        </w:tc>
        <w:tc>
          <w:tcPr/>
          <w:p>
            <w:pPr>
              <w:pStyle w:val="Compact"/>
              <w:jc w:val="left"/>
            </w:pPr>
            <w:r>
              <w:t xml:space="preserve">Brodie et al. (2011) — cognitive, emotional, behavioural dimensions.</w:t>
            </w:r>
          </w:p>
        </w:tc>
        <w:tc>
          <w:tcPr/>
          <w:p>
            <w:pPr>
              <w:pStyle w:val="Compact"/>
              <w:jc w:val="left"/>
            </w:pPr>
            <w:r>
              <w:t xml:space="preserve">Pending primary-source verification.</w:t>
            </w:r>
            <w:r>
              <w:t xml:space="preserve"> </w:t>
            </w:r>
            <w:r>
              <w:rPr>
                <w:bCs/>
                <w:b/>
              </w:rPr>
              <w:t xml:space="preserve">Count corrected from 5 to 6 by Amendment A-10.</w:t>
            </w:r>
            <w:r>
              <w:t xml:space="preserve"> </w:t>
            </w:r>
            <w:r>
              <w:t xml:space="preserve">The dimension-label mapping against FP4 must be re-checked now that the count is settled.</w:t>
            </w:r>
          </w:p>
        </w:tc>
      </w:tr>
      <w:tr>
        <w:tc>
          <w:tcPr/>
          <w:p>
            <w:pPr>
              <w:pStyle w:val="Compact"/>
              <w:jc w:val="left"/>
            </w:pPr>
            <w:r>
              <w:rPr>
                <w:bCs/>
                <w:b/>
              </w:rPr>
              <w:t xml:space="preserve">PI</w:t>
            </w:r>
          </w:p>
        </w:tc>
        <w:tc>
          <w:tcPr/>
          <w:p>
            <w:pPr>
              <w:pStyle w:val="Compact"/>
              <w:jc w:val="left"/>
            </w:pPr>
            <w:r>
              <w:t xml:space="preserve">3 (PI1–PI3)</w:t>
            </w:r>
          </w:p>
        </w:tc>
        <w:tc>
          <w:tcPr/>
          <w:p>
            <w:pPr>
              <w:pStyle w:val="Compact"/>
              <w:jc w:val="left"/>
            </w:pPr>
            <w:r>
              <w:t xml:space="preserve">3</w:t>
            </w:r>
          </w:p>
        </w:tc>
        <w:tc>
          <w:tcPr/>
          <w:p>
            <w:pPr>
              <w:pStyle w:val="Compact"/>
              <w:jc w:val="left"/>
            </w:pPr>
            <w:r>
              <w:t xml:space="preserve">Pavlou (2003) — willingness to transact.</w:t>
            </w:r>
          </w:p>
        </w:tc>
        <w:tc>
          <w:tcPr/>
          <w:p>
            <w:pPr>
              <w:pStyle w:val="Compact"/>
              <w:jc w:val="left"/>
            </w:pPr>
            <w:r>
              <w:t xml:space="preserve">Pending primary-source verification. PI carries the hypothesised antecedent H6c (A-1), so it is a substantive outcome, not merely a distal criterion.</w:t>
            </w:r>
          </w:p>
        </w:tc>
      </w:tr>
      <w:tr>
        <w:tc>
          <w:tcPr/>
          <w:p>
            <w:pPr>
              <w:pStyle w:val="Compact"/>
              <w:jc w:val="left"/>
            </w:pPr>
            <w:r>
              <w:rPr>
                <w:bCs/>
                <w:b/>
              </w:rPr>
              <w:t xml:space="preserve">PDPL</w:t>
            </w:r>
          </w:p>
        </w:tc>
        <w:tc>
          <w:tcPr/>
          <w:p>
            <w:pPr>
              <w:pStyle w:val="Compact"/>
              <w:jc w:val="left"/>
            </w:pPr>
            <w:r>
              <w:t xml:space="preserve">4 (PDPL1–PDPL4)</w:t>
            </w:r>
          </w:p>
        </w:tc>
        <w:tc>
          <w:tcPr/>
          <w:p>
            <w:pPr>
              <w:pStyle w:val="Compact"/>
              <w:jc w:val="left"/>
            </w:pPr>
            <w:r>
              <w:t xml:space="preserve">4</w:t>
            </w:r>
          </w:p>
        </w:tc>
        <w:tc>
          <w:tcPr/>
          <w:p>
            <w:pPr>
              <w:pStyle w:val="Compact"/>
              <w:jc w:val="left"/>
            </w:pPr>
            <w:r>
              <w:t xml:space="preserve">Newly developed on the content of Law 91/2025/QH15 (Arts. 8–10, 28).</w:t>
            </w:r>
          </w:p>
        </w:tc>
        <w:tc>
          <w:tcPr/>
          <w:p>
            <w:pPr>
              <w:pStyle w:val="Compact"/>
              <w:jc w:val="left"/>
            </w:pPr>
            <w:r>
              <w:t xml:space="preserve">New construct: content validity must be established by expert review.</w:t>
            </w:r>
            <w:r>
              <w:t xml:space="preserve"> </w:t>
            </w:r>
            <w:r>
              <w:rPr>
                <w:bCs/>
                <w:b/>
              </w:rPr>
              <w:t xml:space="preserve">Known defect:</w:t>
            </w:r>
            <w:r>
              <w:t xml:space="preserve"> </w:t>
            </w:r>
            <w:r>
              <w:t xml:space="preserve">the fielded PDPL1–4 stems do not name Law 91/2025/QH15, which weakens ecological validity of an awareness measure — logged as OD-11. Must not reference Decree 13/2023/NĐ-CP. Article numbers pending OCR verification (OD-4).</w:t>
            </w:r>
          </w:p>
        </w:tc>
      </w:tr>
      <w:tr>
        <w:tc>
          <w:tcPr/>
          <w:p>
            <w:pPr>
              <w:pStyle w:val="Compact"/>
              <w:jc w:val="left"/>
            </w:pPr>
            <w:r>
              <w:rPr>
                <w:bCs/>
                <w:b/>
              </w:rPr>
              <w:t xml:space="preserve">DISC</w:t>
            </w:r>
          </w:p>
        </w:tc>
        <w:tc>
          <w:tcPr/>
          <w:p>
            <w:pPr>
              <w:pStyle w:val="Compact"/>
              <w:jc w:val="left"/>
            </w:pPr>
            <w:r>
              <w:t xml:space="preserve">—</w:t>
            </w:r>
          </w:p>
        </w:tc>
        <w:tc>
          <w:tcPr/>
          <w:p>
            <w:pPr>
              <w:pStyle w:val="Compact"/>
              <w:jc w:val="left"/>
            </w:pPr>
            <w:r>
              <w:t xml:space="preserve">—</w:t>
            </w:r>
          </w:p>
        </w:tc>
        <w:tc>
          <w:tcPr/>
          <w:p>
            <w:pPr>
              <w:pStyle w:val="Compact"/>
              <w:jc w:val="left"/>
            </w:pPr>
            <w:r>
              <w:t xml:space="preserve">Manipulation only: 2 × 2 design, AIP Low/High × Disclosure No/With.</w:t>
            </w:r>
          </w:p>
        </w:tc>
        <w:tc>
          <w:tcPr/>
          <w:p>
            <w:pPr>
              <w:pStyle w:val="Compact"/>
              <w:jc w:val="left"/>
            </w:pPr>
            <w:r>
              <w:rPr>
                <w:bCs/>
                <w:b/>
              </w:rPr>
              <w:t xml:space="preserve">Never a Likert construct</w:t>
            </w:r>
            <w:r>
              <w:t xml:space="preserve"> </w:t>
            </w:r>
            <w:r>
              <w:t xml:space="preserve">(governance rule 4). Dummy-coded 0/1 in the SEM; moderator in H7b. Including DISC in a measurement-model or reliability table is a structural error.</w:t>
            </w:r>
          </w:p>
        </w:tc>
      </w:tr>
    </w:tbl>
    <w:p>
      <w:pPr>
        <w:pStyle w:val="BodyText"/>
      </w:pPr>
      <w:r>
        <w:t xml:space="preserve">Table 5. Measurement register — 33 reflective items fielded, 32 analysed, across 7 constructs, plus the DISC manipulation.</w:t>
      </w:r>
    </w:p>
    <w:bookmarkStart w:id="54" w:name="X698f55e99566bf9ce2932cf98d42b1c3e19561d"/>
    <w:p>
      <w:pPr>
        <w:pStyle w:val="Heading3"/>
      </w:pPr>
      <w:r>
        <w:t xml:space="preserve">C.4.1 Item-count constants (consequence of A-9 and A-10)</w:t>
      </w:r>
    </w:p>
    <w:p>
      <w:pPr>
        <w:pStyle w:val="FirstParagraph"/>
      </w:pPr>
      <w:r>
        <w:t xml:space="preserve">Several downstream rules are keyed to an item count. Because the fielded and analysed counts now differ, each must state which it uses: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Rule / artefact</w:t>
            </w:r>
          </w:p>
        </w:tc>
        <w:tc>
          <w:tcPr/>
          <w:p>
            <w:pPr>
              <w:pStyle w:val="Compact"/>
              <w:jc w:val="left"/>
            </w:pPr>
            <w:r>
              <w:rPr>
                <w:bCs/>
                <w:b/>
              </w:rPr>
              <w:t xml:space="preserve">Count to use</w:t>
            </w:r>
          </w:p>
        </w:tc>
        <w:tc>
          <w:tcPr/>
          <w:p>
            <w:pPr>
              <w:pStyle w:val="Compact"/>
              <w:jc w:val="left"/>
            </w:pPr>
            <w:r>
              <w:rPr>
                <w:bCs/>
                <w:b/>
              </w:rPr>
              <w:t xml:space="preserve">Reason</w:t>
            </w:r>
          </w:p>
        </w:tc>
      </w:tr>
      <w:tr>
        <w:tc>
          <w:tcPr/>
          <w:p>
            <w:pPr>
              <w:pStyle w:val="Compact"/>
              <w:jc w:val="left"/>
            </w:pPr>
            <w:r>
              <w:t xml:space="preserve">Missing-data exclusion (≤ 10% of items missing)</w:t>
            </w:r>
          </w:p>
        </w:tc>
        <w:tc>
          <w:tcPr/>
          <w:p>
            <w:pPr>
              <w:pStyle w:val="Compact"/>
              <w:jc w:val="left"/>
            </w:pPr>
            <w:r>
              <w:rPr>
                <w:bCs/>
                <w:b/>
              </w:rPr>
              <w:t xml:space="preserve">33 (fielded)</w:t>
            </w:r>
          </w:p>
        </w:tc>
        <w:tc>
          <w:tcPr/>
          <w:p>
            <w:pPr>
              <w:pStyle w:val="Compact"/>
              <w:jc w:val="left"/>
            </w:pPr>
            <w:r>
              <w:t xml:space="preserve">Data-quality screen applied to what the respondent was actually asked. Screening on 32 would let a REL4-only non-response change a respondent’s inclusion status for no substantive reason.</w:t>
            </w:r>
          </w:p>
        </w:tc>
      </w:tr>
      <w:tr>
        <w:tc>
          <w:tcPr/>
          <w:p>
            <w:pPr>
              <w:pStyle w:val="Compact"/>
              <w:jc w:val="left"/>
            </w:pPr>
            <w:r>
              <w:t xml:space="preserve">Straightlining flag (SD across items)</w:t>
            </w:r>
          </w:p>
        </w:tc>
        <w:tc>
          <w:tcPr/>
          <w:p>
            <w:pPr>
              <w:pStyle w:val="Compact"/>
              <w:jc w:val="left"/>
            </w:pPr>
            <w:r>
              <w:rPr>
                <w:bCs/>
                <w:b/>
              </w:rPr>
              <w:t xml:space="preserve">33 (fielded)</w:t>
            </w:r>
          </w:p>
        </w:tc>
        <w:tc>
          <w:tcPr/>
          <w:p>
            <w:pPr>
              <w:pStyle w:val="Compact"/>
              <w:jc w:val="left"/>
            </w:pPr>
            <w:r>
              <w:t xml:space="preserve">Same rationale: the flag detects response style across the whole battery.</w:t>
            </w:r>
          </w:p>
        </w:tc>
      </w:tr>
      <w:tr>
        <w:tc>
          <w:tcPr/>
          <w:p>
            <w:pPr>
              <w:pStyle w:val="Compact"/>
              <w:jc w:val="left"/>
            </w:pPr>
            <w:r>
              <w:t xml:space="preserve">Measurement model, α / ρ_A / AVE / HTMT / loadings</w:t>
            </w:r>
          </w:p>
        </w:tc>
        <w:tc>
          <w:tcPr/>
          <w:p>
            <w:pPr>
              <w:pStyle w:val="Compact"/>
              <w:jc w:val="left"/>
            </w:pPr>
            <w:r>
              <w:rPr>
                <w:bCs/>
                <w:b/>
              </w:rPr>
              <w:t xml:space="preserve">32 (analysed)</w:t>
            </w:r>
          </w:p>
        </w:tc>
        <w:tc>
          <w:tcPr/>
          <w:p>
            <w:pPr>
              <w:pStyle w:val="Compact"/>
              <w:jc w:val="left"/>
            </w:pPr>
            <w:r>
              <w:t xml:space="preserve">REL4 is not an indicator of REL and must not enter any reliability or validity statistic.</w:t>
            </w:r>
          </w:p>
        </w:tc>
      </w:tr>
      <w:tr>
        <w:tc>
          <w:tcPr/>
          <w:p>
            <w:pPr>
              <w:pStyle w:val="Compact"/>
              <w:jc w:val="left"/>
            </w:pPr>
            <w:r>
              <w:t xml:space="preserve">Construct score for REL</w:t>
            </w:r>
          </w:p>
        </w:tc>
        <w:tc>
          <w:tcPr/>
          <w:p>
            <w:pPr>
              <w:pStyle w:val="Compact"/>
              <w:jc w:val="left"/>
            </w:pPr>
            <w:r>
              <w:rPr>
                <w:bCs/>
                <w:b/>
              </w:rPr>
              <w:t xml:space="preserve">REL1–REL3 mean</w:t>
            </w:r>
          </w:p>
        </w:tc>
        <w:tc>
          <w:tcPr/>
          <w:p>
            <w:pPr>
              <w:pStyle w:val="Compact"/>
              <w:jc w:val="left"/>
            </w:pPr>
            <w:r>
              <w:t xml:space="preserve">REL4 excluded.</w:t>
            </w:r>
          </w:p>
        </w:tc>
      </w:tr>
      <w:tr>
        <w:tc>
          <w:tcPr/>
          <w:p>
            <w:pPr>
              <w:pStyle w:val="Compact"/>
              <w:jc w:val="left"/>
            </w:pPr>
            <w:r>
              <w:t xml:space="preserve">Methods text</w:t>
            </w:r>
            <w:r>
              <w:t xml:space="preserve"> </w:t>
            </w:r>
            <w:r>
              <w:t xml:space="preserve">“</w:t>
            </w:r>
            <w:r>
              <w:t xml:space="preserve">n items</w:t>
            </w:r>
            <w:r>
              <w:t xml:space="preserve">”</w:t>
            </w:r>
          </w:p>
        </w:tc>
        <w:tc>
          <w:tcPr/>
          <w:p>
            <w:pPr>
              <w:pStyle w:val="Compact"/>
              <w:jc w:val="left"/>
            </w:pPr>
            <w:r>
              <w:rPr>
                <w:bCs/>
                <w:b/>
              </w:rPr>
              <w:t xml:space="preserve">State both</w:t>
            </w:r>
          </w:p>
        </w:tc>
        <w:tc>
          <w:tcPr/>
          <w:p>
            <w:pPr>
              <w:pStyle w:val="Compact"/>
              <w:jc w:val="left"/>
            </w:pPr>
            <w:r>
              <w:t xml:space="preserve">e.g. </w:t>
            </w:r>
            <w:r>
              <w:t xml:space="preserve">“</w:t>
            </w:r>
            <w:r>
              <w:t xml:space="preserve">33 items were administered; 32 entered the measurement model following the exclusion of REL4 (§C.4).</w:t>
            </w:r>
            <w:r>
              <w:t xml:space="preserve">”</w:t>
            </w:r>
          </w:p>
        </w:tc>
      </w:tr>
      <w:tr>
        <w:tc>
          <w:tcPr/>
          <w:p>
            <w:pPr>
              <w:pStyle w:val="Compact"/>
              <w:jc w:val="left"/>
            </w:pPr>
            <w:r>
              <w:t xml:space="preserve">REL4 sensitivity analysis</w:t>
            </w:r>
          </w:p>
        </w:tc>
        <w:tc>
          <w:tcPr/>
          <w:p>
            <w:pPr>
              <w:pStyle w:val="Compact"/>
              <w:jc w:val="left"/>
            </w:pPr>
            <w:r>
              <w:rPr>
                <w:bCs/>
                <w:b/>
              </w:rPr>
              <w:t xml:space="preserve">Both</w:t>
            </w:r>
          </w:p>
        </w:tc>
        <w:tc>
          <w:tcPr/>
          <w:p>
            <w:pPr>
              <w:pStyle w:val="Compact"/>
              <w:jc w:val="left"/>
            </w:pPr>
            <w:r>
              <w:t xml:space="preserve">Report the 4-item REL model alongside the 3-item model in an appendix or footnote. This is what converts a post-hoc-looking drop into a transparent, auditable decision.</w:t>
            </w:r>
          </w:p>
        </w:tc>
      </w:tr>
    </w:tbl>
    <w:p>
      <w:pPr>
        <w:pStyle w:val="BodyText"/>
      </w:pPr>
      <w:r>
        <w:t xml:space="preserve">Table 5a. Which item count governs which rule.</w:t>
      </w:r>
    </w:p>
    <w:bookmarkEnd w:id="54"/>
    <w:bookmarkEnd w:id="55"/>
    <w:bookmarkStart w:id="56" w:name="Xd2d0968b92b1a517383e8d7abea464aa68c7108"/>
    <w:p>
      <w:pPr>
        <w:pStyle w:val="Heading2"/>
      </w:pPr>
      <w:r>
        <w:t xml:space="preserve">C.5 Consistency Checklist (Pre-Submission Quality Gate)</w:t>
      </w:r>
    </w:p>
    <w:p>
      <w:pPr>
        <w:numPr>
          <w:ilvl w:val="0"/>
          <w:numId w:val="1009"/>
        </w:numPr>
      </w:pPr>
      <w:r>
        <w:t xml:space="preserve">Construct labels match Table 1 verbatim across the diagram, hypothesis table, questionnaire, SmartPLS model, and manuscript (</w:t>
      </w:r>
      <w:r>
        <w:t xml:space="preserve">“</w:t>
      </w:r>
      <w:r>
        <w:t xml:space="preserve">PDPL Awareness</w:t>
      </w:r>
      <w:r>
        <w:t xml:space="preserve">”</w:t>
      </w:r>
      <w:r>
        <w:t xml:space="preserve">;</w:t>
      </w:r>
      <w:r>
        <w:t xml:space="preserve"> </w:t>
      </w:r>
      <w:r>
        <w:t xml:space="preserve">“</w:t>
      </w:r>
      <w:r>
        <w:t xml:space="preserve">Disclosure Level</w:t>
      </w:r>
      <w:r>
        <w:t xml:space="preserve">”</w:t>
      </w:r>
      <w:r>
        <w:t xml:space="preserve">). No occurrence of</w:t>
      </w:r>
      <w:r>
        <w:t xml:space="preserve"> </w:t>
      </w:r>
      <w:r>
        <w:t xml:space="preserve">“</w:t>
      </w:r>
      <w:r>
        <w:t xml:space="preserve">PDPD</w:t>
      </w:r>
      <w:r>
        <w:t xml:space="preserve">”</w:t>
      </w:r>
      <w:r>
        <w:t xml:space="preserve">,</w:t>
      </w:r>
      <w:r>
        <w:t xml:space="preserve"> </w:t>
      </w:r>
      <w:r>
        <w:t xml:space="preserve">“</w:t>
      </w:r>
      <w:r>
        <w:t xml:space="preserve">PDP Law Awareness</w:t>
      </w:r>
      <w:r>
        <w:t xml:space="preserve">”</w:t>
      </w:r>
      <w:r>
        <w:t xml:space="preserve">,</w:t>
      </w:r>
      <w:r>
        <w:t xml:space="preserve"> </w:t>
      </w:r>
      <w:r>
        <w:t xml:space="preserve">“</w:t>
      </w:r>
      <w:r>
        <w:t xml:space="preserve">Decree 13</w:t>
      </w:r>
      <w:r>
        <w:t xml:space="preserve">”</w:t>
      </w:r>
      <w:r>
        <w:t xml:space="preserve"> </w:t>
      </w:r>
      <w:r>
        <w:t xml:space="preserve">as the operative instrument, or</w:t>
      </w:r>
      <w:r>
        <w:t xml:space="preserve"> </w:t>
      </w:r>
      <w:r>
        <w:t xml:space="preserve">“</w:t>
      </w:r>
      <w:r>
        <w:t xml:space="preserve">Data Collection Depth</w:t>
      </w:r>
      <w:r>
        <w:t xml:space="preserve">”</w:t>
      </w:r>
      <w:r>
        <w:t xml:space="preserve"> </w:t>
      </w:r>
      <w:r>
        <w:t xml:space="preserve">survives anywhere.</w:t>
      </w:r>
    </w:p>
    <w:p>
      <w:pPr>
        <w:numPr>
          <w:ilvl w:val="0"/>
          <w:numId w:val="1009"/>
        </w:numPr>
      </w:pPr>
      <w:r>
        <w:t xml:space="preserve">Hypothesis numbering matches Table 3 exactly:</w:t>
      </w:r>
      <w:r>
        <w:t xml:space="preserve"> </w:t>
      </w:r>
      <w:r>
        <w:rPr>
          <w:bCs/>
          <w:b/>
        </w:rPr>
        <w:t xml:space="preserve">H3 = DISC → INT</w:t>
      </w:r>
      <w:r>
        <w:t xml:space="preserve"> </w:t>
      </w:r>
      <w:r>
        <w:t xml:space="preserve">and</w:t>
      </w:r>
      <w:r>
        <w:t xml:space="preserve"> </w:t>
      </w:r>
      <w:r>
        <w:rPr>
          <w:bCs/>
          <w:b/>
        </w:rPr>
        <w:t xml:space="preserve">H5 = REL → ENG</w:t>
      </w:r>
      <w:r>
        <w:t xml:space="preserve">. Any artefact still reading</w:t>
      </w:r>
      <w:r>
        <w:t xml:space="preserve"> </w:t>
      </w:r>
      <w:r>
        <w:t xml:space="preserve">“</w:t>
      </w:r>
      <w:r>
        <w:t xml:space="preserve">H3 = REL → ENG</w:t>
      </w:r>
      <w:r>
        <w:t xml:space="preserve">”</w:t>
      </w:r>
      <w:r>
        <w:t xml:space="preserve"> </w:t>
      </w:r>
      <w:r>
        <w:t xml:space="preserve">or</w:t>
      </w:r>
      <w:r>
        <w:t xml:space="preserve"> </w:t>
      </w:r>
      <w:r>
        <w:t xml:space="preserve">“</w:t>
      </w:r>
      <w:r>
        <w:t xml:space="preserve">H5 = TRU → PI</w:t>
      </w:r>
      <w:r>
        <w:t xml:space="preserve">”</w:t>
      </w:r>
      <w:r>
        <w:t xml:space="preserve"> </w:t>
      </w:r>
      <w:r>
        <w:t xml:space="preserve">is a v1.0 remnant and must be corrected.</w:t>
      </w:r>
    </w:p>
    <w:p>
      <w:pPr>
        <w:numPr>
          <w:ilvl w:val="0"/>
          <w:numId w:val="1009"/>
        </w:numPr>
      </w:pPr>
      <w:r>
        <w:t xml:space="preserve">H6 is reported as</w:t>
      </w:r>
      <w:r>
        <w:t xml:space="preserve"> </w:t>
      </w:r>
      <w:r>
        <w:rPr>
          <w:bCs/>
          <w:b/>
        </w:rPr>
        <w:t xml:space="preserve">H6a, H6b and H6c</w:t>
      </w:r>
      <w:r>
        <w:t xml:space="preserve">. The established-path register contains</w:t>
      </w:r>
      <w:r>
        <w:t xml:space="preserve"> </w:t>
      </w:r>
      <w:r>
        <w:rPr>
          <w:bCs/>
          <w:b/>
        </w:rPr>
        <w:t xml:space="preserve">E1 and E2 only</w:t>
      </w:r>
      <w:r>
        <w:t xml:space="preserve">; no E3 or E4 exists. TRU → PI appears nowhere in the main model — only as a competing-model robustness check in the Discussion.</w:t>
      </w:r>
    </w:p>
    <w:p>
      <w:pPr>
        <w:numPr>
          <w:ilvl w:val="0"/>
          <w:numId w:val="1009"/>
        </w:numPr>
      </w:pPr>
      <w:r>
        <w:rPr>
          <w:bCs/>
          <w:b/>
        </w:rPr>
        <w:t xml:space="preserve">H7 is specified everywhere as two hypotheses: H7a (PDPL × INT, β_M1) and H7b (DISC × INT, β_M2), both moderating the H6a path (INT → TRU) and neither moderating H6b or H6c.</w:t>
      </w:r>
      <w:r>
        <w:t xml:space="preserve"> </w:t>
      </w:r>
      <w:r>
        <w:t xml:space="preserve">No three-way product term is estimated, drawn, tabulated or discussed.</w:t>
      </w:r>
      <w:r>
        <w:t xml:space="preserve"> </w:t>
      </w:r>
      <w:r>
        <w:rPr>
          <w:bCs/>
          <w:b/>
        </w:rPr>
        <w:t xml:space="preserve">Any occurrence of</w:t>
      </w:r>
      <w:r>
        <w:rPr>
          <w:bCs/>
          <w:b/>
        </w:rPr>
        <w:t xml:space="preserve"> </w:t>
      </w:r>
      <w:r>
        <w:rPr>
          <w:bCs/>
          <w:b/>
        </w:rPr>
        <w:t xml:space="preserve">“</w:t>
      </w:r>
      <w:r>
        <w:rPr>
          <w:bCs/>
          <w:b/>
        </w:rPr>
        <w:t xml:space="preserve">β_M3</w:t>
      </w:r>
      <w:r>
        <w:rPr>
          <w:bCs/>
          <w:b/>
        </w:rPr>
        <w:t xml:space="preserve">”</w:t>
      </w:r>
      <w:r>
        <w:rPr>
          <w:bCs/>
          <w:b/>
        </w:rPr>
        <w:t xml:space="preserve">,</w:t>
      </w:r>
      <w:r>
        <w:rPr>
          <w:bCs/>
          <w:b/>
        </w:rPr>
        <w:t xml:space="preserve"> </w:t>
      </w:r>
      <w:r>
        <w:rPr>
          <w:bCs/>
          <w:b/>
        </w:rPr>
        <w:t xml:space="preserve">“</w:t>
      </w:r>
      <w:r>
        <w:rPr>
          <w:bCs/>
          <w:b/>
        </w:rPr>
        <w:t xml:space="preserve">β_M4</w:t>
      </w:r>
      <w:r>
        <w:rPr>
          <w:bCs/>
          <w:b/>
        </w:rPr>
        <w:t xml:space="preserve">”</w:t>
      </w:r>
      <w:r>
        <w:rPr>
          <w:bCs/>
          <w:b/>
        </w:rPr>
        <w:t xml:space="preserve">,</w:t>
      </w:r>
      <w:r>
        <w:rPr>
          <w:bCs/>
          <w:b/>
        </w:rPr>
        <w:t xml:space="preserve"> </w:t>
      </w:r>
      <w:r>
        <w:rPr>
          <w:bCs/>
          <w:b/>
        </w:rPr>
        <w:t xml:space="preserve">“</w:t>
      </w:r>
      <w:r>
        <w:rPr>
          <w:bCs/>
          <w:b/>
        </w:rPr>
        <w:t xml:space="preserve">moderated moderation</w:t>
      </w:r>
      <w:r>
        <w:rPr>
          <w:bCs/>
          <w:b/>
        </w:rPr>
        <w:t xml:space="preserve">”</w:t>
      </w:r>
      <w:r>
        <w:rPr>
          <w:bCs/>
          <w:b/>
        </w:rPr>
        <w:t xml:space="preserve">, or</w:t>
      </w:r>
      <w:r>
        <w:rPr>
          <w:bCs/>
          <w:b/>
        </w:rPr>
        <w:t xml:space="preserve"> </w:t>
      </w:r>
      <w:r>
        <w:rPr>
          <w:bCs/>
          <w:b/>
        </w:rPr>
        <w:t xml:space="preserve">“</w:t>
      </w:r>
      <w:r>
        <w:rPr>
          <w:bCs/>
          <w:b/>
        </w:rPr>
        <w:t xml:space="preserve">three-way interaction</w:t>
      </w:r>
      <w:r>
        <w:rPr>
          <w:bCs/>
          <w:b/>
        </w:rPr>
        <w:t xml:space="preserve">”</w:t>
      </w:r>
      <w:r>
        <w:rPr>
          <w:bCs/>
          <w:b/>
        </w:rPr>
        <w:t xml:space="preserve"> </w:t>
      </w:r>
      <w:r>
        <w:rPr>
          <w:bCs/>
          <w:b/>
        </w:rPr>
        <w:t xml:space="preserve">is a pre-v2.3 remnant and must be removed</w:t>
      </w:r>
      <w:r>
        <w:t xml:space="preserve"> </w:t>
      </w:r>
      <w:r>
        <w:t xml:space="preserve">— check the model figure, B1.4, the SmartPLS model file,</w:t>
      </w:r>
      <w:r>
        <w:t xml:space="preserve"> </w:t>
      </w:r>
      <w:r>
        <w:rPr>
          <w:rStyle w:val="VerbatimChar"/>
        </w:rPr>
        <w:t xml:space="preserve">06_power_analysis.py</w:t>
      </w:r>
      <w:r>
        <w:t xml:space="preserve">,</w:t>
      </w:r>
      <w:r>
        <w:t xml:space="preserve"> </w:t>
      </w:r>
      <w:r>
        <w:rPr>
          <w:rStyle w:val="VerbatimChar"/>
        </w:rPr>
        <w:t xml:space="preserve">07_plssem_bridge.R</w:t>
      </w:r>
      <w:r>
        <w:t xml:space="preserve"> </w:t>
      </w:r>
      <w:r>
        <w:t xml:space="preserve">and</w:t>
      </w:r>
      <w:r>
        <w:t xml:space="preserve"> </w:t>
      </w:r>
      <w:r>
        <w:rPr>
          <w:rStyle w:val="VerbatimChar"/>
        </w:rPr>
        <w:t xml:space="preserve">CLAUDE.md</w:t>
      </w:r>
      <w:r>
        <w:t xml:space="preserve">.</w:t>
      </w:r>
    </w:p>
    <w:p>
      <w:pPr>
        <w:numPr>
          <w:ilvl w:val="0"/>
          <w:numId w:val="1009"/>
        </w:numPr>
      </w:pPr>
      <w:r>
        <w:rPr>
          <w:bCs/>
          <w:b/>
        </w:rPr>
        <w:t xml:space="preserve">REL is measured by REL1–REL3 in every measurement-model artefact.</w:t>
      </w:r>
      <w:r>
        <w:t xml:space="preserve"> </w:t>
      </w:r>
      <w:r>
        <w:t xml:space="preserve">REL4 appears in the codebook and the raw dataset, and in the sensitivity analysis only. Any α, AVE, HTMT or loading table containing REL4 is a pre-v2.4 remnant.</w:t>
      </w:r>
    </w:p>
    <w:p>
      <w:pPr>
        <w:numPr>
          <w:ilvl w:val="0"/>
          <w:numId w:val="1009"/>
        </w:numPr>
      </w:pPr>
      <w:r>
        <w:rPr>
          <w:bCs/>
          <w:b/>
        </w:rPr>
        <w:t xml:space="preserve">TRU = TRU1–TRU5 and ENG = ENG1–ENG6 everywhere.</w:t>
      </w:r>
      <w:r>
        <w:t xml:space="preserve"> </w:t>
      </w:r>
      <w:r>
        <w:t xml:space="preserve">Any artefact reading</w:t>
      </w:r>
      <w:r>
        <w:t xml:space="preserve"> </w:t>
      </w:r>
      <w:r>
        <w:t xml:space="preserve">“</w:t>
      </w:r>
      <w:r>
        <w:t xml:space="preserve">TRU1–TRU6</w:t>
      </w:r>
      <w:r>
        <w:t xml:space="preserve">”</w:t>
      </w:r>
      <w:r>
        <w:t xml:space="preserve"> </w:t>
      </w:r>
      <w:r>
        <w:t xml:space="preserve">or</w:t>
      </w:r>
      <w:r>
        <w:t xml:space="preserve"> </w:t>
      </w:r>
      <w:r>
        <w:t xml:space="preserve">“</w:t>
      </w:r>
      <w:r>
        <w:t xml:space="preserve">ENG1–ENG5</w:t>
      </w:r>
      <w:r>
        <w:t xml:space="preserve">”</w:t>
      </w:r>
      <w:r>
        <w:t xml:space="preserve"> </w:t>
      </w:r>
      <w:r>
        <w:t xml:space="preserve">predates Amendment A-10.</w:t>
      </w:r>
    </w:p>
    <w:p>
      <w:pPr>
        <w:numPr>
          <w:ilvl w:val="0"/>
          <w:numId w:val="1009"/>
        </w:numPr>
      </w:pPr>
      <w:r>
        <w:t xml:space="preserve">Model figure legend: solid arrows = the hypothesised direct paths H1–H6c;</w:t>
      </w:r>
      <w:r>
        <w:t xml:space="preserve"> </w:t>
      </w:r>
      <w:r>
        <w:rPr>
          <w:bCs/>
          <w:b/>
        </w:rPr>
        <w:t xml:space="preserve">two separate dashed arrows, one from PDPL Awareness and one from Disclosure Level, each converging on its own moderation point astride the INT → TRU path</w:t>
      </w:r>
      <w:r>
        <w:t xml:space="preserve"> </w:t>
      </w:r>
      <w:r>
        <w:t xml:space="preserve">= H7a and H7b; dotted arrows = E1 and E2. The moderator box reads</w:t>
      </w:r>
      <w:r>
        <w:t xml:space="preserve"> </w:t>
      </w:r>
      <w:r>
        <w:t xml:space="preserve">“</w:t>
      </w:r>
      <w:r>
        <w:t xml:space="preserve">PDPL Awareness (Law 91/2025/QH15)</w:t>
      </w:r>
      <w:r>
        <w:t xml:space="preserve">”</w:t>
      </w:r>
      <w:r>
        <w:t xml:space="preserve"> </w:t>
      </w:r>
      <w:r>
        <w:t xml:space="preserve">— any figure still labelled</w:t>
      </w:r>
      <w:r>
        <w:t xml:space="preserve"> </w:t>
      </w:r>
      <w:r>
        <w:t xml:space="preserve">“</w:t>
      </w:r>
      <w:r>
        <w:t xml:space="preserve">PDPD</w:t>
      </w:r>
      <w:r>
        <w:t xml:space="preserve">”</w:t>
      </w:r>
      <w:r>
        <w:t xml:space="preserve"> </w:t>
      </w:r>
      <w:r>
        <w:t xml:space="preserve">is a governance-rule-1 violation. DISC is drawn as an observed variable (rectangular, dashed border), not a latent oval, and annotated</w:t>
      </w:r>
      <w:r>
        <w:t xml:space="preserve"> </w:t>
      </w:r>
      <w:r>
        <w:t xml:space="preserve">“</w:t>
      </w:r>
      <w:r>
        <w:t xml:space="preserve">manipulated factor; dummy 0/1; no measurement model</w:t>
      </w:r>
      <w:r>
        <w:t xml:space="preserve">”</w:t>
      </w:r>
      <w:r>
        <w:t xml:space="preserve">. Labels read</w:t>
      </w:r>
      <w:r>
        <w:t xml:space="preserve"> </w:t>
      </w:r>
      <w:r>
        <w:t xml:space="preserve">“</w:t>
      </w:r>
      <w:r>
        <w:t xml:space="preserve">H7a: β_M1 &gt; 0</w:t>
      </w:r>
      <w:r>
        <w:t xml:space="preserve">”</w:t>
      </w:r>
      <w:r>
        <w:t xml:space="preserve"> </w:t>
      </w:r>
      <w:r>
        <w:t xml:space="preserve">and</w:t>
      </w:r>
      <w:r>
        <w:t xml:space="preserve"> </w:t>
      </w:r>
      <w:r>
        <w:t xml:space="preserve">“</w:t>
      </w:r>
      <w:r>
        <w:t xml:space="preserve">H7b: β_M2 &gt; 0</w:t>
      </w:r>
      <w:r>
        <w:t xml:space="preserve">”</w:t>
      </w:r>
      <w:r>
        <w:t xml:space="preserve"> </w:t>
      </w:r>
      <w:r>
        <w:t xml:space="preserve">—</w:t>
      </w:r>
      <w:r>
        <w:t xml:space="preserve"> </w:t>
      </w:r>
      <w:r>
        <w:rPr>
          <w:bCs/>
          <w:b/>
        </w:rPr>
        <w:t xml:space="preserve">not</w:t>
      </w:r>
      <w:r>
        <w:t xml:space="preserve"> </w:t>
      </w:r>
      <w:r>
        <w:t xml:space="preserve">the single-node, single-label rendering specified before A-8.</w:t>
      </w:r>
    </w:p>
    <w:p>
      <w:pPr>
        <w:numPr>
          <w:ilvl w:val="0"/>
          <w:numId w:val="1009"/>
        </w:numPr>
      </w:pPr>
      <w:r>
        <w:t xml:space="preserve">Bart et al. (2005) framed as empirical support, never as a theoretical pillar. The three pillars are and remain Privacy Calculus (Dinev &amp; Hart, 2006), Trust Theory (McKnight et al., 2002), and Institutional Theory (Scott, 1995).</w:t>
      </w:r>
    </w:p>
    <w:p>
      <w:pPr>
        <w:numPr>
          <w:ilvl w:val="0"/>
          <w:numId w:val="1009"/>
        </w:numPr>
      </w:pPr>
      <w:r>
        <w:t xml:space="preserve">SDG 16 used for societal/governance justification and the Group 4 vignette designation only; SDG 12 used for the artifact objective only. Neither is a measurement basis.</w:t>
      </w:r>
    </w:p>
    <w:p>
      <w:pPr>
        <w:numPr>
          <w:ilvl w:val="0"/>
          <w:numId w:val="1009"/>
        </w:numPr>
      </w:pPr>
      <w:r>
        <w:t xml:space="preserve">All regulatory citations reference PDP Law 2025 article numbers as tabulated in Part B; Decree 13/2023/NĐ-CP is cited only historically.</w:t>
      </w:r>
    </w:p>
    <w:p>
      <w:pPr>
        <w:numPr>
          <w:ilvl w:val="0"/>
          <w:numId w:val="1009"/>
        </w:numPr>
      </w:pPr>
      <w:r>
        <w:t xml:space="preserve">Every reference verified in Scopus/Google Scholar before manuscript inclusion; 2026-dated and incomplete 2024-dated citations receive a second verification pass. Legal instruments are housed in the regulatory comparison, not the academic literature table.</w:t>
      </w:r>
    </w:p>
    <w:p>
      <w:pPr>
        <w:numPr>
          <w:ilvl w:val="0"/>
          <w:numId w:val="1009"/>
        </w:numPr>
      </w:pPr>
      <w:r>
        <w:t xml:space="preserve">Achieved power for β_M1 and β_M2 stated in the Method section; sample-size logic distinguishes the Cochran (1977) n = 385 convention from the study-specific power calculation. iThenticate total similarity &lt; 20% with no single source above 5%, checked with particular attention to the four vignettes.</w:t>
      </w:r>
    </w:p>
    <w:bookmarkEnd w:id="56"/>
    <w:bookmarkStart w:id="57" w:name="c.6-open-decisions-and-residual-risks"/>
    <w:p>
      <w:pPr>
        <w:pStyle w:val="Heading2"/>
      </w:pPr>
      <w:r>
        <w:t xml:space="preserve">C.6 Open Decisions and Residual Risks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Issue</w:t>
            </w:r>
          </w:p>
        </w:tc>
        <w:tc>
          <w:tcPr/>
          <w:p>
            <w:pPr>
              <w:pStyle w:val="Compact"/>
              <w:jc w:val="left"/>
            </w:pPr>
            <w:r>
              <w:rPr>
                <w:bCs/>
                <w:b/>
              </w:rPr>
              <w:t xml:space="preserve">Status and recommended handling</w:t>
            </w:r>
          </w:p>
        </w:tc>
      </w:tr>
      <w:tr>
        <w:tc>
          <w:tcPr/>
          <w:p>
            <w:pPr>
              <w:pStyle w:val="Compact"/>
              <w:jc w:val="left"/>
            </w:pPr>
            <w:r>
              <w:rPr>
                <w:bCs/>
                <w:b/>
              </w:rPr>
              <w:t xml:space="preserve">OD-1</w:t>
            </w:r>
          </w:p>
        </w:tc>
        <w:tc>
          <w:tcPr/>
          <w:p>
            <w:pPr>
              <w:pStyle w:val="Compact"/>
              <w:jc w:val="left"/>
            </w:pPr>
            <w:r>
              <w:t xml:space="preserve">Purchase Intention has no hypothesized antecedent.</w:t>
            </w:r>
          </w:p>
        </w:tc>
        <w:tc>
          <w:tcPr/>
          <w:p>
            <w:pPr>
              <w:pStyle w:val="Compact"/>
              <w:jc w:val="left"/>
            </w:pPr>
            <w:r>
              <w:rPr>
                <w:bCs/>
                <w:b/>
              </w:rPr>
              <w:t xml:space="preserve">CLOSED, 30 July 2026</w:t>
            </w:r>
            <w:r>
              <w:t xml:space="preserve"> </w:t>
            </w:r>
            <w:r>
              <w:t xml:space="preserve">by A-1: INT → PI restored as H6c.</w:t>
            </w:r>
          </w:p>
        </w:tc>
      </w:tr>
      <w:tr>
        <w:tc>
          <w:tcPr/>
          <w:p>
            <w:pPr>
              <w:pStyle w:val="Compact"/>
              <w:jc w:val="left"/>
            </w:pPr>
            <w:r>
              <w:rPr>
                <w:bCs/>
                <w:b/>
              </w:rPr>
              <w:t xml:space="preserve">OD-2</w:t>
            </w:r>
          </w:p>
        </w:tc>
        <w:tc>
          <w:tcPr/>
          <w:p>
            <w:pPr>
              <w:pStyle w:val="Compact"/>
              <w:jc w:val="left"/>
            </w:pPr>
            <w:r>
              <w:t xml:space="preserve">Statistical power for the highest-order H7 term (β_M4).</w:t>
            </w:r>
          </w:p>
        </w:tc>
        <w:tc>
          <w:tcPr/>
          <w:p>
            <w:pPr>
              <w:pStyle w:val="Compact"/>
              <w:jc w:val="left"/>
            </w:pPr>
            <w:r>
              <w:rPr>
                <w:bCs/>
                <w:b/>
              </w:rPr>
              <w:t xml:space="preserve">CLOSED, 24 August 2026</w:t>
            </w:r>
            <w:r>
              <w:t xml:space="preserve"> </w:t>
            </w:r>
            <w:r>
              <w:t xml:space="preserve">by A-8. The third-order term no longer exists; f² ≈ 0.02 per second-order term is detectable at n ≥ 400. No sample-size increase required. The a priori figure must still be reconciled against an R-side</w:t>
            </w:r>
            <w:r>
              <w:t xml:space="preserve"> </w:t>
            </w:r>
            <w:r>
              <w:rPr>
                <w:rStyle w:val="VerbatimChar"/>
              </w:rPr>
              <w:t xml:space="preserve">pwr</w:t>
            </w:r>
            <w:r>
              <w:t xml:space="preserve">/WebPower check before the quota is frozen.</w:t>
            </w:r>
          </w:p>
        </w:tc>
      </w:tr>
      <w:tr>
        <w:tc>
          <w:tcPr/>
          <w:p>
            <w:pPr>
              <w:pStyle w:val="Compact"/>
              <w:jc w:val="left"/>
            </w:pPr>
            <w:r>
              <w:rPr>
                <w:bCs/>
                <w:b/>
              </w:rPr>
              <w:t xml:space="preserve">OD-3</w:t>
            </w:r>
          </w:p>
        </w:tc>
        <w:tc>
          <w:tcPr/>
          <w:p>
            <w:pPr>
              <w:pStyle w:val="Compact"/>
              <w:jc w:val="left"/>
            </w:pPr>
            <w:r>
              <w:t xml:space="preserve">Green Score / SDG 12 attitude as a construct.</w:t>
            </w:r>
          </w:p>
        </w:tc>
        <w:tc>
          <w:tcPr/>
          <w:p>
            <w:pPr>
              <w:pStyle w:val="Compact"/>
              <w:jc w:val="left"/>
            </w:pPr>
            <w:r>
              <w:t xml:space="preserve">Remains an</w:t>
            </w:r>
            <w:r>
              <w:t xml:space="preserve"> </w:t>
            </w:r>
            <w:r>
              <w:rPr>
                <w:bCs/>
                <w:b/>
              </w:rPr>
              <w:t xml:space="preserve">artifact-evaluation variable only</w:t>
            </w:r>
            <w:r>
              <w:t xml:space="preserve">, not a construct in the Study 1 SEM, unless formally revised. Adding it would require new items, new pillar-level justification, and re-running discriminant validity — not advisable within the current timeline.</w:t>
            </w:r>
          </w:p>
        </w:tc>
      </w:tr>
      <w:tr>
        <w:tc>
          <w:tcPr/>
          <w:p>
            <w:pPr>
              <w:pStyle w:val="Compact"/>
              <w:jc w:val="left"/>
            </w:pPr>
            <w:r>
              <w:rPr>
                <w:bCs/>
                <w:b/>
              </w:rPr>
              <w:t xml:space="preserve">OD-4</w:t>
            </w:r>
          </w:p>
        </w:tc>
        <w:tc>
          <w:tcPr/>
          <w:p>
            <w:pPr>
              <w:pStyle w:val="Compact"/>
              <w:jc w:val="left"/>
            </w:pPr>
            <w:r>
              <w:t xml:space="preserve">Article-level citations to Law 91/2025/QH15 not yet verified against the signed statute.</w:t>
            </w:r>
          </w:p>
        </w:tc>
        <w:tc>
          <w:tcPr/>
          <w:p>
            <w:pPr>
              <w:pStyle w:val="Compact"/>
              <w:jc w:val="left"/>
            </w:pPr>
            <w:r>
              <w:t xml:space="preserve">The signed law is available only as a scanned image set; standard PDF text extraction fails. Verification requires the Vietnamese-language OCR pipeline and an article-by-article check of every</w:t>
            </w:r>
            <w:r>
              <w:t xml:space="preserve"> </w:t>
            </w:r>
            <w:r>
              <w:t xml:space="preserve">“</w:t>
            </w:r>
            <w:r>
              <w:t xml:space="preserve">Art. n</w:t>
            </w:r>
            <w:r>
              <w:t xml:space="preserve">”</w:t>
            </w:r>
            <w:r>
              <w:t xml:space="preserve"> </w:t>
            </w:r>
            <w:r>
              <w:t xml:space="preserve">reference in Part B. Must close before manuscript submission.</w:t>
            </w:r>
          </w:p>
        </w:tc>
      </w:tr>
      <w:tr>
        <w:tc>
          <w:tcPr/>
          <w:p>
            <w:pPr>
              <w:pStyle w:val="Compact"/>
              <w:jc w:val="left"/>
            </w:pPr>
            <w:r>
              <w:rPr>
                <w:bCs/>
                <w:b/>
              </w:rPr>
              <w:t xml:space="preserve">OD-5</w:t>
            </w:r>
          </w:p>
        </w:tc>
        <w:tc>
          <w:tcPr/>
          <w:p>
            <w:pPr>
              <w:pStyle w:val="Compact"/>
              <w:jc w:val="left"/>
            </w:pPr>
            <w:r>
              <w:t xml:space="preserve">SDG 12 vs. SDG 16 division of labour.</w:t>
            </w:r>
          </w:p>
        </w:tc>
        <w:tc>
          <w:tcPr/>
          <w:p>
            <w:pPr>
              <w:pStyle w:val="Compact"/>
              <w:jc w:val="left"/>
            </w:pPr>
            <w:r>
              <w:t xml:space="preserve">Settled convention:</w:t>
            </w:r>
            <w:r>
              <w:t xml:space="preserve"> </w:t>
            </w:r>
            <w:r>
              <w:rPr>
                <w:bCs/>
                <w:b/>
              </w:rPr>
              <w:t xml:space="preserve">SDG 16</w:t>
            </w:r>
            <w:r>
              <w:t xml:space="preserve"> </w:t>
            </w:r>
            <w:r>
              <w:t xml:space="preserve">= governance/transparency justification and the Group 4 vignette designation;</w:t>
            </w:r>
            <w:r>
              <w:t xml:space="preserve"> </w:t>
            </w:r>
            <w:r>
              <w:rPr>
                <w:bCs/>
                <w:b/>
              </w:rPr>
              <w:t xml:space="preserve">SDG 12</w:t>
            </w:r>
            <w:r>
              <w:t xml:space="preserve"> </w:t>
            </w:r>
            <w:r>
              <w:t xml:space="preserve">= the artifact’s sustainability objective. Neither is a measurement basis and neither is a construct.</w:t>
            </w:r>
          </w:p>
        </w:tc>
      </w:tr>
      <w:tr>
        <w:tc>
          <w:tcPr/>
          <w:p>
            <w:pPr>
              <w:pStyle w:val="Compact"/>
              <w:jc w:val="left"/>
            </w:pPr>
            <w:r>
              <w:rPr>
                <w:bCs/>
                <w:b/>
              </w:rPr>
              <w:t xml:space="preserve">OD-6</w:t>
            </w:r>
          </w:p>
        </w:tc>
        <w:tc>
          <w:tcPr/>
          <w:p>
            <w:pPr>
              <w:pStyle w:val="Compact"/>
              <w:jc w:val="left"/>
            </w:pPr>
            <w:r>
              <w:t xml:space="preserve">Legacy</w:t>
            </w:r>
            <w:r>
              <w:t xml:space="preserve"> </w:t>
            </w:r>
            <w:r>
              <w:t xml:space="preserve">“</w:t>
            </w:r>
            <w:r>
              <w:t xml:space="preserve">PDPD</w:t>
            </w:r>
            <w:r>
              <w:t xml:space="preserve">”</w:t>
            </w:r>
            <w:r>
              <w:t xml:space="preserve"> </w:t>
            </w:r>
            <w:r>
              <w:t xml:space="preserve">/ Decree 13 terminology outside this document.</w:t>
            </w:r>
          </w:p>
        </w:tc>
        <w:tc>
          <w:tcPr/>
          <w:p>
            <w:pPr>
              <w:pStyle w:val="Compact"/>
              <w:jc w:val="left"/>
            </w:pPr>
            <w:r>
              <w:t xml:space="preserve">The project brief, the earlier planning document, and the literature-review spreadsheet’s Takeaway column still use deprecated terms. A one-time find-and-replace pass is required; the planning document’s H7 wording should be annotated rather than silently changed, so the provenance of the A-8 respecification stays auditable.</w:t>
            </w:r>
          </w:p>
        </w:tc>
      </w:tr>
      <w:tr>
        <w:tc>
          <w:tcPr/>
          <w:p>
            <w:pPr>
              <w:pStyle w:val="Compact"/>
              <w:jc w:val="left"/>
            </w:pPr>
            <w:r>
              <w:rPr>
                <w:bCs/>
                <w:b/>
              </w:rPr>
              <w:t xml:space="preserve">OD-7</w:t>
            </w:r>
          </w:p>
        </w:tc>
        <w:tc>
          <w:tcPr/>
          <w:p>
            <w:pPr>
              <w:pStyle w:val="Compact"/>
              <w:jc w:val="left"/>
            </w:pPr>
            <w:r>
              <w:t xml:space="preserve">The research model figure is not compliant with this document.</w:t>
            </w:r>
          </w:p>
        </w:tc>
        <w:tc>
          <w:tcPr/>
          <w:p>
            <w:pPr>
              <w:pStyle w:val="Compact"/>
              <w:jc w:val="left"/>
            </w:pPr>
            <w:r>
              <w:rPr>
                <w:bCs/>
                <w:b/>
              </w:rPr>
              <w:t xml:space="preserve">Action required before any circulation.</w:t>
            </w:r>
            <w:r>
              <w:t xml:space="preserve"> </w:t>
            </w:r>
            <w:r>
              <w:t xml:space="preserve">Defects, as revised by A-8: (i) moderator box reads</w:t>
            </w:r>
            <w:r>
              <w:t xml:space="preserve"> </w:t>
            </w:r>
            <w:r>
              <w:t xml:space="preserve">“</w:t>
            </w:r>
            <w:r>
              <w:t xml:space="preserve">PDPD</w:t>
            </w:r>
            <w:r>
              <w:t xml:space="preserve">”</w:t>
            </w:r>
            <w:r>
              <w:t xml:space="preserve"> </w:t>
            </w:r>
            <w:r>
              <w:t xml:space="preserve">instead of</w:t>
            </w:r>
            <w:r>
              <w:t xml:space="preserve"> </w:t>
            </w:r>
            <w:r>
              <w:t xml:space="preserve">“</w:t>
            </w:r>
            <w:r>
              <w:t xml:space="preserve">PDPL Awareness (Law 91/2025/QH15)</w:t>
            </w:r>
            <w:r>
              <w:t xml:space="preserve">”</w:t>
            </w:r>
            <w:r>
              <w:t xml:space="preserve">; (ii) the legend gloss omits the moderator; (iii)</w:t>
            </w:r>
            <w:r>
              <w:t xml:space="preserve"> </w:t>
            </w:r>
            <w:r>
              <w:rPr>
                <w:bCs/>
                <w:b/>
              </w:rPr>
              <w:t xml:space="preserve">H7 must now be drawn as two independent dashed arrows — PDPL Awareness and Disclosure Level each converging on its own moderation point on the INT → TRU path. The single shared moderation node specified before A-8 is withdrawn;</w:t>
            </w:r>
            <w:r>
              <w:t xml:space="preserve"> </w:t>
            </w:r>
            <w:r>
              <w:t xml:space="preserve">(iv) the DISC box is drawn identically to AIP — redraw with a dashed border and annotate</w:t>
            </w:r>
            <w:r>
              <w:t xml:space="preserve"> </w:t>
            </w:r>
            <w:r>
              <w:t xml:space="preserve">“</w:t>
            </w:r>
            <w:r>
              <w:t xml:space="preserve">manipulated factor; dummy 0/1; no measurement model</w:t>
            </w:r>
            <w:r>
              <w:t xml:space="preserve">”</w:t>
            </w:r>
            <w:r>
              <w:t xml:space="preserve">; (v) legend reads</w:t>
            </w:r>
            <w:r>
              <w:t xml:space="preserve"> </w:t>
            </w:r>
            <w:r>
              <w:t xml:space="preserve">“</w:t>
            </w:r>
            <w:r>
              <w:t xml:space="preserve">solid = H1–H6</w:t>
            </w:r>
            <w:r>
              <w:t xml:space="preserve">”</w:t>
            </w:r>
            <w:r>
              <w:t xml:space="preserve">, should be</w:t>
            </w:r>
            <w:r>
              <w:t xml:space="preserve"> </w:t>
            </w:r>
            <w:r>
              <w:t xml:space="preserve">“</w:t>
            </w:r>
            <w:r>
              <w:t xml:space="preserve">H1–H6c</w:t>
            </w:r>
            <w:r>
              <w:t xml:space="preserve">”</w:t>
            </w:r>
            <w:r>
              <w:t xml:space="preserve">; (vi) labels must read</w:t>
            </w:r>
            <w:r>
              <w:t xml:space="preserve"> </w:t>
            </w:r>
            <w:r>
              <w:t xml:space="preserve">“</w:t>
            </w:r>
            <w:r>
              <w:t xml:space="preserve">H7a: β_M1 &gt; 0</w:t>
            </w:r>
            <w:r>
              <w:t xml:space="preserve">”</w:t>
            </w:r>
            <w:r>
              <w:t xml:space="preserve"> </w:t>
            </w:r>
            <w:r>
              <w:t xml:space="preserve">and</w:t>
            </w:r>
            <w:r>
              <w:t xml:space="preserve"> </w:t>
            </w:r>
            <w:r>
              <w:t xml:space="preserve">“</w:t>
            </w:r>
            <w:r>
              <w:t xml:space="preserve">H7b: β_M2 &gt; 0</w:t>
            </w:r>
            <w:r>
              <w:t xml:space="preserve">”</w:t>
            </w:r>
            <w:r>
              <w:t xml:space="preserve">. Add a figure note declaring the specification terms rather than drawing them. Target reissue: B1.4 v4.3.</w:t>
            </w:r>
          </w:p>
        </w:tc>
      </w:tr>
      <w:tr>
        <w:tc>
          <w:tcPr/>
          <w:p>
            <w:pPr>
              <w:pStyle w:val="Compact"/>
              <w:jc w:val="left"/>
            </w:pPr>
            <w:r>
              <w:rPr>
                <w:bCs/>
                <w:b/>
              </w:rPr>
              <w:t xml:space="preserve">OD-8</w:t>
            </w:r>
          </w:p>
        </w:tc>
        <w:tc>
          <w:tcPr/>
          <w:p>
            <w:pPr>
              <w:pStyle w:val="Compact"/>
              <w:jc w:val="left"/>
            </w:pPr>
            <w:r>
              <w:t xml:space="preserve">Downstream propagation of A-1 to A-6.</w:t>
            </w:r>
          </w:p>
        </w:tc>
        <w:tc>
          <w:tcPr/>
          <w:p>
            <w:pPr>
              <w:pStyle w:val="Compact"/>
              <w:jc w:val="left"/>
            </w:pPr>
            <w:r>
              <w:t xml:space="preserve">Largely absorbed. B1.4 now moves to</w:t>
            </w:r>
            <w:r>
              <w:t xml:space="preserve"> </w:t>
            </w:r>
            <w:r>
              <w:rPr>
                <w:bCs/>
                <w:b/>
              </w:rPr>
              <w:t xml:space="preserve">v4.3</w:t>
            </w:r>
            <w:r>
              <w:t xml:space="preserve"> </w:t>
            </w:r>
            <w:r>
              <w:t xml:space="preserve">carrying A-7 through A-10 together. B1.5, B1.6 and the Qualtrics block labels inherit the measurement-register corrections.</w:t>
            </w:r>
          </w:p>
        </w:tc>
      </w:tr>
      <w:tr>
        <w:tc>
          <w:tcPr/>
          <w:p>
            <w:pPr>
              <w:pStyle w:val="Compact"/>
              <w:jc w:val="left"/>
            </w:pPr>
            <w:r>
              <w:rPr>
                <w:bCs/>
                <w:b/>
              </w:rPr>
              <w:t xml:space="preserve">OD-9</w:t>
            </w:r>
          </w:p>
        </w:tc>
        <w:tc>
          <w:tcPr/>
          <w:p>
            <w:pPr>
              <w:pStyle w:val="Compact"/>
              <w:jc w:val="left"/>
            </w:pPr>
            <w:r>
              <w:t xml:space="preserve">Third novelty statement in §B.6.</w:t>
            </w:r>
          </w:p>
        </w:tc>
        <w:tc>
          <w:tcPr/>
          <w:p>
            <w:pPr>
              <w:pStyle w:val="Compact"/>
              <w:jc w:val="left"/>
            </w:pPr>
            <w:r>
              <w:rPr>
                <w:bCs/>
                <w:b/>
              </w:rPr>
              <w:t xml:space="preserve">Open — Khải’s call.</w:t>
            </w:r>
            <w:r>
              <w:t xml:space="preserve"> </w:t>
            </w:r>
            <w:r>
              <w:t xml:space="preserve">The v2.0 conjunctive statement cannot survive A-8. Option (a) withdraw, option (b) replace with the relative-leverage framing (§B.6). Until decided, the paragraph is not circulated. Should be settled before the Introduction and Discussion are drafted, and read alongside open item 12 of A-7 (the</w:t>
            </w:r>
            <w:r>
              <w:t xml:space="preserve"> </w:t>
            </w:r>
            <w:r>
              <w:t xml:space="preserve">“</w:t>
            </w:r>
            <w:r>
              <w:t xml:space="preserve">research-informed design</w:t>
            </w:r>
            <w:r>
              <w:t xml:space="preserve">”</w:t>
            </w:r>
            <w:r>
              <w:t xml:space="preserve"> </w:t>
            </w:r>
            <w:r>
              <w:t xml:space="preserve">timing question), since both concern how strongly the manuscript may claim a joint contribution. Owner: Khải.</w:t>
            </w:r>
          </w:p>
        </w:tc>
      </w:tr>
      <w:tr>
        <w:tc>
          <w:tcPr/>
          <w:p>
            <w:pPr>
              <w:pStyle w:val="Compact"/>
              <w:jc w:val="left"/>
            </w:pPr>
            <w:r>
              <w:rPr>
                <w:bCs/>
                <w:b/>
              </w:rPr>
              <w:t xml:space="preserve">OD-10</w:t>
            </w:r>
          </w:p>
        </w:tc>
        <w:tc>
          <w:tcPr/>
          <w:p>
            <w:pPr>
              <w:pStyle w:val="Compact"/>
              <w:jc w:val="left"/>
            </w:pPr>
            <w:r>
              <w:t xml:space="preserve">Whether REL4 remains in the fielded instrument.</w:t>
            </w:r>
          </w:p>
        </w:tc>
        <w:tc>
          <w:tcPr/>
          <w:p>
            <w:pPr>
              <w:pStyle w:val="Compact"/>
              <w:jc w:val="left"/>
            </w:pPr>
            <w:r>
              <w:rPr>
                <w:bCs/>
                <w:b/>
              </w:rPr>
              <w:t xml:space="preserve">Open — default adopted.</w:t>
            </w:r>
            <w:r>
              <w:t xml:space="preserve"> </w:t>
            </w:r>
            <w:r>
              <w:t xml:space="preserve">The default recorded in A-9 is to</w:t>
            </w:r>
            <w:r>
              <w:t xml:space="preserve"> </w:t>
            </w:r>
            <w:r>
              <w:rPr>
                <w:bCs/>
                <w:b/>
              </w:rPr>
              <w:t xml:space="preserve">keep REL4 in the instrument</w:t>
            </w:r>
            <w:r>
              <w:t xml:space="preserve"> </w:t>
            </w:r>
            <w:r>
              <w:t xml:space="preserve">and exclude it only from the measurement model. Rationale: the Qualtrics build is already frozen and tested; removing an item invalidates the pilot’s comparability with main collection; and retaining it permits the 4-item vs 3-item sensitivity analysis that makes the exclusion defensible to a reviewer. The alternative — removing REL4 from the instrument — buys roughly ten seconds of respondent time and forfeits the sensitivity analysis. Confirm or reverse before main collection opens. Owner: Khải.</w:t>
            </w:r>
          </w:p>
        </w:tc>
      </w:tr>
      <w:tr>
        <w:tc>
          <w:tcPr/>
          <w:p>
            <w:pPr>
              <w:pStyle w:val="Compact"/>
              <w:jc w:val="left"/>
            </w:pPr>
            <w:r>
              <w:rPr>
                <w:bCs/>
                <w:b/>
              </w:rPr>
              <w:t xml:space="preserve">OD-11</w:t>
            </w:r>
          </w:p>
        </w:tc>
        <w:tc>
          <w:tcPr/>
          <w:p>
            <w:pPr>
              <w:pStyle w:val="Compact"/>
              <w:jc w:val="left"/>
            </w:pPr>
            <w:r>
              <w:t xml:space="preserve">PDPL1–4 stems do not name Law 91/2025/QH15.</w:t>
            </w:r>
          </w:p>
        </w:tc>
        <w:tc>
          <w:tcPr/>
          <w:p>
            <w:pPr>
              <w:pStyle w:val="Compact"/>
              <w:jc w:val="left"/>
            </w:pPr>
            <w:r>
              <w:rPr>
                <w:bCs/>
                <w:b/>
              </w:rPr>
              <w:t xml:space="preserve">Open, non-blocking for the pilot but a substantive validity concern.</w:t>
            </w:r>
            <w:r>
              <w:t xml:space="preserve"> </w:t>
            </w:r>
            <w:r>
              <w:t xml:space="preserve">An awareness construct whose items never name the object of awareness measures generalized privacy-rights belief, not PDPL Awareness specifically, which weakens the Gap-2 novelty claim these items are meant to carry. Either revise the stems before main collection (instrument change; requires re-freezing the Qualtrics build and re-running the pilot reliability check for PDPL) or state the limitation explicitly in the Method and Limitations sections. Owner: Như Quỳnh, with Khải ratifying.</w:t>
            </w:r>
          </w:p>
        </w:tc>
      </w:tr>
    </w:tbl>
    <w:p>
      <w:pPr>
        <w:pStyle w:val="BodyText"/>
      </w:pPr>
      <w:r>
        <w:t xml:space="preserve">Table 6. Open decisions and residual risks as of 26 August 2026.</w:t>
      </w:r>
    </w:p>
    <w:bookmarkEnd w:id="57"/>
    <w:bookmarkEnd w:id="58"/>
    <w:bookmarkStart w:id="59" w:name="key-references-foundational-set"/>
    <w:p>
      <w:pPr>
        <w:pStyle w:val="Heading1"/>
      </w:pPr>
      <w:r>
        <w:t xml:space="preserve">Key References (Foundational Set)</w:t>
      </w:r>
    </w:p>
    <w:p>
      <w:pPr>
        <w:pStyle w:val="FirstParagraph"/>
      </w:pPr>
      <w:r>
        <w:t xml:space="preserve">Verification status: entries marked [verify] are planning-designated or corpus-level citations whose full bibliographic details must be confirmed in Scopus before manuscript inclusion. Corpus-level citations appearing in Part A (Teepapal, 2025; Aydin, 2026; Canhoto et al., 2024) are catalogued in the literature-review spreadsheet and are not repeated here.</w:t>
      </w:r>
    </w:p>
    <w:p>
      <w:pPr>
        <w:pStyle w:val="BodyText"/>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 90</w:t>
      </w:r>
      <w:r>
        <w:t xml:space="preserve">(1), 94–107. [verify]</w:t>
      </w:r>
    </w:p>
    <w:p>
      <w:pPr>
        <w:pStyle w:val="BodyText"/>
      </w:pPr>
      <w:r>
        <w:t xml:space="preserve">Aiken, L. S., &amp; West, S. G. (1991).</w:t>
      </w:r>
      <w:r>
        <w:t xml:space="preserve"> </w:t>
      </w:r>
      <w:r>
        <w:rPr>
          <w:iCs/>
          <w:i/>
        </w:rPr>
        <w:t xml:space="preserve">Multiple regression: Testing and interpreting interactions.</w:t>
      </w:r>
      <w:r>
        <w:t xml:space="preserve"> </w:t>
      </w:r>
      <w:r>
        <w:t xml:space="preserve">Sage. [verify]</w:t>
      </w:r>
    </w:p>
    <w:p>
      <w:pPr>
        <w:pStyle w:val="BodyText"/>
      </w:pPr>
      <w:r>
        <w:t xml:space="preserve">Awad, N. F., &amp; Krishnan, M. S. (2006). The personalization privacy paradox: An empirical evaluation of information transparency and the willingness to be profiled online for personalization.</w:t>
      </w:r>
      <w:r>
        <w:t xml:space="preserve"> </w:t>
      </w:r>
      <w:r>
        <w:rPr>
          <w:iCs/>
          <w:i/>
        </w:rPr>
        <w:t xml:space="preserve">MIS Quarterly, 30</w:t>
      </w:r>
      <w:r>
        <w:t xml:space="preserve">(1), 13–28. [verify]</w:t>
      </w:r>
    </w:p>
    <w:p>
      <w:pPr>
        <w:pStyle w:val="BodyText"/>
      </w:pPr>
      <w:r>
        <w:t xml:space="preserve">Bart, Y., Shankar, V., Sultan, F., &amp; Urban, G. L. (2005). Are the drivers and role of online trust the same for all web sites and consumers? A large-scale exploratory empirical study.</w:t>
      </w:r>
      <w:r>
        <w:t xml:space="preserve"> </w:t>
      </w:r>
      <w:r>
        <w:rPr>
          <w:iCs/>
          <w:i/>
        </w:rPr>
        <w:t xml:space="preserve">Journal of Marketing, 69</w:t>
      </w:r>
      <w:r>
        <w:t xml:space="preserve">(4), 133–152.</w:t>
      </w:r>
    </w:p>
    <w:p>
      <w:pPr>
        <w:pStyle w:val="BodyText"/>
      </w:pPr>
      <w:r>
        <w:t xml:space="preserve">Becker, J.-M., Ringle, C. M., &amp; Sarstedt, M. (2018). Estimating moderating effects in PLS-SEM and PLSc-SEM: Interaction term generation × data treatment.</w:t>
      </w:r>
      <w:r>
        <w:t xml:space="preserve"> </w:t>
      </w:r>
      <w:r>
        <w:rPr>
          <w:iCs/>
          <w:i/>
        </w:rPr>
        <w:t xml:space="preserve">Journal of Applied Structural Equation Modeling, 2</w:t>
      </w:r>
      <w:r>
        <w:t xml:space="preserve">(2), 1–21. [verify]</w:t>
      </w:r>
    </w:p>
    <w:p>
      <w:pPr>
        <w:pStyle w:val="BodyText"/>
      </w:pPr>
      <w:r>
        <w:t xml:space="preserve">Brodie, R. J., Hollebeek, L. D., Jurić, B., &amp; Ilić, A. (2011). Customer engagement: Conceptual domain, fundamental propositions, and implications for research.</w:t>
      </w:r>
      <w:r>
        <w:t xml:space="preserve"> </w:t>
      </w:r>
      <w:r>
        <w:rPr>
          <w:iCs/>
          <w:i/>
        </w:rPr>
        <w:t xml:space="preserve">Journal of Service Research, 14</w:t>
      </w:r>
      <w:r>
        <w:t xml:space="preserve">(3), 252–271.</w:t>
      </w:r>
    </w:p>
    <w:p>
      <w:pPr>
        <w:pStyle w:val="BodyText"/>
      </w:pPr>
      <w:r>
        <w:t xml:space="preserve">Cochran, W. G. (1977).</w:t>
      </w:r>
      <w:r>
        <w:t xml:space="preserve"> </w:t>
      </w:r>
      <w:r>
        <w:rPr>
          <w:iCs/>
          <w:i/>
        </w:rPr>
        <w:t xml:space="preserve">Sampling techniques</w:t>
      </w:r>
      <w:r>
        <w:t xml:space="preserve"> </w:t>
      </w:r>
      <w:r>
        <w:t xml:space="preserve">(3rd ed.). Wiley. [verify]</w:t>
      </w:r>
    </w:p>
    <w:p>
      <w:pPr>
        <w:pStyle w:val="BodyText"/>
      </w:pPr>
      <w:r>
        <w:t xml:space="preserve">Dinev, T., &amp; Hart, P. (2006). An extended privacy calculus model for e-commerce transactions.</w:t>
      </w:r>
      <w:r>
        <w:t xml:space="preserve"> </w:t>
      </w:r>
      <w:r>
        <w:rPr>
          <w:iCs/>
          <w:i/>
        </w:rPr>
        <w:t xml:space="preserve">Information Systems Research, 17</w:t>
      </w:r>
      <w:r>
        <w:t xml:space="preserve">(1), 61–80.</w:t>
      </w:r>
    </w:p>
    <w:p>
      <w:pPr>
        <w:pStyle w:val="BodyText"/>
      </w:pPr>
      <w:r>
        <w:t xml:space="preserve">Featherman, M. S., &amp; Pavlou, P. A. (2003). Predicting e-services adoption: A perceived risk facets perspective.</w:t>
      </w:r>
      <w:r>
        <w:t xml:space="preserve"> </w:t>
      </w:r>
      <w:r>
        <w:rPr>
          <w:iCs/>
          <w:i/>
        </w:rPr>
        <w:t xml:space="preserve">International Journal of Human-Computer Studies, 59</w:t>
      </w:r>
      <w:r>
        <w:t xml:space="preserve">(4), 451–474. [verify]</w:t>
      </w:r>
    </w:p>
    <w:p>
      <w:pPr>
        <w:pStyle w:val="BodyText"/>
      </w:pPr>
      <w:r>
        <w:t xml:space="preserve">Henseler, J., Ringle, C. M., &amp; Sarstedt, M. (2016). Testing measurement invariance of composites using partial least squares.</w:t>
      </w:r>
      <w:r>
        <w:t xml:space="preserve"> </w:t>
      </w:r>
      <w:r>
        <w:rPr>
          <w:iCs/>
          <w:i/>
        </w:rPr>
        <w:t xml:space="preserve">International Marketing Review, 33</w:t>
      </w:r>
      <w:r>
        <w:t xml:space="preserve">(3), 405–431. [verify]</w:t>
      </w:r>
    </w:p>
    <w:p>
      <w:pPr>
        <w:pStyle w:val="BodyText"/>
      </w:pPr>
      <w:r>
        <w:t xml:space="preserve">Hevner, A. R., March, S. T., Park, J., &amp; Ram, S. (2004). Design science in information systems research.</w:t>
      </w:r>
      <w:r>
        <w:t xml:space="preserve"> </w:t>
      </w:r>
      <w:r>
        <w:rPr>
          <w:iCs/>
          <w:i/>
        </w:rPr>
        <w:t xml:space="preserve">MIS Quarterly, 28</w:t>
      </w:r>
      <w:r>
        <w:t xml:space="preserve">(1), 75–105.</w:t>
      </w:r>
    </w:p>
    <w:p>
      <w:pPr>
        <w:pStyle w:val="BodyText"/>
      </w:pPr>
      <w:r>
        <w:t xml:space="preserve">Li, H., et al. (2017). [Privacy-invasion scale — full reference to be resolved from the planning document’s source list.] [verify]</w:t>
      </w:r>
    </w:p>
    <w:p>
      <w:pPr>
        <w:pStyle w:val="BodyText"/>
      </w:pPr>
      <w:r>
        <w:t xml:space="preserve">McKnight, D. H., Choudhury, V., &amp; Kacmar, C. (2002). Developing and validating trust measures for e-commerce: An integrative typology.</w:t>
      </w:r>
      <w:r>
        <w:t xml:space="preserve"> </w:t>
      </w:r>
      <w:r>
        <w:rPr>
          <w:iCs/>
          <w:i/>
        </w:rPr>
        <w:t xml:space="preserve">Information Systems Research, 13</w:t>
      </w:r>
      <w:r>
        <w:t xml:space="preserve">(3), 334–359.</w:t>
      </w:r>
    </w:p>
    <w:p>
      <w:pPr>
        <w:pStyle w:val="BodyText"/>
      </w:pPr>
      <w:r>
        <w:t xml:space="preserve">Mehrabian, A., &amp; Russell, J. A. (1974).</w:t>
      </w:r>
      <w:r>
        <w:t xml:space="preserve"> </w:t>
      </w:r>
      <w:r>
        <w:rPr>
          <w:iCs/>
          <w:i/>
        </w:rPr>
        <w:t xml:space="preserve">An approach to environmental psychology.</w:t>
      </w:r>
      <w:r>
        <w:t xml:space="preserve"> </w:t>
      </w:r>
      <w:r>
        <w:t xml:space="preserve">MIT Press.</w:t>
      </w:r>
    </w:p>
    <w:p>
      <w:pPr>
        <w:pStyle w:val="BodyText"/>
      </w:pPr>
      <w:r>
        <w:t xml:space="preserve">Morgan, R. M., &amp; Hunt, S. D. (1994). The commitment–trust theory of relationship marketing.</w:t>
      </w:r>
      <w:r>
        <w:t xml:space="preserve"> </w:t>
      </w:r>
      <w:r>
        <w:rPr>
          <w:iCs/>
          <w:i/>
        </w:rPr>
        <w:t xml:space="preserve">Journal of Marketing, 58</w:t>
      </w:r>
      <w:r>
        <w:t xml:space="preserve">(3), 20–38.</w:t>
      </w:r>
    </w:p>
    <w:p>
      <w:pPr>
        <w:pStyle w:val="BodyText"/>
      </w:pPr>
      <w:r>
        <w:t xml:space="preserve">Pavlou, P. A. (2003). Consumer acceptance of electronic commerce: Integrating trust and risk with the technology acceptance model.</w:t>
      </w:r>
      <w:r>
        <w:t xml:space="preserve"> </w:t>
      </w:r>
      <w:r>
        <w:rPr>
          <w:iCs/>
          <w:i/>
        </w:rPr>
        <w:t xml:space="preserve">International Journal of Electronic Commerce, 7</w:t>
      </w:r>
      <w:r>
        <w:t xml:space="preserve">(3), 101–134. [verify]</w:t>
      </w:r>
    </w:p>
    <w:p>
      <w:pPr>
        <w:pStyle w:val="BodyText"/>
      </w:pPr>
      <w:r>
        <w:t xml:space="preserve">Peffers, K., Tuunanen, T., Rothenberger, M. A., &amp; Chatterjee, S. (2007). A design science research methodology for information systems research.</w:t>
      </w:r>
      <w:r>
        <w:t xml:space="preserve"> </w:t>
      </w:r>
      <w:r>
        <w:rPr>
          <w:iCs/>
          <w:i/>
        </w:rPr>
        <w:t xml:space="preserve">Journal of Management Information Systems, 24</w:t>
      </w:r>
      <w:r>
        <w:t xml:space="preserve">(3), 45–77.</w:t>
      </w:r>
    </w:p>
    <w:p>
      <w:pPr>
        <w:pStyle w:val="BodyText"/>
      </w:pPr>
      <w:r>
        <w:t xml:space="preserve">Scott, W. R. (1995).</w:t>
      </w:r>
      <w:r>
        <w:t xml:space="preserve"> </w:t>
      </w:r>
      <w:r>
        <w:rPr>
          <w:iCs/>
          <w:i/>
        </w:rPr>
        <w:t xml:space="preserve">Institutions and organizations.</w:t>
      </w:r>
      <w:r>
        <w:t xml:space="preserve"> </w:t>
      </w:r>
      <w:r>
        <w:t xml:space="preserve">Sage.</w:t>
      </w:r>
    </w:p>
    <w:p>
      <w:pPr>
        <w:pStyle w:val="BodyText"/>
      </w:pPr>
      <w:r>
        <w:t xml:space="preserve">Van Doorn, J., Lemon, K. N., Mittal, V., Nass, S., Pick, D., Pirner, P., &amp; Verhoef, P. C. (2010). Customer engagement behavior: Theoretical foundations and research directions.</w:t>
      </w:r>
      <w:r>
        <w:t xml:space="preserve"> </w:t>
      </w:r>
      <w:r>
        <w:rPr>
          <w:iCs/>
          <w:i/>
        </w:rPr>
        <w:t xml:space="preserve">Journal of Service Research, 13</w:t>
      </w:r>
      <w:r>
        <w:t xml:space="preserve">(3), 253–266. [verify]</w:t>
      </w:r>
    </w:p>
    <w:p>
      <w:pPr>
        <w:pStyle w:val="BodyText"/>
      </w:pPr>
      <w:r>
        <w:t xml:space="preserve">Xu, H., Luo, X. R., Carroll, J. M., &amp; Rosson, M. B. (2011). The personalization privacy paradox: An exploratory study of decision making process for location-aware marketing.</w:t>
      </w:r>
      <w:r>
        <w:t xml:space="preserve"> </w:t>
      </w:r>
      <w:r>
        <w:rPr>
          <w:iCs/>
          <w:i/>
        </w:rPr>
        <w:t xml:space="preserve">Decision Support Systems, 51</w:t>
      </w:r>
      <w:r>
        <w:t xml:space="preserve">(1), 42–52. [verify]</w:t>
      </w:r>
    </w:p>
    <w:p>
      <w:pPr>
        <w:pStyle w:val="BodyText"/>
      </w:pPr>
      <w:r>
        <w:t xml:space="preserve">National Assembly of Viet Nam. (2025).</w:t>
      </w:r>
      <w:r>
        <w:t xml:space="preserve"> </w:t>
      </w:r>
      <w:r>
        <w:rPr>
          <w:iCs/>
          <w:i/>
        </w:rPr>
        <w:t xml:space="preserve">Law on Personal Data Protection</w:t>
      </w:r>
      <w:r>
        <w:t xml:space="preserve"> </w:t>
      </w:r>
      <w:r>
        <w:t xml:space="preserve">(Law No. 91/2025/QH15, effective 1 January 2026).</w:t>
      </w:r>
    </w:p>
    <w:p>
      <w:pPr>
        <w:pStyle w:val="BodyText"/>
      </w:pPr>
      <w:r>
        <w:t xml:space="preserve">Government of Viet Nam. (2023).</w:t>
      </w:r>
      <w:r>
        <w:t xml:space="preserve"> </w:t>
      </w:r>
      <w:r>
        <w:rPr>
          <w:iCs/>
          <w:i/>
        </w:rPr>
        <w:t xml:space="preserve">Decree No. 13/2023/NĐ-CP on Personal Data Protection</w:t>
      </w:r>
      <w:r>
        <w:t xml:space="preserve"> </w:t>
      </w:r>
      <w:r>
        <w:t xml:space="preserve">(superseded from 1 January 2026).</w:t>
      </w:r>
    </w:p>
    <w:bookmarkEnd w:id="59"/>
    <w:sectPr>
      <w:pgSz w:h="15840" w:w="12240"/>
      <w:pgMar w:bottom="1080" w:footer="720" w:gutter="0" w:header="720" w:left="1000" w:right="100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2026-08-26T07:19:49Z</dcterms:created>
  <dcterms:modified xsi:type="dcterms:W3CDTF">2026-08-26T07:19:49Z</dcterms:modified>
</cp:coreProperties>
</file>

<file path=docProps/custom.xml><?xml version="1.0" encoding="utf-8"?>
<Properties xmlns="http://schemas.openxmlformats.org/officeDocument/2006/custom-properties" xmlns:vt="http://schemas.openxmlformats.org/officeDocument/2006/docPropsVTypes"/>
</file>