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MASTER CODEBOOK</w:t>
      </w:r>
    </w:p>
    <w:p>
      <w:pPr>
        <w:pStyle w:val="BodyText"/>
      </w:pPr>
      <w:r>
        <w:rPr>
          <w:iCs/>
          <w:i/>
        </w:rPr>
        <w:t xml:space="preserve">Study 1 — Integrated 2 × 2 Survey-Experiment · Version 2.4</w:t>
      </w:r>
    </w:p>
    <w:p>
      <w:pPr>
        <w:pStyle w:val="BodyText"/>
      </w:pPr>
      <w:r>
        <w:rPr>
          <w:bCs/>
          <w:b/>
        </w:rPr>
        <w:t xml:space="preserve">How AI-Driven Personalization Shapes Customer Engagement in Omnichannel Retail: A Privacy-Aware AI Agent Approach</w:t>
      </w:r>
    </w:p>
    <w:p>
      <w:pPr>
        <w:pStyle w:val="BodyText"/>
      </w:pPr>
      <w:r>
        <w:t xml:space="preserve">Governing document: Theoretical Foundations v2.9 (Amendments A-1 - A-17) - Instrument: PROJ_MAIN_final_v2 - Pipeline: _config.py</w:t>
      </w:r>
    </w:p>
    <w:p>
      <w:pPr>
        <w:pStyle w:val="BodyText"/>
      </w:pPr>
      <w:r>
        <w:t xml:space="preserve">8 September 2026 (same-day revision)</w:t>
      </w:r>
    </w:p>
    <w:bookmarkStart w:id="20" w:name="purpose-and-authority"/>
    <w:p>
      <w:pPr>
        <w:pStyle w:val="Heading1"/>
      </w:pPr>
      <w:r>
        <w:t xml:space="preserve">1. Purpose and authority</w:t>
      </w:r>
    </w:p>
    <w:p>
      <w:pPr>
        <w:pStyle w:val="FirstParagraph"/>
      </w:pPr>
      <w:r>
        <w:t xml:space="preserve">This codebook is the variable-level bridge between three artefacts that must never disagree: the </w:t>
      </w:r>
      <w:r>
        <w:rPr>
          <w:bCs/>
          <w:b/>
        </w:rPr>
        <w:t xml:space="preserve">Qualtrics instrument</w:t>
      </w:r>
      <w:r>
        <w:t xml:space="preserve"> (PROJ_MAIN_final_v2), the </w:t>
      </w:r>
      <w:r>
        <w:rPr>
          <w:bCs/>
          <w:b/>
        </w:rPr>
        <w:t xml:space="preserve">analysis pipeline</w:t>
      </w:r>
      <w:r>
        <w:t xml:space="preserve"> (src/_config.py and scripts 00–07), and the </w:t>
      </w:r>
      <w:r>
        <w:rPr>
          <w:bCs/>
          <w:b/>
        </w:rPr>
        <w:t xml:space="preserve">governing specification</w:t>
      </w:r>
      <w:r>
        <w:t xml:space="preserve"> (Theoretical Foundations v2.9). Where any two disagree, TF v2.9 prevails on substance and this codebook records the reconciliation.</w:t>
      </w:r>
    </w:p>
    <w:p>
      <w:pPr>
        <w:pStyle w:val="BodyText"/>
      </w:pPr>
      <w:r>
        <w:t xml:space="preserve">Every entry below matches PROJ_MAIN_final_v2, the wording finalized for main collection under Amendment A-13 — not the earlier pilot-stage wording. </w:t>
      </w:r>
      <w:r>
        <w:rPr>
          <w:bCs/>
          <w:b/>
        </w:rPr>
        <w:t xml:space="preserve">Pilot (n = 46) reliability statistics quoted in this codebook were computed on the pre-A-13 wording</w:t>
      </w:r>
      <w:r>
        <w:t xml:space="preserve"> for AIP, INT, TRU, PDPL, and PI; they are indicative of construct behaviour, not confirmatory of this exact item text. See §2, v2.2. </w:t>
      </w:r>
      <w:r>
        <w:rPr>
          <w:bCs/>
          <w:b/>
        </w:rPr>
        <w:t xml:space="preserve">PDPL1–PDPL4 item wording and administration are unaffected by Amendments A-16/A-17</w:t>
      </w:r>
      <w:r>
        <w:t xml:space="preserve"> — both concern only where the statute’s name is documented (never in the fielded instrument, per A-17); see §4.7a.</w:t>
      </w:r>
    </w:p>
    <w:p>
      <w:pPr>
        <w:pStyle w:val="BodyText"/>
      </w:pPr>
      <w:r>
        <w:rPr>
          <w:bCs/>
          <w:b/>
        </w:rPr>
        <w:t xml:space="preserve">Reading rule.</w:t>
      </w:r>
      <w:r>
        <w:t xml:space="preserve"> “Fielded” means the respondent was asked the item and it exists in the raw export. “Analysed” means the item enters the measurement model. These are not the same set — see §5.2.</w:t>
      </w:r>
    </w:p>
    <w:bookmarkEnd w:id="20"/>
    <w:bookmarkStart w:id="21" w:name="version-and-amendment-log"/>
    <w:p>
      <w:pPr>
        <w:pStyle w:val="Heading1"/>
      </w:pPr>
      <w:r>
        <w:t xml:space="preserve">2. Version and amendment log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Change</w:t>
            </w:r>
          </w:p>
        </w:tc>
        <w:tc>
          <w:tcPr/>
          <w:p>
            <w:pPr>
              <w:pStyle w:val="Compact"/>
              <w:jc w:val="left"/>
            </w:pPr>
            <w:r>
              <w:rPr>
                <w:bCs/>
                <w:b/>
              </w:rPr>
              <w:t xml:space="preserve">Authority</w:t>
            </w:r>
          </w:p>
        </w:tc>
      </w:tr>
      <w:tr>
        <w:tc>
          <w:tcPr/>
          <w:p>
            <w:pPr>
              <w:pStyle w:val="Compact"/>
              <w:jc w:val="left"/>
            </w:pPr>
            <w:r>
              <w:t xml:space="preserve">1.0</w:t>
            </w:r>
          </w:p>
        </w:tc>
        <w:tc>
          <w:tcPr/>
          <w:p>
            <w:pPr>
              <w:pStyle w:val="Compact"/>
              <w:jc w:val="left"/>
            </w:pPr>
            <w:r>
              <w:t xml:space="preserve">Aug 2026</w:t>
            </w:r>
          </w:p>
        </w:tc>
        <w:tc>
          <w:tcPr/>
          <w:p>
            <w:pPr>
              <w:pStyle w:val="Compact"/>
              <w:jc w:val="left"/>
            </w:pPr>
            <w:r>
              <w:t xml:space="preserve">Initial codebook against the fielded instrument.</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26 Aug 2026</w:t>
            </w:r>
          </w:p>
        </w:tc>
        <w:tc>
          <w:tcPr/>
          <w:p>
            <w:pPr>
              <w:pStyle w:val="Compact"/>
              <w:jc w:val="left"/>
            </w:pPr>
            <w:r>
              <w:rPr>
                <w:bCs/>
                <w:b/>
              </w:rPr>
              <w:t xml:space="preserve">(i)</w:t>
            </w:r>
            <w:r>
              <w:t xml:space="preserve"> H7 interaction variables respecified: the three-way term INT_x_PDPL_x_DISC is deleted; two second-order terms INT_x_PDPL (β_M1) and INT_x_DISC (β_M2) are the hypothesis-bearing derived variables. PDPL_x_DISC deleted. </w:t>
            </w:r>
            <w:r>
              <w:rPr>
                <w:bCs/>
                <w:b/>
              </w:rPr>
              <w:t xml:space="preserve">(ii)</w:t>
            </w:r>
            <w:r>
              <w:t xml:space="preserve"> REL4 reclassified from </w:t>
            </w:r>
            <w:r>
              <w:rPr>
                <w:iCs/>
                <w:i/>
              </w:rPr>
              <w:t xml:space="preserve">analysed indicator</w:t>
            </w:r>
            <w:r>
              <w:t xml:space="preserve"> to </w:t>
            </w:r>
            <w:r>
              <w:rPr>
                <w:iCs/>
                <w:i/>
              </w:rPr>
              <w:t xml:space="preserve">fielded, excluded from measurement model, retained for sensitivity analysis</w:t>
            </w:r>
            <w:r>
              <w:t xml:space="preserve">; REL_mean is now the mean of REL1–REL3. </w:t>
            </w:r>
            <w:r>
              <w:rPr>
                <w:bCs/>
                <w:b/>
              </w:rPr>
              <w:t xml:space="preserve">(iii)</w:t>
            </w:r>
            <w:r>
              <w:t xml:space="preserve"> TRU and ENG item counts reconciled to the fielded instrument (TRU1–TRU5, ENG1–ENG6). </w:t>
            </w:r>
            <w:r>
              <w:rPr>
                <w:bCs/>
                <w:b/>
              </w:rPr>
              <w:t xml:space="preserve">(iv)</w:t>
            </w:r>
            <w:r>
              <w:t xml:space="preserve"> Item-count constants split into fielded (33) and analysed (32) with an explicit rule per use.</w:t>
            </w:r>
          </w:p>
        </w:tc>
        <w:tc>
          <w:tcPr/>
          <w:p>
            <w:pPr>
              <w:pStyle w:val="Compact"/>
              <w:jc w:val="left"/>
            </w:pPr>
            <w:r>
              <w:t xml:space="preserve">TF v2.4, Amendments A-8, A-9, A-10</w:t>
            </w:r>
          </w:p>
        </w:tc>
      </w:tr>
      <w:tr>
        <w:tc>
          <w:tcPr/>
          <w:p>
            <w:pPr>
              <w:pStyle w:val="Compact"/>
              <w:jc w:val="left"/>
            </w:pPr>
            <w:r>
              <w:t xml:space="preserve">2.1</w:t>
            </w:r>
          </w:p>
        </w:tc>
        <w:tc>
          <w:tcPr/>
          <w:p>
            <w:pPr>
              <w:pStyle w:val="Compact"/>
              <w:jc w:val="left"/>
            </w:pPr>
            <w:r>
              <w:t xml:space="preserve">1 Sep 2026</w:t>
            </w:r>
          </w:p>
        </w:tc>
        <w:tc>
          <w:tcPr/>
          <w:p>
            <w:pPr>
              <w:pStyle w:val="Compact"/>
              <w:jc w:val="left"/>
            </w:pPr>
            <w:r>
              <w:rPr>
                <w:bCs/>
                <w:b/>
              </w:rPr>
              <w:t xml:space="preserve">(i)</w:t>
            </w:r>
            <w:r>
              <w:t xml:space="preserve"> ENG given an explicit three-dimension item structure: Cognitive Processing (ENG1, ENG2), Affection (ENG3, ENG6), Activation (ENG4, ENG5). Reliability/item-retention diagnostics for ENG must be computed </w:t>
            </w:r>
            <w:r>
              <w:rPr>
                <w:iCs/>
                <w:i/>
              </w:rPr>
              <w:t xml:space="preserve">within dimension</w:t>
            </w:r>
            <w:r>
              <w:t xml:space="preserve"> going forward, never pooled across all six items. </w:t>
            </w:r>
            <w:r>
              <w:rPr>
                <w:bCs/>
                <w:b/>
              </w:rPr>
              <w:t xml:space="preserve">(ii)</w:t>
            </w:r>
            <w:r>
              <w:t xml:space="preserve"> ENG measurement citation corrected to Hollebeek, Glynn, &amp; Brodie (2014); Brodie et al. (2011) retained for conceptual grounding only. </w:t>
            </w:r>
            <w:r>
              <w:rPr>
                <w:bCs/>
                <w:b/>
              </w:rPr>
              <w:t xml:space="preserve">(iii)</w:t>
            </w:r>
            <w:r>
              <w:t xml:space="preserve"> Provisional plan to exclude ENG4 (by analogy to REL4) is </w:t>
            </w:r>
            <w:r>
              <w:rPr>
                <w:bCs/>
                <w:b/>
              </w:rPr>
              <w:t xml:space="preserve">reversed</w:t>
            </w:r>
            <w:r>
              <w:t xml:space="preserve"> — ENG4 is retained; excluding it would leave Activation as an unassessable single-item facet. </w:t>
            </w:r>
            <w:r>
              <w:rPr>
                <w:bCs/>
                <w:b/>
              </w:rPr>
              <w:t xml:space="preserve">(iv)</w:t>
            </w:r>
            <w:r>
              <w:t xml:space="preserve"> New diagnostic-only derived variables added: ENG_cog_mean, ENG_aff_mean, ENG_act_mean (§5.1). ENG_mean (pooled) remains the sole structural-model input — unchanged.</w:t>
            </w:r>
          </w:p>
        </w:tc>
        <w:tc>
          <w:tcPr/>
          <w:p>
            <w:pPr>
              <w:pStyle w:val="Compact"/>
              <w:jc w:val="left"/>
            </w:pPr>
            <w:r>
              <w:t xml:space="preserve">TF v2.6, Amendment A-12</w:t>
            </w:r>
          </w:p>
        </w:tc>
      </w:tr>
      <w:tr>
        <w:tc>
          <w:tcPr/>
          <w:p>
            <w:pPr>
              <w:pStyle w:val="Compact"/>
              <w:jc w:val="left"/>
            </w:pPr>
            <w:r>
              <w:rPr>
                <w:bCs/>
                <w:b/>
              </w:rPr>
              <w:t xml:space="preserve">2.2</w:t>
            </w:r>
          </w:p>
        </w:tc>
        <w:tc>
          <w:tcPr/>
          <w:p>
            <w:pPr>
              <w:pStyle w:val="Compact"/>
              <w:jc w:val="left"/>
            </w:pPr>
            <w:r>
              <w:rPr>
                <w:bCs/>
                <w:b/>
              </w:rPr>
              <w:t xml:space="preserve">1 Sep 2026</w:t>
            </w:r>
          </w:p>
        </w:tc>
        <w:tc>
          <w:tcPr/>
          <w:p>
            <w:pPr>
              <w:pStyle w:val="Compact"/>
              <w:jc w:val="left"/>
            </w:pPr>
            <w:r>
              <w:rPr>
                <w:bCs/>
                <w:b/>
              </w:rPr>
              <w:t xml:space="preserve">(i)</w:t>
            </w:r>
            <w:r>
              <w:t xml:space="preserve"> Item wording for AIP1–6, INT1–5, TRU1, TRU3, PDPL1–4, and PI1–2 updated to the finalized main-collection text (PROJ_MAIN_final_v2), superseding the pilot-stage wording in v2.0/2.1 — mostly clarifying clause additions, not construct redefinition. </w:t>
            </w:r>
            <w:r>
              <w:rPr>
                <w:bCs/>
                <w:b/>
              </w:rPr>
              <w:t xml:space="preserve">(ii)</w:t>
            </w:r>
            <w:r>
              <w:t xml:space="preserve"> </w:t>
            </w:r>
            <w:r>
              <w:rPr>
                <w:bCs/>
                <w:b/>
              </w:rPr>
              <w:t xml:space="preserve">TRU2 corrected</w:t>
            </w:r>
            <w:r>
              <w:t xml:space="preserve">: the pilot fielded a double-barreled item (“…honestly and reliably </w:t>
            </w:r>
            <w:r>
              <w:rPr>
                <w:bCs/>
                <w:b/>
              </w:rPr>
              <w:t xml:space="preserve">/ always keeps its commitments to customers</w:t>
            </w:r>
            <w:r>
              <w:t xml:space="preserve">”); finalized wording reverts to the single-claim original (“…honestly and reliably.”). </w:t>
            </w:r>
            <w:r>
              <w:rPr>
                <w:bCs/>
                <w:b/>
              </w:rPr>
              <w:t xml:space="preserve">(iii)</w:t>
            </w:r>
            <w:r>
              <w:t xml:space="preserve"> Minor EN-only wording updates on ENG2–3/5–6, REL4, CC1–2, SCR1 (no VI/construct change). </w:t>
            </w:r>
            <w:r>
              <w:rPr>
                <w:bCs/>
                <w:b/>
              </w:rPr>
              <w:t xml:space="preserve">(iv)</w:t>
            </w:r>
            <w:r>
              <w:t xml:space="preserve"> Governance caveat added throughout: pilot (n=46) reliability statistics apply to the pre-A-13 wording, not confirmatory of finalized text — main collection is the authoritative test.</w:t>
            </w:r>
          </w:p>
        </w:tc>
        <w:tc>
          <w:tcPr/>
          <w:p>
            <w:pPr>
              <w:pStyle w:val="Compact"/>
              <w:jc w:val="left"/>
            </w:pPr>
            <w:r>
              <w:t xml:space="preserve">TF v2.7, Amendment A-13</w:t>
            </w:r>
          </w:p>
        </w:tc>
      </w:tr>
      <w:tr>
        <w:tc>
          <w:tcPr/>
          <w:p>
            <w:pPr>
              <w:pStyle w:val="Compact"/>
              <w:jc w:val="left"/>
            </w:pPr>
            <w:r>
              <w:rPr>
                <w:bCs/>
                <w:b/>
              </w:rPr>
              <w:t xml:space="preserve">2.3</w:t>
            </w:r>
          </w:p>
        </w:tc>
        <w:tc>
          <w:tcPr/>
          <w:p>
            <w:pPr>
              <w:pStyle w:val="Compact"/>
              <w:jc w:val="left"/>
            </w:pPr>
            <w:r>
              <w:rPr>
                <w:bCs/>
                <w:b/>
              </w:rPr>
              <w:t xml:space="preserve">8 Sep 2026</w:t>
            </w:r>
          </w:p>
        </w:tc>
        <w:tc>
          <w:tcPr/>
          <w:p>
            <w:pPr>
              <w:pStyle w:val="Compact"/>
              <w:jc w:val="left"/>
            </w:pPr>
            <w:r>
              <w:rPr>
                <w:bCs/>
                <w:b/>
              </w:rPr>
              <w:t xml:space="preserve">(i)</w:t>
            </w:r>
            <w:r>
              <w:t xml:space="preserve"> Block M_PDPL preamble split into two administration segments: a generic segment (no statute name) before PDPL1, and a segment naming Law 91/2025/QH15 (effective 1 Jan 2026) inserted after PDPL1 and before PDPL2. </w:t>
            </w:r>
            <w:r>
              <w:rPr>
                <w:bCs/>
                <w:b/>
              </w:rPr>
              <w:t xml:space="preserve">(ii)</w:t>
            </w:r>
            <w:r>
              <w:t xml:space="preserve"> PDPL1–PDPL4 item text is unchanged — this closes OD-11 via preamble design, not item revision; an interim draft that inserted “(Law No. 91/2025/QH15)” into the PDPL1 stem is explicitly rejected and must not be fielded. </w:t>
            </w:r>
            <w:r>
              <w:rPr>
                <w:bCs/>
                <w:b/>
              </w:rPr>
              <w:t xml:space="preserve">(iii)</w:t>
            </w:r>
            <w:r>
              <w:t xml:space="preserve"> PDPL1 relabelled in this codebook as the </w:t>
            </w:r>
            <w:r>
              <w:rPr>
                <w:iCs/>
                <w:i/>
              </w:rPr>
              <w:t xml:space="preserve">pre-anchor</w:t>
            </w:r>
            <w:r>
              <w:t xml:space="preserve"> item and PDPL2–PDPL4 as </w:t>
            </w:r>
            <w:r>
              <w:rPr>
                <w:iCs/>
                <w:i/>
              </w:rPr>
              <w:t xml:space="preserve">post-anchor</w:t>
            </w:r>
            <w:r>
              <w:t xml:space="preserve"> items — a distinction with no effect on scoring (PDPL_mean is still the mean of all four) but required in the Method section’s instrument-development narrative. </w:t>
            </w:r>
            <w:r>
              <w:rPr>
                <w:bCs/>
                <w:b/>
              </w:rPr>
              <w:t xml:space="preserve">(iv)</w:t>
            </w:r>
            <w:r>
              <w:t xml:space="preserve"> OD-11 status updated to Closed.</w:t>
            </w:r>
          </w:p>
        </w:tc>
        <w:tc>
          <w:tcPr/>
          <w:p>
            <w:pPr>
              <w:pStyle w:val="Compact"/>
              <w:jc w:val="left"/>
            </w:pPr>
            <w:r>
              <w:t xml:space="preserve">TF v2.8, Amendment A-16</w:t>
            </w:r>
          </w:p>
        </w:tc>
      </w:tr>
      <w:tr>
        <w:tc>
          <w:tcPr/>
          <w:p>
            <w:pPr>
              <w:pStyle w:val="Compact"/>
              <w:jc w:val="left"/>
            </w:pPr>
            <w:r>
              <w:rPr>
                <w:bCs/>
                <w:b/>
              </w:rPr>
              <w:t xml:space="preserve">2.4</w:t>
            </w:r>
          </w:p>
        </w:tc>
        <w:tc>
          <w:tcPr/>
          <w:p>
            <w:pPr>
              <w:pStyle w:val="Compact"/>
              <w:jc w:val="left"/>
            </w:pPr>
            <w:r>
              <w:rPr>
                <w:bCs/>
                <w:b/>
              </w:rPr>
              <w:t xml:space="preserve">8 Sep 2026</w:t>
            </w:r>
          </w:p>
        </w:tc>
        <w:tc>
          <w:tcPr/>
          <w:p>
            <w:pPr>
              <w:pStyle w:val="Compact"/>
              <w:jc w:val="left"/>
            </w:pPr>
            <w:r>
              <w:rPr>
                <w:bCs/>
                <w:b/>
              </w:rPr>
              <w:t xml:space="preserve">[SUPERSEDES 2.3 the same day.]</w:t>
            </w:r>
            <w:r>
              <w:t xml:space="preserve"> </w:t>
            </w:r>
            <w:r>
              <w:rPr>
                <w:bCs/>
                <w:b/>
              </w:rPr>
              <w:t xml:space="preserve">(i)</w:t>
            </w:r>
            <w:r>
              <w:t xml:space="preserve"> Block M_PDPL’s two-segment preamble (v2.3) is withdrawn; the block reverts to the single generic preamble used before v2.3 – no segment anywhere names Law 91/2025/QH15. </w:t>
            </w:r>
            <w:r>
              <w:rPr>
                <w:bCs/>
                <w:b/>
              </w:rPr>
              <w:t xml:space="preserve">(ii)</w:t>
            </w:r>
            <w:r>
              <w:t xml:space="preserve"> The </w:t>
            </w:r>
            <w:r>
              <w:rPr>
                <w:iCs/>
                <w:i/>
              </w:rPr>
              <w:t xml:space="preserve">pre-anchor / post-anchor</w:t>
            </w:r>
            <w:r>
              <w:t xml:space="preserve"> labelling introduced in v2.3 is removed from the PDPL item table; PDPL1-PDPL4 are administered identically. </w:t>
            </w:r>
            <w:r>
              <w:rPr>
                <w:bCs/>
                <w:b/>
              </w:rPr>
              <w:t xml:space="preserve">(iii)</w:t>
            </w:r>
            <w:r>
              <w:t xml:space="preserve"> PDPL1-PDPL4 item text remains unchanged throughout (v2.2, v2.3, v2.4 alike). </w:t>
            </w:r>
            <w:r>
              <w:rPr>
                <w:bCs/>
                <w:b/>
              </w:rPr>
              <w:t xml:space="preserve">(iv)</w:t>
            </w:r>
            <w:r>
              <w:t xml:space="preserve"> OD-11 re-closed: resolution is now “state the limitation in Method/Limitations; document the statute in Chapter 2 and the instrument-development narrative” – with no in-instrument feature (item or preamble) carrying the statute’s name.</w:t>
            </w:r>
          </w:p>
        </w:tc>
        <w:tc>
          <w:tcPr/>
          <w:p>
            <w:pPr>
              <w:pStyle w:val="Compact"/>
              <w:jc w:val="left"/>
            </w:pPr>
            <w:r>
              <w:t xml:space="preserve">TF v2.9, Amendment A-17 (supersedes A-16)</w:t>
            </w:r>
          </w:p>
        </w:tc>
      </w:tr>
    </w:tbl>
    <w:bookmarkEnd w:id="21"/>
    <w:bookmarkStart w:id="22" w:name="dataset-inventory"/>
    <w:p>
      <w:pPr>
        <w:pStyle w:val="Heading1"/>
      </w:pPr>
      <w:r>
        <w:t xml:space="preserve">3. Dataset inventory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Stage</w:t>
            </w:r>
          </w:p>
        </w:tc>
        <w:tc>
          <w:tcPr/>
          <w:p>
            <w:pPr>
              <w:pStyle w:val="Compact"/>
              <w:jc w:val="left"/>
            </w:pPr>
            <w:r>
              <w:rPr>
                <w:bCs/>
                <w:b/>
              </w:rPr>
              <w:t xml:space="preserve">File</w:t>
            </w:r>
          </w:p>
        </w:tc>
        <w:tc>
          <w:tcPr/>
          <w:p>
            <w:pPr>
              <w:pStyle w:val="Compact"/>
              <w:jc w:val="left"/>
            </w:pPr>
            <w:r>
              <w:rPr>
                <w:bCs/>
                <w:b/>
              </w:rPr>
              <w:t xml:space="preserve">Produced by</w:t>
            </w:r>
          </w:p>
        </w:tc>
        <w:tc>
          <w:tcPr/>
          <w:p>
            <w:pPr>
              <w:pStyle w:val="Compact"/>
              <w:jc w:val="left"/>
            </w:pPr>
            <w:r>
              <w:rPr>
                <w:bCs/>
                <w:b/>
              </w:rPr>
              <w:t xml:space="preserve">Contents</w:t>
            </w:r>
          </w:p>
        </w:tc>
      </w:tr>
      <w:tr>
        <w:tc>
          <w:tcPr/>
          <w:p>
            <w:pPr>
              <w:pStyle w:val="Compact"/>
              <w:jc w:val="left"/>
            </w:pPr>
            <w:r>
              <w:t xml:space="preserve">Raw</w:t>
            </w:r>
          </w:p>
        </w:tc>
        <w:tc>
          <w:tcPr/>
          <w:p>
            <w:pPr>
              <w:pStyle w:val="Compact"/>
              <w:jc w:val="left"/>
            </w:pPr>
            <w:r>
              <w:t xml:space="preserve">data/raw/.csv</w:t>
            </w:r>
          </w:p>
        </w:tc>
        <w:tc>
          <w:tcPr/>
          <w:p>
            <w:pPr>
              <w:pStyle w:val="Compact"/>
              <w:jc w:val="left"/>
            </w:pPr>
            <w:r>
              <w:t xml:space="preserve">Qualtrics export</w:t>
            </w:r>
          </w:p>
        </w:tc>
        <w:tc>
          <w:tcPr/>
          <w:p>
            <w:pPr>
              <w:pStyle w:val="Compact"/>
              <w:jc w:val="left"/>
            </w:pPr>
            <w:r>
              <w:t xml:space="preserve">3 header rows (names, question text, ImportId JSON); Likert values as choice </w:t>
            </w:r>
            <w:r>
              <w:rPr>
                <w:bCs/>
                <w:b/>
              </w:rPr>
              <w:t xml:space="preserve">text</w:t>
            </w:r>
            <w:r>
              <w:t xml:space="preserve">; VIG_TIME_* duplicated 4× (one set per vignette block)</w:t>
            </w:r>
          </w:p>
        </w:tc>
      </w:tr>
      <w:tr>
        <w:tc>
          <w:tcPr/>
          <w:p>
            <w:pPr>
              <w:pStyle w:val="Compact"/>
              <w:jc w:val="left"/>
            </w:pPr>
            <w:r>
              <w:t xml:space="preserve">Normalized</w:t>
            </w:r>
          </w:p>
        </w:tc>
        <w:tc>
          <w:tcPr/>
          <w:p>
            <w:pPr>
              <w:pStyle w:val="Compact"/>
              <w:jc w:val="left"/>
            </w:pPr>
            <w:r>
              <w:t xml:space="preserve">in-memory</w:t>
            </w:r>
          </w:p>
        </w:tc>
        <w:tc>
          <w:tcPr/>
          <w:p>
            <w:pPr>
              <w:pStyle w:val="Compact"/>
              <w:jc w:val="left"/>
            </w:pPr>
            <w:r>
              <w:t xml:space="preserve">_qualtrics_io.load_and_normalize()</w:t>
            </w:r>
          </w:p>
        </w:tc>
        <w:tc>
          <w:tcPr/>
          <w:p>
            <w:pPr>
              <w:pStyle w:val="Compact"/>
              <w:jc w:val="left"/>
            </w:pPr>
            <w:r>
              <w:t xml:space="preserve">Metadata rows stripped; Likert text parsed to integers; VIG_TIME_* coalesced; CHAN decoded to booleans</w:t>
            </w:r>
          </w:p>
        </w:tc>
      </w:tr>
      <w:tr>
        <w:tc>
          <w:tcPr/>
          <w:p>
            <w:pPr>
              <w:pStyle w:val="Compact"/>
              <w:jc w:val="left"/>
            </w:pPr>
            <w:r>
              <w:t xml:space="preserve">Clean</w:t>
            </w:r>
          </w:p>
        </w:tc>
        <w:tc>
          <w:tcPr/>
          <w:p>
            <w:pPr>
              <w:pStyle w:val="Compact"/>
              <w:jc w:val="left"/>
            </w:pPr>
            <w:r>
              <w:t xml:space="preserve">data/processed/{pilot│main}_clean.csv</w:t>
            </w:r>
          </w:p>
        </w:tc>
        <w:tc>
          <w:tcPr/>
          <w:p>
            <w:pPr>
              <w:pStyle w:val="Compact"/>
              <w:jc w:val="left"/>
            </w:pPr>
            <w:r>
              <w:t xml:space="preserve">01_clean.py</w:t>
            </w:r>
          </w:p>
        </w:tc>
        <w:tc>
          <w:tcPr/>
          <w:p>
            <w:pPr>
              <w:pStyle w:val="Compact"/>
              <w:jc w:val="left"/>
            </w:pPr>
            <w:r>
              <w:t xml:space="preserve">Hard exclusions applied; soft flags added; condition variables cast to Int64</w:t>
            </w:r>
          </w:p>
        </w:tc>
      </w:tr>
      <w:tr>
        <w:tc>
          <w:tcPr/>
          <w:p>
            <w:pPr>
              <w:pStyle w:val="Compact"/>
              <w:jc w:val="left"/>
            </w:pPr>
            <w:r>
              <w:t xml:space="preserve">Analysis</w:t>
            </w:r>
          </w:p>
        </w:tc>
        <w:tc>
          <w:tcPr/>
          <w:p>
            <w:pPr>
              <w:pStyle w:val="Compact"/>
              <w:jc w:val="left"/>
            </w:pPr>
            <w:r>
              <w:t xml:space="preserve">derived in-script / SmartPLS</w:t>
            </w:r>
          </w:p>
        </w:tc>
        <w:tc>
          <w:tcPr/>
          <w:p>
            <w:pPr>
              <w:pStyle w:val="Compact"/>
              <w:jc w:val="left"/>
            </w:pPr>
            <w:r>
              <w:t xml:space="preserve">03–07, SmartPLS 4</w:t>
            </w:r>
          </w:p>
        </w:tc>
        <w:tc>
          <w:tcPr/>
          <w:p>
            <w:pPr>
              <w:pStyle w:val="Compact"/>
              <w:jc w:val="left"/>
            </w:pPr>
            <w:r>
              <w:t xml:space="preserve">Construct scores and interaction terms per §5</w:t>
            </w:r>
          </w:p>
        </w:tc>
      </w:tr>
    </w:tbl>
    <w:p>
      <w:pPr>
        <w:pStyle w:val="BodyText"/>
      </w:pPr>
      <w:r>
        <w:rPr>
          <w:bCs/>
          <w:b/>
        </w:rPr>
        <w:t xml:space="preserve">Never analyse the raw export directly.</w:t>
      </w:r>
      <w:r>
        <w:t xml:space="preserve"> Every Likert column arrives as choice text (e.g. “3 - Không đồng ý một phần(Partly disagree)”); a script reading it without the loader coerces the entire battery to NaN.</w:t>
      </w:r>
    </w:p>
    <w:bookmarkEnd w:id="22"/>
    <w:bookmarkStart w:id="38" w:name="variable-register"/>
    <w:p>
      <w:pPr>
        <w:pStyle w:val="Heading1"/>
      </w:pPr>
      <w:r>
        <w:t xml:space="preserve">4. Variable register</w:t>
      </w:r>
    </w:p>
    <w:bookmarkStart w:id="23" w:name="system-and-administrative"/>
    <w:p>
      <w:pPr>
        <w:pStyle w:val="Heading2"/>
      </w:pPr>
      <w:r>
        <w:t xml:space="preserve">4.1 System and administrative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Type</w:t>
            </w:r>
          </w:p>
        </w:tc>
        <w:tc>
          <w:tcPr/>
          <w:p>
            <w:pPr>
              <w:pStyle w:val="Compact"/>
              <w:jc w:val="left"/>
            </w:pPr>
            <w:r>
              <w:rPr>
                <w:bCs/>
                <w:b/>
              </w:rPr>
              <w:t xml:space="preserve">Values</w:t>
            </w:r>
          </w:p>
        </w:tc>
        <w:tc>
          <w:tcPr/>
          <w:p>
            <w:pPr>
              <w:pStyle w:val="Compact"/>
              <w:jc w:val="left"/>
            </w:pPr>
            <w:r>
              <w:rPr>
                <w:bCs/>
                <w:b/>
              </w:rPr>
              <w:t xml:space="preserve">Role</w:t>
            </w:r>
          </w:p>
        </w:tc>
      </w:tr>
      <w:tr>
        <w:tc>
          <w:tcPr/>
          <w:p>
            <w:pPr>
              <w:pStyle w:val="Compact"/>
              <w:jc w:val="left"/>
            </w:pPr>
            <w:r>
              <w:t xml:space="preserve">ResponseId</w:t>
            </w:r>
          </w:p>
        </w:tc>
        <w:tc>
          <w:tcPr/>
          <w:p>
            <w:pPr>
              <w:pStyle w:val="Compact"/>
              <w:jc w:val="left"/>
            </w:pPr>
            <w:r>
              <w:t xml:space="preserve">string</w:t>
            </w:r>
          </w:p>
        </w:tc>
        <w:tc>
          <w:tcPr/>
          <w:p>
            <w:pPr>
              <w:pStyle w:val="Compact"/>
              <w:jc w:val="left"/>
            </w:pPr>
            <w:r>
              <w:t xml:space="preserve">Qualtrics ID</w:t>
            </w:r>
          </w:p>
        </w:tc>
        <w:tc>
          <w:tcPr/>
          <w:p>
            <w:pPr>
              <w:pStyle w:val="Compact"/>
              <w:jc w:val="left"/>
            </w:pPr>
            <w:r>
              <w:t xml:space="preserve">Primary key. Never analysed.</w:t>
            </w:r>
          </w:p>
        </w:tc>
      </w:tr>
      <w:tr>
        <w:tc>
          <w:tcPr/>
          <w:p>
            <w:pPr>
              <w:pStyle w:val="Compact"/>
              <w:jc w:val="left"/>
            </w:pPr>
            <w:r>
              <w:t xml:space="preserve">Duration (in seconds)</w:t>
            </w:r>
          </w:p>
        </w:tc>
        <w:tc>
          <w:tcPr/>
          <w:p>
            <w:pPr>
              <w:pStyle w:val="Compact"/>
              <w:jc w:val="left"/>
            </w:pPr>
            <w:r>
              <w:t xml:space="preserve">integer</w:t>
            </w:r>
          </w:p>
        </w:tc>
        <w:tc>
          <w:tcPr/>
          <w:p>
            <w:pPr>
              <w:pStyle w:val="Compact"/>
              <w:jc w:val="left"/>
            </w:pPr>
            <w:r>
              <w:t xml:space="preserve">seconds</w:t>
            </w:r>
          </w:p>
        </w:tc>
        <w:tc>
          <w:tcPr/>
          <w:p>
            <w:pPr>
              <w:pStyle w:val="Compact"/>
              <w:jc w:val="left"/>
            </w:pPr>
            <w:r>
              <w:t xml:space="preserve">Speeding exclusion (§6.1). Note the spaces and parentheses in the column name.</w:t>
            </w:r>
          </w:p>
        </w:tc>
      </w:tr>
      <w:tr>
        <w:tc>
          <w:tcPr/>
          <w:p>
            <w:pPr>
              <w:pStyle w:val="Compact"/>
              <w:jc w:val="left"/>
            </w:pPr>
            <w:r>
              <w:t xml:space="preserve">Finished, Progress, RecordedDate</w:t>
            </w:r>
          </w:p>
        </w:tc>
        <w:tc>
          <w:tcPr/>
          <w:p>
            <w:pPr>
              <w:pStyle w:val="Compact"/>
              <w:jc w:val="left"/>
            </w:pPr>
            <w:r>
              <w:t xml:space="preserve">mixed</w:t>
            </w:r>
          </w:p>
        </w:tc>
        <w:tc>
          <w:tcPr/>
          <w:p>
            <w:pPr>
              <w:pStyle w:val="Compact"/>
              <w:jc w:val="left"/>
            </w:pPr>
            <w:r>
              <w:t xml:space="preserve">Qualtrics native</w:t>
            </w:r>
          </w:p>
        </w:tc>
        <w:tc>
          <w:tcPr/>
          <w:p>
            <w:pPr>
              <w:pStyle w:val="Compact"/>
              <w:jc w:val="left"/>
            </w:pPr>
            <w:r>
              <w:t xml:space="preserve">Descriptive only.</w:t>
            </w:r>
          </w:p>
        </w:tc>
      </w:tr>
      <w:tr>
        <w:tc>
          <w:tcPr/>
          <w:p>
            <w:pPr>
              <w:pStyle w:val="Compact"/>
              <w:jc w:val="left"/>
            </w:pPr>
            <w:r>
              <w:t xml:space="preserve">VIG_TIME_First Click, VIG_TIME_Last Click, VIG_TIME_Page Submit, VIG_TIME_Click Count</w:t>
            </w:r>
          </w:p>
        </w:tc>
        <w:tc>
          <w:tcPr/>
          <w:p>
            <w:pPr>
              <w:pStyle w:val="Compact"/>
              <w:jc w:val="left"/>
            </w:pPr>
            <w:r>
              <w:t xml:space="preserve">numeric</w:t>
            </w:r>
          </w:p>
        </w:tc>
        <w:tc>
          <w:tcPr/>
          <w:p>
            <w:pPr>
              <w:pStyle w:val="Compact"/>
              <w:jc w:val="left"/>
            </w:pPr>
            <w:r>
              <w:t xml:space="preserve">seconds / count</w:t>
            </w:r>
          </w:p>
        </w:tc>
        <w:tc>
          <w:tcPr/>
          <w:p>
            <w:pPr>
              <w:pStyle w:val="Compact"/>
              <w:jc w:val="left"/>
            </w:pPr>
            <w:r>
              <w:t xml:space="preserve">Vignette exposure timing. </w:t>
            </w:r>
            <w:r>
              <w:rPr>
                <w:bCs/>
                <w:b/>
              </w:rPr>
              <w:t xml:space="preserve">Physically duplicated 4× in the raw export</w:t>
            </w:r>
            <w:r>
              <w:t xml:space="preserve">; coalesced by the loader before use. Descriptive / attention diagnostics only.</w:t>
            </w:r>
          </w:p>
        </w:tc>
      </w:tr>
    </w:tbl>
    <w:bookmarkEnd w:id="23"/>
    <w:bookmarkStart w:id="24" w:name="consent-and-screener"/>
    <w:p>
      <w:pPr>
        <w:pStyle w:val="Heading2"/>
      </w:pPr>
      <w:r>
        <w:t xml:space="preserve">4.2 Consent and screener</w:t>
      </w:r>
    </w:p>
    <w:p>
      <w:pPr>
        <w:pStyle w:val="FirstParagraph"/>
      </w:pPr>
      <w:r>
        <w:t xml:space="preserve">All three are terminate-on-fail in the Survey Flow; rows reaching the cleaning script that fail are treated as hard drops.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Item (VI / EN)</w:t>
            </w:r>
          </w:p>
        </w:tc>
        <w:tc>
          <w:tcPr/>
          <w:p>
            <w:pPr>
              <w:pStyle w:val="Compact"/>
              <w:jc w:val="left"/>
            </w:pPr>
            <w:r>
              <w:rPr>
                <w:bCs/>
                <w:b/>
              </w:rPr>
              <w:t xml:space="preserve">Values</w:t>
            </w:r>
          </w:p>
        </w:tc>
        <w:tc>
          <w:tcPr/>
          <w:p>
            <w:pPr>
              <w:pStyle w:val="Compact"/>
              <w:jc w:val="left"/>
            </w:pPr>
            <w:r>
              <w:rPr>
                <w:bCs/>
                <w:b/>
              </w:rPr>
              <w:t xml:space="preserve">Rule</w:t>
            </w:r>
          </w:p>
        </w:tc>
      </w:tr>
      <w:tr>
        <w:tc>
          <w:tcPr/>
          <w:p>
            <w:pPr>
              <w:pStyle w:val="Compact"/>
              <w:jc w:val="left"/>
            </w:pPr>
            <w:r>
              <w:t xml:space="preserve">CONSENT</w:t>
            </w:r>
          </w:p>
        </w:tc>
        <w:tc>
          <w:tcPr/>
          <w:p>
            <w:pPr>
              <w:pStyle w:val="Compact"/>
              <w:jc w:val="left"/>
            </w:pPr>
            <w:r>
              <w:t xml:space="preserve">Anh/Chị có đồng ý tham gia khảo sát này không? / </w:t>
            </w:r>
            <w:r>
              <w:rPr>
                <w:iCs/>
                <w:i/>
              </w:rPr>
              <w:t xml:space="preserve">Do you agree to participate in this survey?</w:t>
            </w:r>
          </w:p>
        </w:tc>
        <w:tc>
          <w:tcPr/>
          <w:p>
            <w:pPr>
              <w:pStyle w:val="Compact"/>
              <w:jc w:val="left"/>
            </w:pPr>
            <w:r>
              <w:t xml:space="preserve">1 = Tôi đồng ý tham gia; 0 = Tôi không đồng ý</w:t>
            </w:r>
          </w:p>
        </w:tc>
        <w:tc>
          <w:tcPr/>
          <w:p>
            <w:pPr>
              <w:pStyle w:val="Compact"/>
              <w:jc w:val="left"/>
            </w:pPr>
            <w:r>
              <w:t xml:space="preserve">Keep only 1. </w:t>
            </w:r>
            <w:r>
              <w:rPr>
                <w:bCs/>
                <w:b/>
              </w:rPr>
              <w:t xml:space="preserve">Anchor must retain Vietnamese diacritics</w:t>
            </w:r>
            <w:r>
              <w:t xml:space="preserve"> — an ASCII-stripped anchor matches zero real responses and silently drops the entire sample.</w:t>
            </w:r>
          </w:p>
        </w:tc>
      </w:tr>
      <w:tr>
        <w:tc>
          <w:tcPr/>
          <w:p>
            <w:pPr>
              <w:pStyle w:val="Compact"/>
              <w:jc w:val="left"/>
            </w:pPr>
            <w:r>
              <w:t xml:space="preserve">SCR_AGE</w:t>
            </w:r>
          </w:p>
        </w:tc>
        <w:tc>
          <w:tcPr/>
          <w:p>
            <w:pPr>
              <w:pStyle w:val="Compact"/>
              <w:jc w:val="left"/>
            </w:pPr>
            <w:r>
              <w:t xml:space="preserve">Anh/Chị có đủ 18 tuổi trở lên không? / </w:t>
            </w:r>
            <w:r>
              <w:rPr>
                <w:iCs/>
                <w:i/>
              </w:rPr>
              <w:t xml:space="preserve">Are you 18 or older?</w:t>
            </w:r>
          </w:p>
        </w:tc>
        <w:tc>
          <w:tcPr/>
          <w:p>
            <w:pPr>
              <w:pStyle w:val="Compact"/>
              <w:jc w:val="left"/>
            </w:pPr>
            <w:r>
              <w:t xml:space="preserve">1 = Có; 0 = Không</w:t>
            </w:r>
          </w:p>
        </w:tc>
        <w:tc>
          <w:tcPr/>
          <w:p>
            <w:pPr>
              <w:pStyle w:val="Compact"/>
              <w:jc w:val="left"/>
            </w:pPr>
            <w:r>
              <w:t xml:space="preserve">Keep only 1. Ethics requirement, not a sampling preference.</w:t>
            </w:r>
          </w:p>
        </w:tc>
      </w:tr>
      <w:tr>
        <w:tc>
          <w:tcPr/>
          <w:p>
            <w:pPr>
              <w:pStyle w:val="Compact"/>
              <w:jc w:val="left"/>
            </w:pPr>
            <w:r>
              <w:t xml:space="preserve">SCR1</w:t>
            </w:r>
          </w:p>
        </w:tc>
        <w:tc>
          <w:tcPr/>
          <w:p>
            <w:pPr>
              <w:pStyle w:val="Compact"/>
              <w:jc w:val="left"/>
            </w:pPr>
            <w:r>
              <w:t xml:space="preserve">Trong 3 tháng gần đây… qua ít nhất 2 kênh khác nhau không? / </w:t>
            </w:r>
            <w:r>
              <w:rPr>
                <w:iCs/>
                <w:i/>
              </w:rPr>
              <w:t xml:space="preserve">…through at least 2 different channels?</w:t>
            </w:r>
          </w:p>
        </w:tc>
        <w:tc>
          <w:tcPr/>
          <w:p>
            <w:pPr>
              <w:pStyle w:val="Compact"/>
              <w:jc w:val="left"/>
            </w:pPr>
            <w:r>
              <w:t xml:space="preserve">1 = Có; 0 = Không</w:t>
            </w:r>
          </w:p>
        </w:tc>
        <w:tc>
          <w:tcPr/>
          <w:p>
            <w:pPr>
              <w:pStyle w:val="Compact"/>
              <w:jc w:val="left"/>
            </w:pPr>
            <w:r>
              <w:t xml:space="preserve">Keep only 1. This is the operational definition of “omnichannel consumer” for the sampling frame.</w:t>
            </w:r>
          </w:p>
        </w:tc>
      </w:tr>
    </w:tbl>
    <w:bookmarkEnd w:id="24"/>
    <w:bookmarkStart w:id="25" w:name="Xc57872a8d46d2662587df721d200044e9e067f4"/>
    <w:p>
      <w:pPr>
        <w:pStyle w:val="Heading2"/>
      </w:pPr>
      <w:r>
        <w:t xml:space="preserve">4.3 Experimental design variables (Embedded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Type</w:t>
            </w:r>
          </w:p>
        </w:tc>
        <w:tc>
          <w:tcPr/>
          <w:p>
            <w:pPr>
              <w:pStyle w:val="Compact"/>
              <w:jc w:val="left"/>
            </w:pPr>
            <w:r>
              <w:rPr>
                <w:bCs/>
                <w:b/>
              </w:rPr>
              <w:t xml:space="preserve">Values</w:t>
            </w:r>
          </w:p>
        </w:tc>
        <w:tc>
          <w:tcPr/>
          <w:p>
            <w:pPr>
              <w:pStyle w:val="Compact"/>
              <w:jc w:val="left"/>
            </w:pPr>
            <w:r>
              <w:rPr>
                <w:bCs/>
                <w:b/>
              </w:rPr>
              <w:t xml:space="preserve">Role in analysis</w:t>
            </w:r>
          </w:p>
        </w:tc>
      </w:tr>
      <w:tr>
        <w:tc>
          <w:tcPr/>
          <w:p>
            <w:pPr>
              <w:pStyle w:val="Compact"/>
              <w:jc w:val="left"/>
            </w:pPr>
            <w:r>
              <w:t xml:space="preserve">AIP_COND</w:t>
            </w:r>
          </w:p>
        </w:tc>
        <w:tc>
          <w:tcPr/>
          <w:p>
            <w:pPr>
              <w:pStyle w:val="Compact"/>
              <w:jc w:val="left"/>
            </w:pPr>
            <w:r>
              <w:t xml:space="preserve">numeric</w:t>
            </w:r>
          </w:p>
        </w:tc>
        <w:tc>
          <w:tcPr/>
          <w:p>
            <w:pPr>
              <w:pStyle w:val="Compact"/>
              <w:jc w:val="left"/>
            </w:pPr>
            <w:r>
              <w:t xml:space="preserve">0 = Low AIP, 1 = High AIP</w:t>
            </w:r>
          </w:p>
        </w:tc>
        <w:tc>
          <w:tcPr/>
          <w:p>
            <w:pPr>
              <w:pStyle w:val="Compact"/>
              <w:jc w:val="left"/>
            </w:pPr>
            <w:r>
              <w:t xml:space="preserve">Between-subjects factor. ANOVA factor (H1/H2 experimental replication). Not a latent construct.</w:t>
            </w:r>
          </w:p>
        </w:tc>
      </w:tr>
      <w:tr>
        <w:tc>
          <w:tcPr/>
          <w:p>
            <w:pPr>
              <w:pStyle w:val="Compact"/>
              <w:jc w:val="left"/>
            </w:pPr>
            <w:r>
              <w:t xml:space="preserve">DISC_COND</w:t>
            </w:r>
          </w:p>
        </w:tc>
        <w:tc>
          <w:tcPr/>
          <w:p>
            <w:pPr>
              <w:pStyle w:val="Compact"/>
              <w:jc w:val="left"/>
            </w:pPr>
            <w:r>
              <w:t xml:space="preserve">numeric</w:t>
            </w:r>
          </w:p>
        </w:tc>
        <w:tc>
          <w:tcPr/>
          <w:p>
            <w:pPr>
              <w:pStyle w:val="Compact"/>
              <w:jc w:val="left"/>
            </w:pPr>
            <w:r>
              <w:t xml:space="preserve">0 = No Disclosure, 1 = With Disclosure</w:t>
            </w:r>
          </w:p>
        </w:tc>
        <w:tc>
          <w:tcPr/>
          <w:p>
            <w:pPr>
              <w:pStyle w:val="Compact"/>
              <w:jc w:val="left"/>
            </w:pPr>
            <w:r>
              <w:rPr>
                <w:bCs/>
                <w:b/>
              </w:rPr>
              <w:t xml:space="preserve">The DISC variable.</w:t>
            </w:r>
            <w:r>
              <w:t xml:space="preserve"> ANOVA factor — sole confirmatory test of H3. Observed dummy predictor in the SEM (DISC → INT specification term). </w:t>
            </w:r>
            <w:r>
              <w:rPr>
                <w:bCs/>
                <w:b/>
              </w:rPr>
              <w:t xml:space="preserve">Moderator in H7b</w:t>
            </w:r>
            <w:r>
              <w:t xml:space="preserve"> via INT_x_DISC.</w:t>
            </w:r>
          </w:p>
        </w:tc>
      </w:tr>
      <w:tr>
        <w:tc>
          <w:tcPr/>
          <w:p>
            <w:pPr>
              <w:pStyle w:val="Compact"/>
              <w:jc w:val="left"/>
            </w:pPr>
            <w:r>
              <w:t xml:space="preserve">CELL</w:t>
            </w:r>
          </w:p>
        </w:tc>
        <w:tc>
          <w:tcPr/>
          <w:p>
            <w:pPr>
              <w:pStyle w:val="Compact"/>
              <w:jc w:val="left"/>
            </w:pPr>
            <w:r>
              <w:t xml:space="preserve">numeric</w:t>
            </w:r>
          </w:p>
        </w:tc>
        <w:tc>
          <w:tcPr/>
          <w:p>
            <w:pPr>
              <w:pStyle w:val="Compact"/>
              <w:jc w:val="left"/>
            </w:pPr>
            <w:r>
              <w:t xml:space="preserve">1 = (0,0), 2 = (0,1), 3 = (1,0), 4 = (1,1)</w:t>
            </w:r>
          </w:p>
        </w:tc>
        <w:tc>
          <w:tcPr/>
          <w:p>
            <w:pPr>
              <w:pStyle w:val="Compact"/>
              <w:jc w:val="left"/>
            </w:pPr>
            <w:r>
              <w:t xml:space="preserve">Redundant cross-check on Survey-Flow integrity only. Never analysed as a variable in its own right; disagreement with AIP_COND × DISC_COND raises flag_cell_mismatch.</w:t>
            </w:r>
          </w:p>
        </w:tc>
      </w:tr>
    </w:tbl>
    <w:p>
      <w:pPr>
        <w:pStyle w:val="BodyText"/>
      </w:pPr>
      <w:r>
        <w:rPr>
          <w:bCs/>
          <w:b/>
        </w:rPr>
        <w:t xml:space="preserve">Governance rule 4 (TF v2.4).</w:t>
      </w:r>
      <w:r>
        <w:t xml:space="preserve"> DISC is </w:t>
      </w:r>
      <w:r>
        <w:rPr>
          <w:iCs/>
          <w:i/>
        </w:rPr>
        <w:t xml:space="preserve">never</w:t>
      </w:r>
      <w:r>
        <w:t xml:space="preserve"> a Likert or reflective construct. It has no items, no loadings, no α, no AVE, no CR, and no HTMT row. Any measurement-model table containing a DISC row is a structural error. There is no DISC1 / DISC2 column and none may be created.</w:t>
      </w:r>
    </w:p>
    <w:bookmarkEnd w:id="25"/>
    <w:bookmarkStart w:id="26" w:name="comprehension-checks-cc_gate"/>
    <w:p>
      <w:pPr>
        <w:pStyle w:val="Heading2"/>
      </w:pPr>
      <w:r>
        <w:t xml:space="preserve">4.4 Comprehension checks (CC_Gate)</w:t>
      </w:r>
    </w:p>
    <w:p>
      <w:pPr>
        <w:pStyle w:val="FirstParagraph"/>
      </w:pPr>
      <w:r>
        <w:t xml:space="preserve">Correct answer is conditional on the assigned cell. Failures are hard drops in 01_clean.py (the instrument terminates on failure, so surviving rows with wrong answers indicate a flow anomaly).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Item (VI / EN)</w:t>
            </w:r>
          </w:p>
        </w:tc>
        <w:tc>
          <w:tcPr/>
          <w:p>
            <w:pPr>
              <w:pStyle w:val="Compact"/>
              <w:jc w:val="left"/>
            </w:pPr>
            <w:r>
              <w:rPr>
                <w:bCs/>
                <w:b/>
              </w:rPr>
              <w:t xml:space="preserve">Options</w:t>
            </w:r>
          </w:p>
        </w:tc>
        <w:tc>
          <w:tcPr/>
          <w:p>
            <w:pPr>
              <w:pStyle w:val="Compact"/>
              <w:jc w:val="left"/>
            </w:pPr>
            <w:r>
              <w:rPr>
                <w:bCs/>
                <w:b/>
              </w:rPr>
              <w:t xml:space="preserve">Correct answer</w:t>
            </w:r>
          </w:p>
        </w:tc>
      </w:tr>
      <w:tr>
        <w:tc>
          <w:tcPr/>
          <w:p>
            <w:pPr>
              <w:pStyle w:val="Compact"/>
              <w:jc w:val="left"/>
            </w:pPr>
            <w:r>
              <w:t xml:space="preserve">CC1</w:t>
            </w:r>
          </w:p>
        </w:tc>
        <w:tc>
          <w:tcPr/>
          <w:p>
            <w:pPr>
              <w:pStyle w:val="Compact"/>
              <w:jc w:val="left"/>
            </w:pPr>
            <w:r>
              <w:t xml:space="preserve">Danh sách sản phẩm được hiển thị theo cách nào? / </w:t>
            </w:r>
            <w:r>
              <w:rPr>
                <w:iCs/>
                <w:i/>
              </w:rPr>
              <w:t xml:space="preserve">How was the product list displayed?</w:t>
            </w:r>
          </w:p>
        </w:tc>
        <w:tc>
          <w:tcPr/>
          <w:p>
            <w:pPr>
              <w:pStyle w:val="Compact"/>
              <w:jc w:val="left"/>
            </w:pPr>
            <w:r>
              <w:t xml:space="preserve">1 = bán chạy toàn nền tảng; 2 = chọn riêng cho tôi; 3 = không nhớ</w:t>
            </w:r>
          </w:p>
        </w:tc>
        <w:tc>
          <w:tcPr/>
          <w:p>
            <w:pPr>
              <w:pStyle w:val="Compact"/>
              <w:jc w:val="left"/>
            </w:pPr>
            <w:r>
              <w:t xml:space="preserve">AIP_COND = 0 → </w:t>
            </w:r>
            <w:r>
              <w:rPr>
                <w:bCs/>
                <w:b/>
              </w:rPr>
              <w:t xml:space="preserve">1</w:t>
            </w:r>
            <w:r>
              <w:t xml:space="preserve">; AIP_COND = 1 → </w:t>
            </w:r>
            <w:r>
              <w:rPr>
                <w:bCs/>
                <w:b/>
              </w:rPr>
              <w:t xml:space="preserve">2</w:t>
            </w:r>
          </w:p>
        </w:tc>
      </w:tr>
      <w:tr>
        <w:tc>
          <w:tcPr/>
          <w:p>
            <w:pPr>
              <w:pStyle w:val="Compact"/>
              <w:jc w:val="left"/>
            </w:pPr>
            <w:r>
              <w:t xml:space="preserve">CC2</w:t>
            </w:r>
          </w:p>
        </w:tc>
        <w:tc>
          <w:tcPr/>
          <w:p>
            <w:pPr>
              <w:pStyle w:val="Compact"/>
              <w:jc w:val="left"/>
            </w:pPr>
            <w:r>
              <w:t xml:space="preserve">ShopWave có hiển thị thông báo về quyền riêng tư không? / </w:t>
            </w:r>
            <w:r>
              <w:rPr>
                <w:iCs/>
                <w:i/>
              </w:rPr>
              <w:t xml:space="preserve">Did ShopWave display a privacy notice?</w:t>
            </w:r>
          </w:p>
        </w:tc>
        <w:tc>
          <w:tcPr/>
          <w:p>
            <w:pPr>
              <w:pStyle w:val="Compact"/>
              <w:jc w:val="left"/>
            </w:pPr>
            <w:r>
              <w:t xml:space="preserve">1 = Có; 2 = Không; 3 = không nhớ</w:t>
            </w:r>
          </w:p>
        </w:tc>
        <w:tc>
          <w:tcPr/>
          <w:p>
            <w:pPr>
              <w:pStyle w:val="Compact"/>
              <w:jc w:val="left"/>
            </w:pPr>
            <w:r>
              <w:t xml:space="preserve">DISC_COND = 1 → </w:t>
            </w:r>
            <w:r>
              <w:rPr>
                <w:bCs/>
                <w:b/>
              </w:rPr>
              <w:t xml:space="preserve">1</w:t>
            </w:r>
            <w:r>
              <w:t xml:space="preserve">; DISC_COND = 0 → </w:t>
            </w:r>
            <w:r>
              <w:rPr>
                <w:bCs/>
                <w:b/>
              </w:rPr>
              <w:t xml:space="preserve">2</w:t>
            </w:r>
          </w:p>
        </w:tc>
      </w:tr>
    </w:tbl>
    <w:bookmarkEnd w:id="26"/>
    <w:bookmarkStart w:id="27" w:name="attention-checks"/>
    <w:p>
      <w:pPr>
        <w:pStyle w:val="Heading2"/>
      </w:pPr>
      <w:r>
        <w:t xml:space="preserve">4.5 Attention checks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Item</w:t>
            </w:r>
          </w:p>
        </w:tc>
        <w:tc>
          <w:tcPr/>
          <w:p>
            <w:pPr>
              <w:pStyle w:val="Compact"/>
              <w:jc w:val="left"/>
            </w:pPr>
            <w:r>
              <w:rPr>
                <w:bCs/>
                <w:b/>
              </w:rPr>
              <w:t xml:space="preserve">Correct</w:t>
            </w:r>
          </w:p>
        </w:tc>
        <w:tc>
          <w:tcPr/>
          <w:p>
            <w:pPr>
              <w:pStyle w:val="Compact"/>
              <w:jc w:val="left"/>
            </w:pPr>
            <w:r>
              <w:rPr>
                <w:bCs/>
                <w:b/>
              </w:rPr>
              <w:t xml:space="preserve">Rule</w:t>
            </w:r>
          </w:p>
        </w:tc>
      </w:tr>
      <w:tr>
        <w:tc>
          <w:tcPr/>
          <w:p>
            <w:pPr>
              <w:pStyle w:val="Compact"/>
              <w:jc w:val="left"/>
            </w:pPr>
            <w:r>
              <w:t xml:space="preserve">ATT1</w:t>
            </w:r>
          </w:p>
        </w:tc>
        <w:tc>
          <w:tcPr/>
          <w:p>
            <w:pPr>
              <w:pStyle w:val="Compact"/>
              <w:jc w:val="left"/>
            </w:pPr>
            <w:r>
              <w:t xml:space="preserve">Instructed-response item, placed after the INT block</w:t>
            </w:r>
          </w:p>
        </w:tc>
        <w:tc>
          <w:tcPr/>
          <w:p>
            <w:pPr>
              <w:pStyle w:val="Compact"/>
              <w:jc w:val="left"/>
            </w:pPr>
            <w:r>
              <w:rPr>
                <w:bCs/>
                <w:b/>
              </w:rPr>
              <w:t xml:space="preserve">5</w:t>
            </w:r>
          </w:p>
        </w:tc>
        <w:tc>
          <w:tcPr/>
          <w:p>
            <w:pPr>
              <w:pStyle w:val="Compact"/>
              <w:jc w:val="left"/>
            </w:pPr>
            <w:r>
              <w:t xml:space="preserve">Hard drop if ≠ 5</w:t>
            </w:r>
          </w:p>
        </w:tc>
      </w:tr>
      <w:tr>
        <w:tc>
          <w:tcPr/>
          <w:p>
            <w:pPr>
              <w:pStyle w:val="Compact"/>
              <w:jc w:val="left"/>
            </w:pPr>
            <w:r>
              <w:t xml:space="preserve">ATT2</w:t>
            </w:r>
          </w:p>
        </w:tc>
        <w:tc>
          <w:tcPr/>
          <w:p>
            <w:pPr>
              <w:pStyle w:val="Compact"/>
              <w:jc w:val="left"/>
            </w:pPr>
            <w:r>
              <w:t xml:space="preserve">Instructed-response item, placed after the ENG block</w:t>
            </w:r>
          </w:p>
        </w:tc>
        <w:tc>
          <w:tcPr/>
          <w:p>
            <w:pPr>
              <w:pStyle w:val="Compact"/>
              <w:jc w:val="left"/>
            </w:pPr>
            <w:r>
              <w:rPr>
                <w:bCs/>
                <w:b/>
              </w:rPr>
              <w:t xml:space="preserve">2</w:t>
            </w:r>
          </w:p>
        </w:tc>
        <w:tc>
          <w:tcPr/>
          <w:p>
            <w:pPr>
              <w:pStyle w:val="Compact"/>
              <w:jc w:val="left"/>
            </w:pPr>
            <w:r>
              <w:t xml:space="preserve">Hard drop if ≠ 2</w:t>
            </w:r>
          </w:p>
        </w:tc>
      </w:tr>
    </w:tbl>
    <w:p>
      <w:pPr>
        <w:pStyle w:val="BodyText"/>
      </w:pPr>
      <w:r>
        <w:t xml:space="preserve">Both are 7-point Likert-formatted and parsed by the same loader path as the substantive items. Neither enters any construct.</w:t>
      </w:r>
    </w:p>
    <w:bookmarkEnd w:id="27"/>
    <w:bookmarkStart w:id="28" w:name="manipulation-checks"/>
    <w:p>
      <w:pPr>
        <w:pStyle w:val="Heading2"/>
      </w:pPr>
      <w:r>
        <w:t xml:space="preserve">4.6 Manipulation checks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Variable</w:t>
            </w:r>
          </w:p>
        </w:tc>
        <w:tc>
          <w:tcPr/>
          <w:p>
            <w:pPr>
              <w:pStyle w:val="Compact"/>
              <w:jc w:val="left"/>
            </w:pPr>
            <w:r>
              <w:rPr>
                <w:bCs/>
                <w:b/>
              </w:rPr>
              <w:t xml:space="preserve">Item (VI / EN)</w:t>
            </w:r>
          </w:p>
        </w:tc>
        <w:tc>
          <w:tcPr/>
          <w:p>
            <w:pPr>
              <w:pStyle w:val="Compact"/>
              <w:jc w:val="left"/>
            </w:pPr>
            <w:r>
              <w:rPr>
                <w:bCs/>
                <w:b/>
              </w:rPr>
              <w:t xml:space="preserve">Scale</w:t>
            </w:r>
          </w:p>
        </w:tc>
        <w:tc>
          <w:tcPr/>
          <w:p>
            <w:pPr>
              <w:pStyle w:val="Compact"/>
              <w:jc w:val="left"/>
            </w:pPr>
            <w:r>
              <w:rPr>
                <w:bCs/>
                <w:b/>
              </w:rPr>
              <w:t xml:space="preserve">Test</w:t>
            </w:r>
          </w:p>
        </w:tc>
      </w:tr>
      <w:tr>
        <w:tc>
          <w:tcPr/>
          <w:p>
            <w:pPr>
              <w:pStyle w:val="Compact"/>
              <w:jc w:val="left"/>
            </w:pPr>
            <w:r>
              <w:t xml:space="preserve">MC_AIP</w:t>
            </w:r>
          </w:p>
        </w:tc>
        <w:tc>
          <w:tcPr/>
          <w:p>
            <w:pPr>
              <w:pStyle w:val="Compact"/>
              <w:jc w:val="left"/>
            </w:pPr>
            <w:r>
              <w:t xml:space="preserve">Tôi cảm thấy danh sách sản phẩm mà mình nhìn thấy đã được cá nhân hóa theo sở thích của riêng tôi. / </w:t>
            </w:r>
            <w:r>
              <w:rPr>
                <w:iCs/>
                <w:i/>
              </w:rPr>
              <w:t xml:space="preserve">I feel that the product list I saw was personalized according to my own preferences.</w:t>
            </w:r>
          </w:p>
        </w:tc>
        <w:tc>
          <w:tcPr/>
          <w:p>
            <w:pPr>
              <w:pStyle w:val="Compact"/>
              <w:jc w:val="left"/>
            </w:pPr>
            <w:r>
              <w:t xml:space="preserve">7-point Likert</w:t>
            </w:r>
          </w:p>
        </w:tc>
        <w:tc>
          <w:tcPr/>
          <w:p>
            <w:pPr>
              <w:pStyle w:val="Compact"/>
              <w:jc w:val="left"/>
            </w:pPr>
            <w:r>
              <w:t xml:space="preserve">Independent-samples </w:t>
            </w:r>
            <w:r>
              <w:rPr>
                <w:iCs/>
                <w:i/>
              </w:rPr>
              <w:t xml:space="preserve">t</w:t>
            </w:r>
            <w:r>
              <w:t xml:space="preserve">-test across AIP_COND. </w:t>
            </w:r>
            <w:r>
              <w:rPr>
                <w:bCs/>
                <w:b/>
              </w:rPr>
              <w:t xml:space="preserve">Gate: │d│ ≥ 0.50.</w:t>
            </w:r>
          </w:p>
        </w:tc>
      </w:tr>
      <w:tr>
        <w:tc>
          <w:tcPr/>
          <w:p>
            <w:pPr>
              <w:pStyle w:val="Compact"/>
              <w:jc w:val="left"/>
            </w:pPr>
            <w:r>
              <w:t xml:space="preserve">MC_DISC</w:t>
            </w:r>
          </w:p>
        </w:tc>
        <w:tc>
          <w:tcPr/>
          <w:p>
            <w:pPr>
              <w:pStyle w:val="Compact"/>
              <w:jc w:val="left"/>
            </w:pPr>
            <w:r>
              <w:t xml:space="preserve">Tôi nhận thấy nền tảng này đã cung cấp thông báo về quyền riêng tư trước khi tôi tiếp tục duyệt xem. / </w:t>
            </w:r>
            <w:r>
              <w:rPr>
                <w:iCs/>
                <w:i/>
              </w:rPr>
              <w:t xml:space="preserve">I noticed that the platform provided a privacy notice before I continued browsing.</w:t>
            </w:r>
          </w:p>
        </w:tc>
        <w:tc>
          <w:tcPr/>
          <w:p>
            <w:pPr>
              <w:pStyle w:val="Compact"/>
              <w:jc w:val="left"/>
            </w:pPr>
            <w:r>
              <w:t xml:space="preserve">7-point Likert</w:t>
            </w:r>
          </w:p>
        </w:tc>
        <w:tc>
          <w:tcPr/>
          <w:p>
            <w:pPr>
              <w:pStyle w:val="Compact"/>
              <w:jc w:val="left"/>
            </w:pPr>
            <w:r>
              <w:t xml:space="preserve">Independent-samples </w:t>
            </w:r>
            <w:r>
              <w:rPr>
                <w:iCs/>
                <w:i/>
              </w:rPr>
              <w:t xml:space="preserve">t</w:t>
            </w:r>
            <w:r>
              <w:t xml:space="preserve">-test across DISC_COND. </w:t>
            </w:r>
            <w:r>
              <w:rPr>
                <w:bCs/>
                <w:b/>
              </w:rPr>
              <w:t xml:space="preserve">Gate: │d│ ≥ 0.50.</w:t>
            </w:r>
            <w:r>
              <w:t xml:space="preserve"> Pilot result: d = 1.412 — clears.</w:t>
            </w:r>
          </w:p>
        </w:tc>
      </w:tr>
    </w:tbl>
    <w:p>
      <w:pPr>
        <w:pStyle w:val="BodyText"/>
      </w:pPr>
      <w:r>
        <w:t xml:space="preserve">Column names are MC_AIP and MC_DISC, </w:t>
      </w:r>
      <w:r>
        <w:rPr>
          <w:bCs/>
          <w:b/>
        </w:rPr>
        <w:t xml:space="preserve">not</w:t>
      </w:r>
      <w:r>
        <w:t xml:space="preserve"> MC1 / MC2. Manipulation-check items never enter the measurement model.</w:t>
      </w:r>
    </w:p>
    <w:bookmarkEnd w:id="28"/>
    <w:bookmarkStart w:id="36" w:name="measurement-items"/>
    <w:p>
      <w:pPr>
        <w:pStyle w:val="Heading2"/>
      </w:pPr>
      <w:r>
        <w:t xml:space="preserve">4.7 Measurement items</w:t>
      </w:r>
    </w:p>
    <w:p>
      <w:pPr>
        <w:pStyle w:val="FirstParagraph"/>
      </w:pPr>
      <w:r>
        <w:t xml:space="preserve">All 34 items (AIP 5, REL 4, INT 5, TRU 6, ENG 6, PI 4, PDPL 4 — updated from the prior 33-item count following the AIP/REL/PI correction pass) use an identical 7-point agreement scale, exported as choice text and parsed to integers 1–7 by _qualtrics_io.parse_likert_text():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Code</w:t>
            </w:r>
          </w:p>
        </w:tc>
        <w:tc>
          <w:tcPr/>
          <w:p>
            <w:pPr>
              <w:pStyle w:val="Compact"/>
              <w:jc w:val="left"/>
            </w:pPr>
            <w:r>
              <w:rPr>
                <w:bCs/>
                <w:b/>
              </w:rPr>
              <w:t xml:space="preserve">Anchor (VI)</w:t>
            </w:r>
          </w:p>
        </w:tc>
        <w:tc>
          <w:tcPr/>
          <w:p>
            <w:pPr>
              <w:pStyle w:val="Compact"/>
              <w:jc w:val="left"/>
            </w:pPr>
            <w:r>
              <w:rPr>
                <w:bCs/>
                <w:b/>
              </w:rPr>
              <w:t xml:space="preserve">Anchor (EN)</w:t>
            </w:r>
          </w:p>
        </w:tc>
      </w:tr>
      <w:tr>
        <w:tc>
          <w:tcPr/>
          <w:p>
            <w:pPr>
              <w:pStyle w:val="Compact"/>
              <w:jc w:val="left"/>
            </w:pPr>
            <w:r>
              <w:t xml:space="preserve">1</w:t>
            </w:r>
          </w:p>
        </w:tc>
        <w:tc>
          <w:tcPr/>
          <w:p>
            <w:pPr>
              <w:pStyle w:val="Compact"/>
              <w:jc w:val="left"/>
            </w:pPr>
            <w:r>
              <w:t xml:space="preserve">Hoàn toàn không đồng ý</w:t>
            </w:r>
          </w:p>
        </w:tc>
        <w:tc>
          <w:tcPr/>
          <w:p>
            <w:pPr>
              <w:pStyle w:val="Compact"/>
              <w:jc w:val="left"/>
            </w:pPr>
            <w:r>
              <w:t xml:space="preserve">Strongly disagree</w:t>
            </w:r>
          </w:p>
        </w:tc>
      </w:tr>
      <w:tr>
        <w:tc>
          <w:tcPr/>
          <w:p>
            <w:pPr>
              <w:pStyle w:val="Compact"/>
              <w:jc w:val="left"/>
            </w:pPr>
            <w:r>
              <w:t xml:space="preserve">2</w:t>
            </w:r>
          </w:p>
        </w:tc>
        <w:tc>
          <w:tcPr/>
          <w:p>
            <w:pPr>
              <w:pStyle w:val="Compact"/>
              <w:jc w:val="left"/>
            </w:pPr>
            <w:r>
              <w:t xml:space="preserve">Không đồng ý</w:t>
            </w:r>
          </w:p>
        </w:tc>
        <w:tc>
          <w:tcPr/>
          <w:p>
            <w:pPr>
              <w:pStyle w:val="Compact"/>
              <w:jc w:val="left"/>
            </w:pPr>
            <w:r>
              <w:t xml:space="preserve">Disagree</w:t>
            </w:r>
          </w:p>
        </w:tc>
      </w:tr>
      <w:tr>
        <w:tc>
          <w:tcPr/>
          <w:p>
            <w:pPr>
              <w:pStyle w:val="Compact"/>
              <w:jc w:val="left"/>
            </w:pPr>
            <w:r>
              <w:t xml:space="preserve">3</w:t>
            </w:r>
          </w:p>
        </w:tc>
        <w:tc>
          <w:tcPr/>
          <w:p>
            <w:pPr>
              <w:pStyle w:val="Compact"/>
              <w:jc w:val="left"/>
            </w:pPr>
            <w:r>
              <w:t xml:space="preserve">Không đồng ý một phần</w:t>
            </w:r>
          </w:p>
        </w:tc>
        <w:tc>
          <w:tcPr/>
          <w:p>
            <w:pPr>
              <w:pStyle w:val="Compact"/>
              <w:jc w:val="left"/>
            </w:pPr>
            <w:r>
              <w:t xml:space="preserve">Partly disagree</w:t>
            </w:r>
          </w:p>
        </w:tc>
      </w:tr>
      <w:tr>
        <w:tc>
          <w:tcPr/>
          <w:p>
            <w:pPr>
              <w:pStyle w:val="Compact"/>
              <w:jc w:val="left"/>
            </w:pPr>
            <w:r>
              <w:t xml:space="preserve">4</w:t>
            </w:r>
          </w:p>
        </w:tc>
        <w:tc>
          <w:tcPr/>
          <w:p>
            <w:pPr>
              <w:pStyle w:val="Compact"/>
              <w:jc w:val="left"/>
            </w:pPr>
            <w:r>
              <w:t xml:space="preserve">Trung lập</w:t>
            </w:r>
          </w:p>
        </w:tc>
        <w:tc>
          <w:tcPr/>
          <w:p>
            <w:pPr>
              <w:pStyle w:val="Compact"/>
              <w:jc w:val="left"/>
            </w:pPr>
            <w:r>
              <w:t xml:space="preserve">Neutral</w:t>
            </w:r>
          </w:p>
        </w:tc>
      </w:tr>
      <w:tr>
        <w:tc>
          <w:tcPr/>
          <w:p>
            <w:pPr>
              <w:pStyle w:val="Compact"/>
              <w:jc w:val="left"/>
            </w:pPr>
            <w:r>
              <w:t xml:space="preserve">5</w:t>
            </w:r>
          </w:p>
        </w:tc>
        <w:tc>
          <w:tcPr/>
          <w:p>
            <w:pPr>
              <w:pStyle w:val="Compact"/>
              <w:jc w:val="left"/>
            </w:pPr>
            <w:r>
              <w:t xml:space="preserve">Đồng ý một phần</w:t>
            </w:r>
          </w:p>
        </w:tc>
        <w:tc>
          <w:tcPr/>
          <w:p>
            <w:pPr>
              <w:pStyle w:val="Compact"/>
              <w:jc w:val="left"/>
            </w:pPr>
            <w:r>
              <w:t xml:space="preserve">Partly agree</w:t>
            </w:r>
          </w:p>
        </w:tc>
      </w:tr>
      <w:tr>
        <w:tc>
          <w:tcPr/>
          <w:p>
            <w:pPr>
              <w:pStyle w:val="Compact"/>
              <w:jc w:val="left"/>
            </w:pPr>
            <w:r>
              <w:t xml:space="preserve">6</w:t>
            </w:r>
          </w:p>
        </w:tc>
        <w:tc>
          <w:tcPr/>
          <w:p>
            <w:pPr>
              <w:pStyle w:val="Compact"/>
              <w:jc w:val="left"/>
            </w:pPr>
            <w:r>
              <w:t xml:space="preserve">Đồng ý</w:t>
            </w:r>
          </w:p>
        </w:tc>
        <w:tc>
          <w:tcPr/>
          <w:p>
            <w:pPr>
              <w:pStyle w:val="Compact"/>
              <w:jc w:val="left"/>
            </w:pPr>
            <w:r>
              <w:t xml:space="preserve">Agree</w:t>
            </w:r>
          </w:p>
        </w:tc>
      </w:tr>
      <w:tr>
        <w:tc>
          <w:tcPr/>
          <w:p>
            <w:pPr>
              <w:pStyle w:val="Compact"/>
              <w:jc w:val="left"/>
            </w:pPr>
            <w:r>
              <w:t xml:space="preserve">7</w:t>
            </w:r>
          </w:p>
        </w:tc>
        <w:tc>
          <w:tcPr/>
          <w:p>
            <w:pPr>
              <w:pStyle w:val="Compact"/>
              <w:jc w:val="left"/>
            </w:pPr>
            <w:r>
              <w:t xml:space="preserve">Hoàn toàn đồng ý</w:t>
            </w:r>
          </w:p>
        </w:tc>
        <w:tc>
          <w:tcPr/>
          <w:p>
            <w:pPr>
              <w:pStyle w:val="Compact"/>
              <w:jc w:val="left"/>
            </w:pPr>
            <w:r>
              <w:t xml:space="preserve">Strongly agree</w:t>
            </w:r>
          </w:p>
        </w:tc>
      </w:tr>
    </w:tbl>
    <w:p>
      <w:pPr>
        <w:pStyle w:val="BodyText"/>
      </w:pPr>
      <w:r>
        <w:t xml:space="preserve">No item is reverse-coded. Missing = system missing (NaN); there is no user-missing code on the item battery.</w:t>
      </w:r>
    </w:p>
    <w:bookmarkStart w:id="29" w:name="Xfa609727b385e4858395391ff215d5ddaabffdb"/>
    <w:p>
      <w:pPr>
        <w:pStyle w:val="Heading3"/>
      </w:pPr>
      <w:r>
        <w:t xml:space="preserve">AIP — AI Personalization Intensity (5 items, all analysed)</w:t>
      </w:r>
    </w:p>
    <w:p>
      <w:pPr>
        <w:pStyle w:val="BodyText"/>
      </w:pPr>
      <w:r>
        <w:t xml:space="preserve">Block M_AIP. </w:t>
      </w:r>
      <w:r>
        <w:rPr>
          <w:bCs/>
          <w:b/>
        </w:rPr>
        <w:t xml:space="preserve">RETRACTED SOURCE:</w:t>
      </w:r>
      <w:r>
        <w:t xml:space="preserve"> the previous attribution to Awad &amp; Krishnan (2006) was checked against that paper's actual instrument and found not to contain matching items; this citation is retracted, not superseded. </w:t>
      </w:r>
      <w:r>
        <w:rPr>
          <w:bCs/>
          <w:b/>
        </w:rPr>
        <w:t xml:space="preserve">Current sourcing (verified item-level, PDF-checked):</w:t>
      </w:r>
      <w:r>
        <w:t xml:space="preserve"> AIP1–AIP3 adapted from Yin, Qiu &amp; Wang (2025), Journal of Theoretical and Applied Electronic Commerce Research (JTAER) 20(1), Art. 21, "Insightful Experience (IS)" dimension, items IS3/IS4/IS6 of the final CFA-confirmed scale (Table A3). AIP4–AIP5 adapted from Rahman, Carlson, Gudergan, Wetzels &amp; Grewal (2022), Journal of Retailing, 98(4), "Personalization (PERS)" dimension. Anchor: the ShopWave platform. Wording is deliberately mechanism-facing (data-analysis capability, cross-channel consistency), avoiding relevance/fit vocabulary ("relevant," "matches," "fits," "suitable") reserved for REL, per faculty guidance.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r>
      <w:tr>
        <w:tc>
          <w:tcPr/>
          <w:p>
            <w:pPr>
              <w:pStyle w:val="Compact"/>
              <w:jc w:val="left"/>
            </w:pPr>
            <w:r>
              <w:t xml:space="preserve">AIP1</w:t>
            </w:r>
          </w:p>
        </w:tc>
        <w:tc>
          <w:tcPr/>
          <w:p>
            <w:pPr>
              <w:pStyle w:val="Compact"/>
              <w:jc w:val="left"/>
            </w:pPr>
            <w:r>
              <w:t xml:space="preserve">ShopWave có khả năng phân tích mức chi tiêu của tôi.</w:t>
            </w:r>
          </w:p>
        </w:tc>
        <w:tc>
          <w:tcPr/>
          <w:p>
            <w:pPr>
              <w:pStyle w:val="Compact"/>
              <w:jc w:val="left"/>
            </w:pPr>
            <w:r>
              <w:t xml:space="preserve">ShopWave can analyze my consumption level.</w:t>
            </w:r>
          </w:p>
        </w:tc>
      </w:tr>
      <w:tr>
        <w:tc>
          <w:tcPr/>
          <w:p>
            <w:pPr>
              <w:pStyle w:val="Compact"/>
              <w:jc w:val="left"/>
            </w:pPr>
            <w:r>
              <w:t xml:space="preserve">AIP2</w:t>
            </w:r>
          </w:p>
        </w:tc>
        <w:tc>
          <w:tcPr/>
          <w:p>
            <w:pPr>
              <w:pStyle w:val="Compact"/>
              <w:jc w:val="left"/>
            </w:pPr>
            <w:r>
              <w:t xml:space="preserve">ShopWave có khả năng phân tích các đặc điểm cá nhân của tôi (ví dụ: giới tính, độ tuổi, phong cách yêu thích).</w:t>
            </w:r>
          </w:p>
        </w:tc>
        <w:tc>
          <w:tcPr/>
          <w:p>
            <w:pPr>
              <w:pStyle w:val="Compact"/>
              <w:jc w:val="left"/>
            </w:pPr>
            <w:r>
              <w:t xml:space="preserve">ShopWave can analyze my personal characteristics (e.g., gender, age group, preferred style).</w:t>
            </w:r>
          </w:p>
        </w:tc>
      </w:tr>
      <w:tr>
        <w:tc>
          <w:tcPr/>
          <w:p>
            <w:pPr>
              <w:pStyle w:val="Compact"/>
              <w:jc w:val="left"/>
            </w:pPr>
            <w:r>
              <w:t xml:space="preserve">AIP3</w:t>
            </w:r>
          </w:p>
        </w:tc>
        <w:tc>
          <w:tcPr/>
          <w:p>
            <w:pPr>
              <w:pStyle w:val="Compact"/>
              <w:jc w:val="left"/>
            </w:pPr>
            <w:r>
              <w:t xml:space="preserve">ShopWave có khả năng nhận diện thói quen mua sắm của tôi và gợi ý những sản phẩm tôi có thể quan tâm hoặc cần.</w:t>
            </w:r>
          </w:p>
        </w:tc>
        <w:tc>
          <w:tcPr/>
          <w:p>
            <w:pPr>
              <w:pStyle w:val="Compact"/>
              <w:jc w:val="left"/>
            </w:pPr>
            <w:r>
              <w:t xml:space="preserve">ShopWave is able to identify my shopping habits and suggest products I may be interested in or need.</w:t>
            </w:r>
          </w:p>
        </w:tc>
      </w:tr>
      <w:tr>
        <w:tc>
          <w:tcPr/>
          <w:p>
            <w:pPr>
              <w:pStyle w:val="Compact"/>
              <w:jc w:val="left"/>
            </w:pPr>
            <w:r>
              <w:t xml:space="preserve">AIP4</w:t>
            </w:r>
          </w:p>
        </w:tc>
        <w:tc>
          <w:tcPr/>
          <w:p>
            <w:pPr>
              <w:pStyle w:val="Compact"/>
              <w:jc w:val="left"/>
            </w:pPr>
            <w:r>
              <w:t xml:space="preserve">Dù tôi dùng kênh nào (ứng dụng hay website), ShopWave vẫn đưa ra gợi ý cho thấy cùng một sự hiểu biết về tôi.</w:t>
            </w:r>
          </w:p>
        </w:tc>
        <w:tc>
          <w:tcPr/>
          <w:p>
            <w:pPr>
              <w:pStyle w:val="Compact"/>
              <w:jc w:val="left"/>
            </w:pPr>
            <w:r>
              <w:t xml:space="preserve">Regardless of which channel I use (app or website), ShopWave gives me recommendations that reflect the same understanding of me.</w:t>
            </w:r>
          </w:p>
        </w:tc>
      </w:tr>
      <w:tr>
        <w:tc>
          <w:tcPr/>
          <w:p>
            <w:pPr>
              <w:pStyle w:val="Compact"/>
              <w:jc w:val="left"/>
            </w:pPr>
            <w:r>
              <w:t xml:space="preserve">AIP5</w:t>
            </w:r>
          </w:p>
        </w:tc>
        <w:tc>
          <w:tcPr/>
          <w:p>
            <w:pPr>
              <w:pStyle w:val="Compact"/>
              <w:jc w:val="left"/>
            </w:pPr>
            <w:r>
              <w:t xml:space="preserve">Dù tôi đang dùng kênh nào, các khuyến mãi và gợi ý của ShopWave vẫn thể hiện đúng hồ sơ cá nhân của tôi.</w:t>
            </w:r>
          </w:p>
        </w:tc>
        <w:tc>
          <w:tcPr/>
          <w:p>
            <w:pPr>
              <w:pStyle w:val="Compact"/>
              <w:jc w:val="left"/>
            </w:pPr>
            <w:r>
              <w:t xml:space="preserve">ShopWave's promotions and recommendations reflect my personal profile, regardless of which channel I am using.</w:t>
            </w:r>
          </w:p>
        </w:tc>
      </w:tr>
    </w:tbl>
    <w:p>
      <w:pPr>
        <w:pStyle w:val="BodyText"/>
      </w:pPr>
      <w:r>
        <w:rPr>
          <w:bCs/>
          <w:b/>
        </w:rPr>
        <w:t xml:space="preserve">Content-validity note.</w:t>
      </w:r>
      <w:r>
        <w:t xml:space="preserve"> AIP4 and AIP5 remain near-neighbours in content (both address cross-channel consistency). The former self-reference item ("...rather than treating me as a generic shopper," Tam &amp; Ho, 2006) has been removed entirely per faculty guidance, as it was flagged as the highest-risk item for AIP–REL overlap; AIP is now 5 items (previously 6). Pilot HTMT/EFA (n = 46) was computed on item wording that no longer matches AIP1–3 and should not be relied on for the current item set — a new pilot pass or expert content-validity review is recommended before main collection. The decisive test for this construct remains the AIP–REL HTMT pair (&lt; 0.85).</w:t>
      </w:r>
    </w:p>
    <w:p>
      <w:pPr>
        <w:pStyle w:val="Heading3"/>
      </w:pPr>
      <w:r>
        <w:t xml:space="preserve">REL — Perceived Relevance (4 items, all analysed)</w:t>
      </w:r>
    </w:p>
    <w:p>
      <w:pPr>
        <w:pStyle w:val="BodyText"/>
      </w:pPr>
      <w:r>
        <w:t xml:space="preserve">Block M_REL. </w:t>
      </w:r>
      <w:r>
        <w:rPr>
          <w:bCs/>
          <w:b/>
        </w:rPr>
        <w:t xml:space="preserve">RETRACTED SOURCE:</w:t>
      </w:r>
      <w:r>
        <w:t xml:space="preserve"> the previous attribution to Xu et al. (2011) and the intermediate attribution to Shanahan, Tran &amp; Taylor (2019) "via Aydin (2026)" were both checked against primary-source PDFs; neither contains matching items. Both citation chains are retracted, not superseded — no item in REL should ever be re-attributed to Aydin (2026) in any of its versions. </w:t>
      </w:r>
      <w:r>
        <w:rPr>
          <w:bCs/>
          <w:b/>
        </w:rPr>
        <w:t xml:space="preserve">Current sourcing (verified item-level, PDF-checked):</w:t>
      </w:r>
      <w:r>
        <w:t xml:space="preserve"> REL1 adapted from Srinivasan, Anderson &amp; Ponnavolu (2002), Journal of Retailing, 78(1), item (a). REL2 and REL3 adapted from Yin, Qiu &amp; Wang (2025), JTAER 20(1), Art. 21, "Relevance Experience (RE)" dimension, items RE4 and RE1 respectively (REL2 = category fit, "type of product I was looking for"; REL3 = search-history fit, "what I had previously searched for"; same source paper as AIP, different and discriminantly-validated dimension — r = .622 in the source paper — so no item-level overlap with AIP). REL4 ("Overall, ... was useful to me") uses a repurposed 2-item semantic-differential pair ("relevant/irrelevant," "useful/of great use") originating from an information-diagnosticity scale (Klar, 1990, as reproduced in Ahluwalia, Unnava &amp; Burnkrant, 2001, Journal of Marketing Research, 38(4)) and repurposed as perceived relevance by De Keyzer, Dens &amp; De Pelsmacker (2015), Journal of Interactive Advertising, 15(2), who report α = .937 for that repurposed use. Klar (1990) has not been independently verified — flagged for the team's judgement, not resolved unilaterally. Amendment A-9's REL4-exclusion logic no longer applies: the item formerly coded REL4 (Tam &amp; Ho, 2006, decision-usefulness wording) was removed from the instrument entirely in an earlier pass, and the current REL4 is an unrelated, newly-added item from Yin, Qiu &amp; Wang (2025) — do not confuse the two.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Status</w:t>
            </w:r>
          </w:p>
        </w:tc>
      </w:tr>
      <w:tr>
        <w:tc>
          <w:tcPr/>
          <w:p>
            <w:pPr>
              <w:pStyle w:val="Compact"/>
              <w:jc w:val="left"/>
            </w:pPr>
            <w:r>
              <w:t xml:space="preserve">REL1</w:t>
            </w:r>
          </w:p>
        </w:tc>
        <w:tc>
          <w:tcPr/>
          <w:p>
            <w:pPr>
              <w:pStyle w:val="Compact"/>
              <w:jc w:val="left"/>
            </w:pPr>
            <w:r>
              <w:t xml:space="preserve">Danh sách sản phẩm tôi vừa xem phù hợp với nhu cầu mua sắm hiện tại của tôi.</w:t>
            </w:r>
          </w:p>
        </w:tc>
        <w:tc>
          <w:tcPr/>
          <w:p>
            <w:pPr>
              <w:pStyle w:val="Compact"/>
              <w:jc w:val="left"/>
            </w:pPr>
            <w:r>
              <w:t xml:space="preserve">The product list I just saw matches my current shopping needs.</w:t>
            </w:r>
          </w:p>
        </w:tc>
        <w:tc>
          <w:tcPr/>
          <w:p>
            <w:pPr>
              <w:pStyle w:val="Compact"/>
              <w:jc w:val="left"/>
            </w:pPr>
            <w:r>
              <w:t xml:space="preserve">Analysed</w:t>
            </w:r>
          </w:p>
        </w:tc>
      </w:tr>
      <w:tr>
        <w:tc>
          <w:tcPr/>
          <w:p>
            <w:pPr>
              <w:pStyle w:val="Compact"/>
              <w:jc w:val="left"/>
            </w:pPr>
            <w:r>
              <w:t xml:space="preserve">REL2</w:t>
            </w:r>
          </w:p>
        </w:tc>
        <w:tc>
          <w:tcPr/>
          <w:p>
            <w:pPr>
              <w:pStyle w:val="Compact"/>
              <w:jc w:val="left"/>
            </w:pPr>
            <w:r>
              <w:t xml:space="preserve">Danh sách sản phẩm tôi vừa xem đúng với loại sản phẩm tôi đang tìm kiếm.</w:t>
            </w:r>
          </w:p>
        </w:tc>
        <w:tc>
          <w:tcPr/>
          <w:p>
            <w:pPr>
              <w:pStyle w:val="Compact"/>
              <w:jc w:val="left"/>
            </w:pPr>
            <w:r>
              <w:t xml:space="preserve">The product list I saw was consistent with the type of product I was looking for.</w:t>
            </w:r>
          </w:p>
        </w:tc>
        <w:tc>
          <w:tcPr/>
          <w:p>
            <w:pPr>
              <w:pStyle w:val="Compact"/>
              <w:jc w:val="left"/>
            </w:pPr>
            <w:r>
              <w:t xml:space="preserve">Analysed</w:t>
            </w:r>
          </w:p>
        </w:tc>
      </w:tr>
      <w:tr>
        <w:tc>
          <w:tcPr/>
          <w:p>
            <w:pPr>
              <w:pStyle w:val="Compact"/>
              <w:jc w:val="left"/>
            </w:pPr>
            <w:r>
              <w:t xml:space="preserve">REL3</w:t>
            </w:r>
          </w:p>
        </w:tc>
        <w:tc>
          <w:tcPr/>
          <w:p>
            <w:pPr>
              <w:pStyle w:val="Compact"/>
              <w:jc w:val="left"/>
            </w:pPr>
            <w:r>
              <w:t xml:space="preserve">Danh sách sản phẩm tôi vừa xem đúng với những gì tôi đã tìm kiếm trước đó.</w:t>
            </w:r>
          </w:p>
        </w:tc>
        <w:tc>
          <w:tcPr/>
          <w:p>
            <w:pPr>
              <w:pStyle w:val="Compact"/>
              <w:jc w:val="left"/>
            </w:pPr>
            <w:r>
              <w:t xml:space="preserve">The product list I saw was consistent with what I had previously searched for.</w:t>
            </w:r>
          </w:p>
        </w:tc>
        <w:tc>
          <w:tcPr/>
          <w:p>
            <w:pPr>
              <w:pStyle w:val="Compact"/>
              <w:jc w:val="left"/>
            </w:pPr>
            <w:r>
              <w:t xml:space="preserve">Analysed</w:t>
            </w:r>
          </w:p>
        </w:tc>
      </w:tr>
      <w:tr>
        <w:tc>
          <w:tcPr/>
          <w:p>
            <w:pPr>
              <w:pStyle w:val="Compact"/>
              <w:jc w:val="left"/>
            </w:pPr>
            <w:r>
              <w:t xml:space="preserve">REL4</w:t>
            </w:r>
          </w:p>
        </w:tc>
        <w:tc>
          <w:tcPr/>
          <w:p>
            <w:pPr>
              <w:pStyle w:val="Compact"/>
              <w:jc w:val="left"/>
            </w:pPr>
            <w:r>
              <w:t xml:space="preserve">Nhìn chung, danh sách sản phẩm tôi vừa xem hữu ích với tôi.</w:t>
            </w:r>
          </w:p>
        </w:tc>
        <w:tc>
          <w:tcPr/>
          <w:p>
            <w:pPr>
              <w:pStyle w:val="Compact"/>
              <w:jc w:val="left"/>
            </w:pPr>
            <w:r>
              <w:t xml:space="preserve">Overall, the product list I saw was useful to me.</w:t>
            </w:r>
          </w:p>
        </w:tc>
        <w:tc>
          <w:tcPr/>
          <w:p>
            <w:pPr>
              <w:pStyle w:val="Compact"/>
              <w:jc w:val="left"/>
            </w:pPr>
            <w:r>
              <w:t xml:space="preserve">Analysed</w:t>
            </w:r>
          </w:p>
        </w:tc>
      </w:tr>
    </w:tbl>
    <w:p>
      <w:pPr>
        <w:pStyle w:val="BodyText"/>
      </w:pPr>
      <w:r>
        <w:rPr>
          <w:bCs/>
          <w:b/>
        </w:rPr>
        <w:t xml:space="preserve">Wording discipline.</w:t>
      </w:r>
      <w:r>
        <w:t xml:space="preserve"> REL items reference the appraised outcome only (matches my needs, consistent with my situation/search history, useful to me) and deliberately avoid any mechanism verb ("tailor," "customize," "adjust," "personalize," "analyze") reserved for AIP. REL2's source item originally used "tailored to my situation" (Srinivasan item c); this was replaced with the current RE4-based wording specifically to remove that action-verb overlap with AIP's register.</w:t>
      </w:r>
    </w:p>
    <w:p>
      <w:pPr>
        <w:pStyle w:val="BodyText"/>
      </w:pPr>
      <w:r>
        <w:rPr>
          <w:bCs/>
          <w:b/>
        </w:rPr>
        <w:t xml:space="preserve">Residual risk.</w:t>
      </w:r>
      <w:r>
        <w:t xml:space="preserve"> REL4 carries an open governance flag (repurposed generic item pair, primary source Klar 1990 not independently verified) and should be prioritised for either further sourcing or self-development before formal ratification. Pilot statistics from earlier item wording (α = .947, historical) do not apply to the current 4-item set; REL requires a new pilot pass or expert content-validity review before main collection.</w:t>
      </w:r>
    </w:p>
    <w:bookmarkEnd w:id="30"/>
    <w:bookmarkStart w:id="31" w:name="X7ad82645ddd763bafab5ade2829ef987f2053e7"/>
    <w:p>
      <w:pPr>
        <w:pStyle w:val="Heading3"/>
      </w:pPr>
      <w:r>
        <w:t xml:space="preserve">INT — Perceived Intrusiveness (5 items, all analysed)</w:t>
      </w:r>
    </w:p>
    <w:p>
      <w:pPr>
        <w:pStyle w:val="FirstParagraph"/>
      </w:pPr>
      <w:r>
        <w:t xml:space="preserve">Block M_INT. Source: Li, Edwards &amp; Lee (2002), Journal of Advertising, 31(2), 37-47 (previously miscited in this codebook as "Li et al. (2017)"; corrected to match B1.5).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r>
      <w:tr>
        <w:tc>
          <w:tcPr/>
          <w:p>
            <w:pPr>
              <w:pStyle w:val="Compact"/>
              <w:jc w:val="left"/>
            </w:pPr>
            <w:r>
              <w:t xml:space="preserve">INT1</w:t>
            </w:r>
          </w:p>
        </w:tc>
        <w:tc>
          <w:tcPr/>
          <w:p>
            <w:pPr>
              <w:pStyle w:val="Compact"/>
              <w:jc w:val="left"/>
            </w:pPr>
            <w:r>
              <w:t xml:space="preserve">Tôi cảm thấy danh sách sản phẩm này gây cản trở trải nghiệm mua sắm thông thường của tôi.</w:t>
            </w:r>
          </w:p>
        </w:tc>
        <w:tc>
          <w:tcPr/>
          <w:p>
            <w:pPr>
              <w:pStyle w:val="Compact"/>
              <w:jc w:val="left"/>
            </w:pPr>
            <w:r>
              <w:t xml:space="preserve">I feel that this product list interferes with my normal shopping experience.</w:t>
            </w:r>
          </w:p>
        </w:tc>
      </w:tr>
      <w:tr>
        <w:tc>
          <w:tcPr/>
          <w:p>
            <w:pPr>
              <w:pStyle w:val="Compact"/>
              <w:jc w:val="left"/>
            </w:pPr>
            <w:r>
              <w:t xml:space="preserve">INT2</w:t>
            </w:r>
          </w:p>
        </w:tc>
        <w:tc>
          <w:tcPr/>
          <w:p>
            <w:pPr>
              <w:pStyle w:val="Compact"/>
              <w:jc w:val="left"/>
            </w:pPr>
            <w:r>
              <w:t xml:space="preserve">Tôi cảm thấy khó chịu vì danh sách sản phẩm này làm gián đoạn việc tôi đang mua sắm.</w:t>
            </w:r>
          </w:p>
        </w:tc>
        <w:tc>
          <w:tcPr/>
          <w:p>
            <w:pPr>
              <w:pStyle w:val="Compact"/>
              <w:jc w:val="left"/>
            </w:pPr>
            <w:r>
              <w:t xml:space="preserve">I feel annoyed because this product list disrupts what I am doing while shopping.</w:t>
            </w:r>
          </w:p>
        </w:tc>
      </w:tr>
      <w:tr>
        <w:tc>
          <w:tcPr/>
          <w:p>
            <w:pPr>
              <w:pStyle w:val="Compact"/>
              <w:jc w:val="left"/>
            </w:pPr>
            <w:r>
              <w:t xml:space="preserve">INT3</w:t>
            </w:r>
          </w:p>
        </w:tc>
        <w:tc>
          <w:tcPr/>
          <w:p>
            <w:pPr>
              <w:pStyle w:val="Compact"/>
              <w:jc w:val="left"/>
            </w:pPr>
            <w:r>
              <w:t xml:space="preserve">Tôi cảm thấy danh sách sản phẩm này quấy rầy và khó có thể lờ đi.</w:t>
            </w:r>
          </w:p>
        </w:tc>
        <w:tc>
          <w:tcPr/>
          <w:p>
            <w:pPr>
              <w:pStyle w:val="Compact"/>
              <w:jc w:val="left"/>
            </w:pPr>
            <w:r>
              <w:t xml:space="preserve">I feel that this product list is intrusive and hard to ignore.</w:t>
            </w:r>
          </w:p>
        </w:tc>
      </w:tr>
      <w:tr>
        <w:tc>
          <w:tcPr/>
          <w:p>
            <w:pPr>
              <w:pStyle w:val="Compact"/>
              <w:jc w:val="left"/>
            </w:pPr>
            <w:r>
              <w:t xml:space="preserve">INT4</w:t>
            </w:r>
          </w:p>
        </w:tc>
        <w:tc>
          <w:tcPr/>
          <w:p>
            <w:pPr>
              <w:pStyle w:val="Compact"/>
              <w:jc w:val="left"/>
            </w:pPr>
            <w:r>
              <w:t xml:space="preserve">Tôi cảm thấy trải nghiệm này xâm phạm quyền riêng tư của tôi.</w:t>
            </w:r>
          </w:p>
        </w:tc>
        <w:tc>
          <w:tcPr/>
          <w:p>
            <w:pPr>
              <w:pStyle w:val="Compact"/>
              <w:jc w:val="left"/>
            </w:pPr>
            <w:r>
              <w:t xml:space="preserve">I feel that this experience violates my privacy.</w:t>
            </w:r>
          </w:p>
        </w:tc>
      </w:tr>
      <w:tr>
        <w:tc>
          <w:tcPr/>
          <w:p>
            <w:pPr>
              <w:pStyle w:val="Compact"/>
              <w:jc w:val="left"/>
            </w:pPr>
            <w:r>
              <w:t xml:space="preserve">INT5</w:t>
            </w:r>
          </w:p>
        </w:tc>
        <w:tc>
          <w:tcPr/>
          <w:p>
            <w:pPr>
              <w:pStyle w:val="Compact"/>
              <w:jc w:val="left"/>
            </w:pPr>
            <w:r>
              <w:t xml:space="preserve">Tôi cảm thấy cách sản phẩm được hiển thị cho tôi mang tính áp đặt, nằm ngoài tầm kiểm soát của tôi.</w:t>
            </w:r>
          </w:p>
        </w:tc>
        <w:tc>
          <w:tcPr/>
          <w:p>
            <w:pPr>
              <w:pStyle w:val="Compact"/>
              <w:jc w:val="left"/>
            </w:pPr>
            <w:r>
              <w:t xml:space="preserve">I feel that the way products are displayed to me is imposing and beyond my control.</w:t>
            </w:r>
          </w:p>
        </w:tc>
      </w:tr>
    </w:tbl>
    <w:p>
      <w:pPr>
        <w:pStyle w:val="BodyText"/>
      </w:pPr>
      <w:r>
        <w:t xml:space="preserve">INT is the focal path of </w:t>
      </w:r>
      <w:r>
        <w:rPr>
          <w:bCs/>
          <w:b/>
        </w:rPr>
        <w:t xml:space="preserve">both</w:t>
      </w:r>
      <w:r>
        <w:t xml:space="preserve"> H7a and H7b. It is the only construct entering an interaction term.</w:t>
      </w:r>
    </w:p>
    <w:bookmarkEnd w:id="31"/>
    <w:bookmarkStart w:id="32" w:name="X05a7d9e68372af31b175492f46eb632183fc9ba"/>
    <w:p>
      <w:pPr>
        <w:pStyle w:val="Heading3"/>
      </w:pPr>
      <w:r>
        <w:t xml:space="preserve">TRU — Consumer Trust (5 items, all analysed) — count corrected by A-10</w:t>
      </w:r>
    </w:p>
    <w:p>
      <w:pPr>
        <w:pStyle w:val="FirstParagraph"/>
      </w:pPr>
      <w:r>
        <w:t xml:space="preserve">Block M_TRU. Source: McKnight et al. (2002). </w:t>
      </w:r>
      <w:r>
        <w:rPr>
          <w:bCs/>
          <w:b/>
        </w:rPr>
        <w:t xml:space="preserve">TRU1–TRU3 = trusting beliefs (cognitive); TRU4–TRU5 = trusting intentions (affective).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Facet</w:t>
            </w:r>
          </w:p>
        </w:tc>
      </w:tr>
      <w:tr>
        <w:tc>
          <w:tcPr/>
          <w:p>
            <w:pPr>
              <w:pStyle w:val="Compact"/>
              <w:jc w:val="left"/>
            </w:pPr>
            <w:r>
              <w:t xml:space="preserve">TRU1</w:t>
            </w:r>
          </w:p>
        </w:tc>
        <w:tc>
          <w:tcPr/>
          <w:p>
            <w:pPr>
              <w:pStyle w:val="Compact"/>
              <w:jc w:val="left"/>
            </w:pPr>
            <w:r>
              <w:t xml:space="preserve">Tôi tin ShopWave có đủ năng lực để hiểu đúng nhu cầu mua sắm của tôi.</w:t>
            </w:r>
          </w:p>
        </w:tc>
        <w:tc>
          <w:tcPr/>
          <w:p>
            <w:pPr>
              <w:pStyle w:val="Compact"/>
              <w:jc w:val="left"/>
            </w:pPr>
            <w:r>
              <w:t xml:space="preserve">I believe ShopWave is competent enough to correctly understand my shopping needs.</w:t>
            </w:r>
          </w:p>
        </w:tc>
        <w:tc>
          <w:tcPr/>
          <w:p>
            <w:pPr>
              <w:pStyle w:val="Compact"/>
              <w:jc w:val="left"/>
            </w:pPr>
            <w:r>
              <w:t xml:space="preserve">Competence</w:t>
            </w:r>
          </w:p>
        </w:tc>
      </w:tr>
      <w:tr>
        <w:tc>
          <w:tcPr/>
          <w:p>
            <w:pPr>
              <w:pStyle w:val="Compact"/>
              <w:jc w:val="left"/>
            </w:pPr>
            <w:r>
              <w:t xml:space="preserve">TRU2</w:t>
            </w:r>
          </w:p>
        </w:tc>
        <w:tc>
          <w:tcPr/>
          <w:p>
            <w:pPr>
              <w:pStyle w:val="Compact"/>
              <w:jc w:val="left"/>
            </w:pPr>
            <w:r>
              <w:t xml:space="preserve">Tôi tin rằng ShopWave luôn hành động một cách trung thực và đáng tin cậy.</w:t>
            </w:r>
          </w:p>
        </w:tc>
        <w:tc>
          <w:tcPr/>
          <w:p>
            <w:pPr>
              <w:pStyle w:val="Compact"/>
              <w:jc w:val="left"/>
            </w:pPr>
            <w:r>
              <w:t xml:space="preserve">I believe ShopWave always acts honestly and reliably.</w:t>
            </w:r>
          </w:p>
        </w:tc>
        <w:tc>
          <w:tcPr/>
          <w:p>
            <w:pPr>
              <w:pStyle w:val="Compact"/>
              <w:jc w:val="left"/>
            </w:pPr>
            <w:r>
              <w:t xml:space="preserve">Integrity</w:t>
            </w:r>
          </w:p>
        </w:tc>
      </w:tr>
      <w:tr>
        <w:tc>
          <w:tcPr/>
          <w:p>
            <w:pPr>
              <w:pStyle w:val="Compact"/>
              <w:jc w:val="left"/>
            </w:pPr>
            <w:r>
              <w:t xml:space="preserve">TRU3</w:t>
            </w:r>
          </w:p>
        </w:tc>
        <w:tc>
          <w:tcPr/>
          <w:p>
            <w:pPr>
              <w:pStyle w:val="Compact"/>
              <w:jc w:val="left"/>
            </w:pPr>
            <w:r>
              <w:t xml:space="preserve">Tôi tin rằng ShopWave hành động vì lợi ích của tôi, chứ không chỉ vì lợi ích riêng của họ.</w:t>
            </w:r>
          </w:p>
        </w:tc>
        <w:tc>
          <w:tcPr/>
          <w:p>
            <w:pPr>
              <w:pStyle w:val="Compact"/>
              <w:jc w:val="left"/>
            </w:pPr>
            <w:r>
              <w:t xml:space="preserve">I believe ShopWave acts in my interest, not just in its own interest.</w:t>
            </w:r>
          </w:p>
        </w:tc>
        <w:tc>
          <w:tcPr/>
          <w:p>
            <w:pPr>
              <w:pStyle w:val="Compact"/>
              <w:jc w:val="left"/>
            </w:pPr>
            <w:r>
              <w:t xml:space="preserve">Benevolence</w:t>
            </w:r>
          </w:p>
        </w:tc>
      </w:tr>
      <w:tr>
        <w:tc>
          <w:tcPr/>
          <w:p>
            <w:pPr>
              <w:pStyle w:val="Compact"/>
              <w:jc w:val="left"/>
            </w:pPr>
            <w:r>
              <w:t xml:space="preserve">TRU4</w:t>
            </w:r>
          </w:p>
        </w:tc>
        <w:tc>
          <w:tcPr/>
          <w:p>
            <w:pPr>
              <w:pStyle w:val="Compact"/>
              <w:jc w:val="left"/>
            </w:pPr>
            <w:r>
              <w:t xml:space="preserve">Tôi cảm thấy an toàn khi tương tác với ShopWave.</w:t>
            </w:r>
          </w:p>
        </w:tc>
        <w:tc>
          <w:tcPr/>
          <w:p>
            <w:pPr>
              <w:pStyle w:val="Compact"/>
              <w:jc w:val="left"/>
            </w:pPr>
            <w:r>
              <w:t xml:space="preserve">I feel safe interacting with ShopWave.</w:t>
            </w:r>
          </w:p>
        </w:tc>
        <w:tc>
          <w:tcPr/>
          <w:p>
            <w:pPr>
              <w:pStyle w:val="Compact"/>
              <w:jc w:val="left"/>
            </w:pPr>
            <w:r>
              <w:t xml:space="preserve">Affective</w:t>
            </w:r>
          </w:p>
        </w:tc>
      </w:tr>
      <w:tr>
        <w:tc>
          <w:tcPr/>
          <w:p>
            <w:pPr>
              <w:pStyle w:val="Compact"/>
              <w:jc w:val="left"/>
            </w:pPr>
            <w:r>
              <w:t xml:space="preserve">TRU5</w:t>
            </w:r>
          </w:p>
        </w:tc>
        <w:tc>
          <w:tcPr/>
          <w:p>
            <w:pPr>
              <w:pStyle w:val="Compact"/>
              <w:jc w:val="left"/>
            </w:pPr>
            <w:r>
              <w:t xml:space="preserve">Nhìn chung, tôi tin tưởng vào ShopWave.</w:t>
            </w:r>
          </w:p>
        </w:tc>
        <w:tc>
          <w:tcPr/>
          <w:p>
            <w:pPr>
              <w:pStyle w:val="Compact"/>
              <w:jc w:val="left"/>
            </w:pPr>
            <w:r>
              <w:t xml:space="preserve">Overall, I trust ShopWave.</w:t>
            </w:r>
          </w:p>
        </w:tc>
        <w:tc>
          <w:tcPr/>
          <w:p>
            <w:pPr>
              <w:pStyle w:val="Compact"/>
              <w:jc w:val="left"/>
            </w:pPr>
            <w:r>
              <w:t xml:space="preserve">Affective / global</w:t>
            </w:r>
          </w:p>
        </w:tc>
      </w:tr>
    </w:tbl>
    <w:p>
      <w:pPr>
        <w:pStyle w:val="BodyText"/>
      </w:pPr>
      <w:r>
        <w:rPr>
          <w:bCs/>
          <w:b/>
        </w:rPr>
        <w:t xml:space="preserve">A-10.</w:t>
      </w:r>
      <w:r>
        <w:t xml:space="preserve"> TF Table 5 previously recorded TRU = 6 items and referred to “TRU4–TRU6”. The instrument fields five. The register has been corrected to the instrument; the instrument is not changed.</w:t>
      </w:r>
    </w:p>
    <w:bookmarkEnd w:id="32"/>
    <w:bookmarkStart w:id="33" w:name="Xf462520a0df8413f2aef7aca500719014a1b8ac"/>
    <w:p>
      <w:pPr>
        <w:pStyle w:val="Heading3"/>
      </w:pPr>
      <w:r>
        <w:t xml:space="preserve">ENG — Customer Engagement (6 items, all analysed) — three-dimension structure (Amendment A-12)</w:t>
      </w:r>
    </w:p>
    <w:p>
      <w:pPr>
        <w:pStyle w:val="FirstParagraph"/>
      </w:pPr>
      <w:r>
        <w:t xml:space="preserve">Block M_ENG. Source: </w:t>
      </w:r>
      <w:r>
        <w:rPr>
          <w:bCs/>
          <w:b/>
        </w:rPr>
        <w:t xml:space="preserve">Hollebeek, Glynn, &amp; Brodie (2014)</w:t>
      </w:r>
      <w:r>
        <w:t xml:space="preserve">, Consumer Brand Engagement (CBE) scale, abbreviated to 2 items per dimension (original: 3/dimension). Conceptual grounding: Brodie et al. (2011), FP1/FP4. </w:t>
      </w:r>
      <w:r>
        <w:rPr>
          <w:bCs/>
          <w:b/>
        </w:rPr>
        <w:t xml:space="preserve">Citation corrected by Amendment A-12</w:t>
      </w:r>
      <w:r>
        <w:t xml:space="preserve"> — Brodie et al. (2011) is conceptual/definitional and supplies no item battery; it is retained only for the theoretical rationale behind H5/H6b, not as the measurement source.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Dimension</w:t>
            </w:r>
          </w:p>
        </w:tc>
      </w:tr>
      <w:tr>
        <w:tc>
          <w:tcPr/>
          <w:p>
            <w:pPr>
              <w:pStyle w:val="Compact"/>
              <w:jc w:val="left"/>
            </w:pPr>
            <w:r>
              <w:t xml:space="preserve">ENG1</w:t>
            </w:r>
          </w:p>
        </w:tc>
        <w:tc>
          <w:tcPr/>
          <w:p>
            <w:pPr>
              <w:pStyle w:val="Compact"/>
              <w:jc w:val="left"/>
            </w:pPr>
            <w:r>
              <w:t xml:space="preserve">Khi mua sắm trực tuyến, tôi sẽ thường nghĩ đến ShopWave.</w:t>
            </w:r>
          </w:p>
        </w:tc>
        <w:tc>
          <w:tcPr/>
          <w:p>
            <w:pPr>
              <w:pStyle w:val="Compact"/>
              <w:jc w:val="left"/>
            </w:pPr>
            <w:r>
              <w:t xml:space="preserve">When shopping online, I would often think of ShopWave.</w:t>
            </w:r>
          </w:p>
        </w:tc>
        <w:tc>
          <w:tcPr/>
          <w:p>
            <w:pPr>
              <w:pStyle w:val="Compact"/>
              <w:jc w:val="left"/>
            </w:pPr>
            <w:r>
              <w:t xml:space="preserve">Cognitive Processing</w:t>
            </w:r>
          </w:p>
        </w:tc>
      </w:tr>
      <w:tr>
        <w:tc>
          <w:tcPr/>
          <w:p>
            <w:pPr>
              <w:pStyle w:val="Compact"/>
              <w:jc w:val="left"/>
            </w:pPr>
            <w:r>
              <w:t xml:space="preserve">ENG2</w:t>
            </w:r>
          </w:p>
        </w:tc>
        <w:tc>
          <w:tcPr/>
          <w:p>
            <w:pPr>
              <w:pStyle w:val="Compact"/>
              <w:jc w:val="left"/>
            </w:pPr>
            <w:r>
              <w:t xml:space="preserve">Tôi sẽ rất chú ý đến những nội dung liên quan đến các gợi ý của ShopWave.</w:t>
            </w:r>
          </w:p>
        </w:tc>
        <w:tc>
          <w:tcPr/>
          <w:p>
            <w:pPr>
              <w:pStyle w:val="Compact"/>
              <w:jc w:val="left"/>
            </w:pPr>
            <w:r>
              <w:t xml:space="preserve">I would pay close attention to content related to ShopWave’s recommendations.</w:t>
            </w:r>
          </w:p>
        </w:tc>
        <w:tc>
          <w:tcPr/>
          <w:p>
            <w:pPr>
              <w:pStyle w:val="Compact"/>
              <w:jc w:val="left"/>
            </w:pPr>
            <w:r>
              <w:t xml:space="preserve">Cognitive Processing</w:t>
            </w:r>
          </w:p>
        </w:tc>
      </w:tr>
      <w:tr>
        <w:tc>
          <w:tcPr/>
          <w:p>
            <w:pPr>
              <w:pStyle w:val="Compact"/>
              <w:jc w:val="left"/>
            </w:pPr>
            <w:r>
              <w:t xml:space="preserve">ENG3</w:t>
            </w:r>
          </w:p>
        </w:tc>
        <w:tc>
          <w:tcPr/>
          <w:p>
            <w:pPr>
              <w:pStyle w:val="Compact"/>
              <w:jc w:val="left"/>
            </w:pPr>
            <w:r>
              <w:t xml:space="preserve">Tôi cảm thấy những cảm xúc tích cực khi tương tác với ShopWave.</w:t>
            </w:r>
          </w:p>
        </w:tc>
        <w:tc>
          <w:tcPr/>
          <w:p>
            <w:pPr>
              <w:pStyle w:val="Compact"/>
              <w:jc w:val="left"/>
            </w:pPr>
            <w:r>
              <w:t xml:space="preserve">I would feel positive emotions when interacting with ShopWave.</w:t>
            </w:r>
          </w:p>
        </w:tc>
        <w:tc>
          <w:tcPr/>
          <w:p>
            <w:pPr>
              <w:pStyle w:val="Compact"/>
              <w:jc w:val="left"/>
            </w:pPr>
            <w:r>
              <w:t xml:space="preserve">Affection</w:t>
            </w:r>
          </w:p>
        </w:tc>
      </w:tr>
      <w:tr>
        <w:tc>
          <w:tcPr/>
          <w:p>
            <w:pPr>
              <w:pStyle w:val="Compact"/>
              <w:jc w:val="left"/>
            </w:pPr>
            <w:r>
              <w:t xml:space="preserve">ENG4</w:t>
            </w:r>
          </w:p>
        </w:tc>
        <w:tc>
          <w:tcPr/>
          <w:p>
            <w:pPr>
              <w:pStyle w:val="Compact"/>
              <w:jc w:val="left"/>
            </w:pPr>
            <w:r>
              <w:t xml:space="preserve">Tôi sẽ chủ động sử dụng và khám phá các tính năng mà ShopWave cung cấp.</w:t>
            </w:r>
          </w:p>
        </w:tc>
        <w:tc>
          <w:tcPr/>
          <w:p>
            <w:pPr>
              <w:pStyle w:val="Compact"/>
              <w:jc w:val="left"/>
            </w:pPr>
            <w:r>
              <w:t xml:space="preserve">I would actively use and explore the features that ShopWave offers.</w:t>
            </w:r>
          </w:p>
        </w:tc>
        <w:tc>
          <w:tcPr/>
          <w:p>
            <w:pPr>
              <w:pStyle w:val="Compact"/>
              <w:jc w:val="left"/>
            </w:pPr>
            <w:r>
              <w:t xml:space="preserve">Activation</w:t>
            </w:r>
          </w:p>
        </w:tc>
      </w:tr>
      <w:tr>
        <w:tc>
          <w:tcPr/>
          <w:p>
            <w:pPr>
              <w:pStyle w:val="Compact"/>
              <w:jc w:val="left"/>
            </w:pPr>
            <w:r>
              <w:t xml:space="preserve">ENG5</w:t>
            </w:r>
          </w:p>
        </w:tc>
        <w:tc>
          <w:tcPr/>
          <w:p>
            <w:pPr>
              <w:pStyle w:val="Compact"/>
              <w:jc w:val="left"/>
            </w:pPr>
            <w:r>
              <w:t xml:space="preserve">So với các nền tảng mua sắm khác, tôi sẽ dành nhiều thời gian sử dụng ShopWave hơn.</w:t>
            </w:r>
          </w:p>
        </w:tc>
        <w:tc>
          <w:tcPr/>
          <w:p>
            <w:pPr>
              <w:pStyle w:val="Compact"/>
              <w:jc w:val="left"/>
            </w:pPr>
            <w:r>
              <w:t xml:space="preserve">Compared to other shopping platforms, I would spend more time using ShopWave.</w:t>
            </w:r>
          </w:p>
        </w:tc>
        <w:tc>
          <w:tcPr/>
          <w:p>
            <w:pPr>
              <w:pStyle w:val="Compact"/>
              <w:jc w:val="left"/>
            </w:pPr>
            <w:r>
              <w:t xml:space="preserve">Activation</w:t>
            </w:r>
          </w:p>
        </w:tc>
      </w:tr>
      <w:tr>
        <w:tc>
          <w:tcPr/>
          <w:p>
            <w:pPr>
              <w:pStyle w:val="Compact"/>
              <w:jc w:val="left"/>
            </w:pPr>
            <w:r>
              <w:t xml:space="preserve">ENG6</w:t>
            </w:r>
          </w:p>
        </w:tc>
        <w:tc>
          <w:tcPr/>
          <w:p>
            <w:pPr>
              <w:pStyle w:val="Compact"/>
              <w:jc w:val="left"/>
            </w:pPr>
            <w:r>
              <w:t xml:space="preserve">Tôi cảm thấy hào hứng khi sử dụng ShopWave.</w:t>
            </w:r>
          </w:p>
        </w:tc>
        <w:tc>
          <w:tcPr/>
          <w:p>
            <w:pPr>
              <w:pStyle w:val="Compact"/>
              <w:jc w:val="left"/>
            </w:pPr>
            <w:r>
              <w:t xml:space="preserve">I would feel excited when using ShopWave.</w:t>
            </w:r>
          </w:p>
        </w:tc>
        <w:tc>
          <w:tcPr/>
          <w:p>
            <w:pPr>
              <w:pStyle w:val="Compact"/>
              <w:jc w:val="left"/>
            </w:pPr>
            <w:r>
              <w:t xml:space="preserve">Affection</w:t>
            </w:r>
          </w:p>
        </w:tc>
      </w:tr>
    </w:tbl>
    <w:p>
      <w:pPr>
        <w:pStyle w:val="BodyText"/>
      </w:pPr>
      <w:r>
        <w:rPr>
          <w:bCs/>
          <w:b/>
        </w:rPr>
        <w:t xml:space="preserve">Dimension structure (Amendment A-12).</w:t>
      </w:r>
      <w:r>
        <w:t xml:space="preserve"> ENG1–ENG6 map onto three first-order CBE dimensions: </w:t>
      </w:r>
      <w:r>
        <w:rPr>
          <w:bCs/>
          <w:b/>
        </w:rPr>
        <w:t xml:space="preserve">Cognitive Processing</w:t>
      </w:r>
      <w:r>
        <w:t xml:space="preserve"> (ENG1, ENG2), </w:t>
      </w:r>
      <w:r>
        <w:rPr>
          <w:bCs/>
          <w:b/>
        </w:rPr>
        <w:t xml:space="preserve">Affection</w:t>
      </w:r>
      <w:r>
        <w:t xml:space="preserve"> (ENG3, ENG6), </w:t>
      </w:r>
      <w:r>
        <w:rPr>
          <w:bCs/>
          <w:b/>
        </w:rPr>
        <w:t xml:space="preserve">Activation</w:t>
      </w:r>
      <w:r>
        <w:t xml:space="preserve"> (ENG4, ENG5). This governs </w:t>
      </w:r>
      <w:r>
        <w:rPr>
          <w:iCs/>
          <w:i/>
        </w:rPr>
        <w:t xml:space="preserve">how reliability and item-retention decisions are computed</w:t>
      </w:r>
      <w:r>
        <w:t xml:space="preserve"> — within dimension, never pooled across all six items — but does </w:t>
      </w:r>
      <w:r>
        <w:rPr>
          <w:bCs/>
          <w:b/>
        </w:rPr>
        <w:t xml:space="preserve">not</w:t>
      </w:r>
      <w:r>
        <w:t xml:space="preserve"> change how ENG enters the structural model: H5, H6b, E1, and E2 still use ENG as a single first-order reflective composite, for the same parsimony reason TRU is not modeled as second-order despite an equally multidimensional source theory (McKnight et al., 2002).</w:t>
      </w:r>
    </w:p>
    <w:p>
      <w:pPr>
        <w:pStyle w:val="BodyText"/>
      </w:pPr>
      <w:r>
        <w:rPr>
          <w:bCs/>
          <w:b/>
        </w:rPr>
        <w:t xml:space="preserve">Why this matters for ENG4.</w:t>
      </w:r>
      <w:r>
        <w:t xml:space="preserve"> ENG4’s outer loading on a </w:t>
      </w:r>
      <w:r>
        <w:rPr>
          <w:iCs/>
          <w:i/>
        </w:rPr>
        <w:t xml:space="preserve">pooled</w:t>
      </w:r>
      <w:r>
        <w:t xml:space="preserve"> six-item single factor was −0.381 (pilot n = 46), which looked like a REL4-style exclusion candidate. (historical note: this refers to the REL4 item that existed under the earlier Xu et al. / A-9 sourcing and has since been removed from the instrument entirely, not the current REL4, which is a different, retained item from Yin, Qiu &amp; Wang, 2025) That comparison is invalid: REL1–REL3 are homogeneous (“fit”), so REL4 was a genuine outlier: ENG’s six items span three deliberately distinct dimensions, so a “cognitive” item’s low correlation with an “activation” item is expected, not diagnostic of a bad item. Recomputed </w:t>
      </w:r>
      <w:r>
        <w:rPr>
          <w:iCs/>
          <w:i/>
        </w:rPr>
        <w:t xml:space="preserve">within</w:t>
      </w:r>
      <w:r>
        <w:t xml:space="preserve"> dimension: r(ENG4, ENG5) = 0.212, alpha(2-item) = 0.345 — weak, but this is now reported as evidence that the </w:t>
      </w:r>
      <w:r>
        <w:rPr>
          <w:bCs/>
          <w:b/>
        </w:rPr>
        <w:t xml:space="preserve">Activation facet</w:t>
      </w:r>
      <w:r>
        <w:t xml:space="preserve"> is measured with low reliability in this two-item abbreviation of Hollebeek et al.’s three-item-per-dimension original, not as grounds to drop ENG4. Dropping ENG4 would leave Activation as an unassessable single-item facet (ENG5 alone) and would silently delete the one dimension Hollebeek et al.’s framework treats as behaviorally diagnostic. </w:t>
      </w:r>
      <w:r>
        <w:rPr>
          <w:bCs/>
          <w:b/>
        </w:rPr>
        <w:t xml:space="preserve">ENG4 is retained.</w:t>
      </w:r>
    </w:p>
    <w:p>
      <w:pPr>
        <w:pStyle w:val="BodyText"/>
      </w:pPr>
      <w:r>
        <w:rPr>
          <w:bCs/>
          <w:b/>
        </w:rPr>
        <w:t xml:space="preserve">Within-dimension pilot reliability (n = 46), for reference: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Items</w:t>
            </w:r>
          </w:p>
        </w:tc>
        <w:tc>
          <w:tcPr/>
          <w:p>
            <w:pPr>
              <w:pStyle w:val="Compact"/>
              <w:jc w:val="left"/>
            </w:pPr>
            <w:r>
              <w:t xml:space="preserve">r (2-item)</w:t>
            </w:r>
          </w:p>
        </w:tc>
        <w:tc>
          <w:tcPr/>
          <w:p>
            <w:pPr>
              <w:pStyle w:val="Compact"/>
              <w:jc w:val="left"/>
            </w:pPr>
            <w:r>
              <w:t xml:space="preserve">alpha (2-item)</w:t>
            </w:r>
          </w:p>
        </w:tc>
      </w:tr>
      <w:tr>
        <w:tc>
          <w:tcPr/>
          <w:p>
            <w:pPr>
              <w:pStyle w:val="Compact"/>
              <w:jc w:val="left"/>
            </w:pPr>
            <w:r>
              <w:t xml:space="preserve">Cognitive Processing</w:t>
            </w:r>
          </w:p>
        </w:tc>
        <w:tc>
          <w:tcPr/>
          <w:p>
            <w:pPr>
              <w:pStyle w:val="Compact"/>
              <w:jc w:val="left"/>
            </w:pPr>
            <w:r>
              <w:t xml:space="preserve">ENG1, ENG2</w:t>
            </w:r>
          </w:p>
        </w:tc>
        <w:tc>
          <w:tcPr/>
          <w:p>
            <w:pPr>
              <w:pStyle w:val="Compact"/>
              <w:jc w:val="left"/>
            </w:pPr>
            <w:r>
              <w:t xml:space="preserve">0.626</w:t>
            </w:r>
          </w:p>
        </w:tc>
        <w:tc>
          <w:tcPr/>
          <w:p>
            <w:pPr>
              <w:pStyle w:val="Compact"/>
              <w:jc w:val="left"/>
            </w:pPr>
            <w:r>
              <w:t xml:space="preserve">0.768</w:t>
            </w:r>
          </w:p>
        </w:tc>
      </w:tr>
      <w:tr>
        <w:tc>
          <w:tcPr/>
          <w:p>
            <w:pPr>
              <w:pStyle w:val="Compact"/>
              <w:jc w:val="left"/>
            </w:pPr>
            <w:r>
              <w:t xml:space="preserve">Affection</w:t>
            </w:r>
          </w:p>
        </w:tc>
        <w:tc>
          <w:tcPr/>
          <w:p>
            <w:pPr>
              <w:pStyle w:val="Compact"/>
              <w:jc w:val="left"/>
            </w:pPr>
            <w:r>
              <w:t xml:space="preserve">ENG3, ENG6</w:t>
            </w:r>
          </w:p>
        </w:tc>
        <w:tc>
          <w:tcPr/>
          <w:p>
            <w:pPr>
              <w:pStyle w:val="Compact"/>
              <w:jc w:val="left"/>
            </w:pPr>
            <w:r>
              <w:t xml:space="preserve">0.364</w:t>
            </w:r>
          </w:p>
        </w:tc>
        <w:tc>
          <w:tcPr/>
          <w:p>
            <w:pPr>
              <w:pStyle w:val="Compact"/>
              <w:jc w:val="left"/>
            </w:pPr>
            <w:r>
              <w:t xml:space="preserve">0.532</w:t>
            </w:r>
          </w:p>
        </w:tc>
      </w:tr>
      <w:tr>
        <w:tc>
          <w:tcPr/>
          <w:p>
            <w:pPr>
              <w:pStyle w:val="Compact"/>
              <w:jc w:val="left"/>
            </w:pPr>
            <w:r>
              <w:t xml:space="preserve">Activation</w:t>
            </w:r>
          </w:p>
        </w:tc>
        <w:tc>
          <w:tcPr/>
          <w:p>
            <w:pPr>
              <w:pStyle w:val="Compact"/>
              <w:jc w:val="left"/>
            </w:pPr>
            <w:r>
              <w:t xml:space="preserve">ENG4, ENG5</w:t>
            </w:r>
          </w:p>
        </w:tc>
        <w:tc>
          <w:tcPr/>
          <w:p>
            <w:pPr>
              <w:pStyle w:val="Compact"/>
              <w:jc w:val="left"/>
            </w:pPr>
            <w:r>
              <w:t xml:space="preserve">0.212</w:t>
            </w:r>
          </w:p>
        </w:tc>
        <w:tc>
          <w:tcPr/>
          <w:p>
            <w:pPr>
              <w:pStyle w:val="Compact"/>
              <w:jc w:val="left"/>
            </w:pPr>
            <w:r>
              <w:t xml:space="preserve">0.345</w:t>
            </w:r>
          </w:p>
        </w:tc>
      </w:tr>
    </w:tbl>
    <w:p>
      <w:pPr>
        <w:pStyle w:val="BodyText"/>
      </w:pPr>
      <w:r>
        <w:t xml:space="preserve">Report all three transparently in Method/Limitations — the weak Affection and Activation reliabilities are a known consequence of the 2-item abbreviation, not concealed by item deletion.</w:t>
      </w:r>
    </w:p>
    <w:bookmarkEnd w:id="33"/>
    <w:bookmarkStart w:id="34" w:name="Xb0a50bbbbbceb8e0627848cf6d42fcfa0f1f08c"/>
    <w:p>
      <w:pPr>
        <w:pStyle w:val="Heading3"/>
      </w:pPr>
      <w:r>
        <w:t xml:space="preserve">PI — Purchase Intention (4 items, all analysed)</w:t>
      </w:r>
    </w:p>
    <w:p>
      <w:pPr>
        <w:pStyle w:val="FirstParagraph"/>
      </w:pPr>
      <w:r>
        <w:t xml:space="preserve">Block M_PI. Source: Pavlou (2003) for PI1–PI3 (the construct's own three-item maximum — Pavlou (2003) does not contain a fourth item). PI4 adapted from Dodds, Monroe &amp; Grewal (1991), Journal of Marketing Research, 28(3), Appendix, “Willingness to Buy” indicator 1/4 (“The likelihood/probability of purchasing this product is...”), converted from semantic differential to Likert format; the price-specific framing (“at the price shown”) used in two of that scale's five items was dropped as not applicable to this vignette. Verified against the original PDF.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r>
      <w:tr>
        <w:tc>
          <w:tcPr/>
          <w:p>
            <w:pPr>
              <w:pStyle w:val="Compact"/>
              <w:jc w:val="left"/>
            </w:pPr>
            <w:r>
              <w:t xml:space="preserve">PI1</w:t>
            </w:r>
          </w:p>
        </w:tc>
        <w:tc>
          <w:tcPr/>
          <w:p>
            <w:pPr>
              <w:pStyle w:val="Compact"/>
              <w:jc w:val="left"/>
            </w:pPr>
            <w:r>
              <w:t xml:space="preserve">Nếu có cơ hội, tôi có ý định mua các sản phẩm được nền tảng ShopWave hiển thị cho tôi.</w:t>
            </w:r>
          </w:p>
        </w:tc>
        <w:tc>
          <w:tcPr/>
          <w:p>
            <w:pPr>
              <w:pStyle w:val="Compact"/>
              <w:jc w:val="left"/>
            </w:pPr>
            <w:r>
              <w:t xml:space="preserve">If given the opportunity, I intend to purchase the products displayed to me by ShopWave.</w:t>
            </w:r>
          </w:p>
        </w:tc>
      </w:tr>
      <w:tr>
        <w:tc>
          <w:tcPr/>
          <w:p>
            <w:pPr>
              <w:pStyle w:val="Compact"/>
              <w:jc w:val="left"/>
            </w:pPr>
            <w:r>
              <w:t xml:space="preserve">PI2</w:t>
            </w:r>
          </w:p>
        </w:tc>
        <w:tc>
          <w:tcPr/>
          <w:p>
            <w:pPr>
              <w:pStyle w:val="Compact"/>
              <w:jc w:val="left"/>
            </w:pPr>
            <w:r>
              <w:t xml:space="preserve">Tôi nghĩ rằng trong tương lai tôi sẽ mua hàng trên nền tảng ShopWave dựa trên những gì tôi đã thấy hôm nay.</w:t>
            </w:r>
          </w:p>
        </w:tc>
        <w:tc>
          <w:tcPr/>
          <w:p>
            <w:pPr>
              <w:pStyle w:val="Compact"/>
              <w:jc w:val="left"/>
            </w:pPr>
            <w:r>
              <w:t xml:space="preserve">I think that in the future I would make purchases on the ShopWave platform based on what I saw today.</w:t>
            </w:r>
          </w:p>
        </w:tc>
      </w:tr>
      <w:tr>
        <w:tc>
          <w:tcPr/>
          <w:p>
            <w:pPr>
              <w:pStyle w:val="Compact"/>
              <w:jc w:val="left"/>
            </w:pPr>
            <w:r>
              <w:t xml:space="preserve">PI3</w:t>
            </w:r>
          </w:p>
        </w:tc>
        <w:tc>
          <w:tcPr/>
          <w:p>
            <w:pPr>
              <w:pStyle w:val="Compact"/>
              <w:jc w:val="left"/>
            </w:pPr>
            <w:r>
              <w:t xml:space="preserve">Dựa trên tình huống vừa đọc, nhiều khả năng tôi sẽ tiếp tục mua sắm trên ShopWave.</w:t>
            </w:r>
          </w:p>
        </w:tc>
        <w:tc>
          <w:tcPr/>
          <w:p>
            <w:pPr>
              <w:pStyle w:val="Compact"/>
              <w:jc w:val="left"/>
            </w:pPr>
            <w:r>
              <w:t xml:space="preserve">Based on the scenario I just read, I am likely to continue shopping on ShopWave.</w:t>
            </w:r>
          </w:p>
        </w:tc>
      </w:tr>
      <w:tr>
        <w:tc>
          <w:tcPr/>
          <w:p>
            <w:pPr>
              <w:pStyle w:val="Compact"/>
              <w:jc w:val="left"/>
            </w:pPr>
            <w:r>
              <w:t xml:space="preserve">PI4</w:t>
            </w:r>
          </w:p>
        </w:tc>
        <w:tc>
          <w:tcPr/>
          <w:p>
            <w:pPr>
              <w:pStyle w:val="Compact"/>
              <w:jc w:val="left"/>
            </w:pPr>
            <w:r>
              <w:t xml:space="preserve">Khả năng tôi sẽ mua các sản phẩm mà ShopWave gợi ý là cao.</w:t>
            </w:r>
          </w:p>
        </w:tc>
        <w:tc>
          <w:tcPr/>
          <w:p>
            <w:pPr>
              <w:pStyle w:val="Compact"/>
              <w:jc w:val="left"/>
            </w:pPr>
            <w:r>
              <w:t xml:space="preserve">The likelihood that I would buy the products ShopWave recommends is high.</w:t>
            </w:r>
          </w:p>
        </w:tc>
      </w:tr>
    </w:tbl>
    <w:bookmarkEnd w:id="34"/>
    <w:bookmarkStart w:id="35" w:name="pdpl-pdpl-awareness-4-items-all-analysed"/>
    <w:p>
      <w:pPr>
        <w:pStyle w:val="Heading3"/>
      </w:pPr>
      <w:r>
        <w:t xml:space="preserve">PDPL — PDPL Awareness (4 items, all analysed)</w:t>
      </w:r>
    </w:p>
    <w:p>
      <w:pPr>
        <w:pStyle w:val="FirstParagraph"/>
      </w:pPr>
      <w:r>
        <w:t xml:space="preserve">Block M_PDPL. Newly developed on the content of Law 91/2025/QH15 (Arts. 8–10, 28). </w:t>
      </w:r>
      <w:r>
        <w:rPr>
          <w:bCs/>
          <w:b/>
        </w:rPr>
        <w:t xml:space="preserve">Item stems are unchanged and remain generic — this has never changed across A-13, A-16, or A-17.</w:t>
      </w:r>
    </w:p>
    <w:p>
      <w:pPr>
        <w:pStyle w:val="BodyText"/>
      </w:pPr>
      <w:r>
        <w:rPr>
          <w:bCs/>
          <w:b/>
        </w:rPr>
        <w:t xml:space="preserve">§4.7a Administration — single generic preamble (Amendment A-17, superseding A-16’s split preamble).</w:t>
      </w:r>
      <w:r>
        <w:t xml:space="preserve"> Block M_PDPL is administered under one generic preamble before PDPL1. No segment anywhere in the block names Law 91/2025/QH15: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Segment</w:t>
            </w:r>
          </w:p>
        </w:tc>
        <w:tc>
          <w:tcPr/>
          <w:p>
            <w:pPr>
              <w:pStyle w:val="Compact"/>
              <w:jc w:val="left"/>
            </w:pPr>
            <w:r>
              <w:rPr>
                <w:bCs/>
                <w:b/>
              </w:rPr>
              <w:t xml:space="preserve">Position</w:t>
            </w:r>
          </w:p>
        </w:tc>
        <w:tc>
          <w:tcPr/>
          <w:p>
            <w:pPr>
              <w:pStyle w:val="Compact"/>
              <w:jc w:val="left"/>
            </w:pPr>
            <w:r>
              <w:rPr>
                <w:bCs/>
                <w:b/>
              </w:rPr>
              <w:t xml:space="preserve">Vietnamese</w:t>
            </w:r>
          </w:p>
        </w:tc>
        <w:tc>
          <w:tcPr/>
          <w:p>
            <w:pPr>
              <w:pStyle w:val="Compact"/>
              <w:jc w:val="left"/>
            </w:pPr>
            <w:r>
              <w:rPr>
                <w:bCs/>
                <w:b/>
              </w:rPr>
              <w:t xml:space="preserve">English</w:t>
            </w:r>
          </w:p>
        </w:tc>
      </w:tr>
      <w:tr>
        <w:tc>
          <w:tcPr/>
          <w:p>
            <w:pPr>
              <w:pStyle w:val="Compact"/>
              <w:jc w:val="left"/>
            </w:pPr>
            <w:r>
              <w:t xml:space="preserve">Preamble (generic, only segment)</w:t>
            </w:r>
          </w:p>
        </w:tc>
        <w:tc>
          <w:tcPr/>
          <w:p>
            <w:pPr>
              <w:pStyle w:val="Compact"/>
              <w:jc w:val="left"/>
            </w:pPr>
            <w:r>
              <w:t xml:space="preserve">Before PDPL1</w:t>
            </w:r>
          </w:p>
        </w:tc>
        <w:tc>
          <w:tcPr/>
          <w:p>
            <w:pPr>
              <w:pStyle w:val="Compact"/>
              <w:jc w:val="left"/>
            </w:pPr>
            <w:r>
              <w:t xml:space="preserve">Các câu hỏi sau đây liên quan đến quyền và nghĩa vụ theo quy định pháp luật Việt Nam về bảo vệ dữ liệu cá nhân.</w:t>
            </w:r>
          </w:p>
        </w:tc>
        <w:tc>
          <w:tcPr/>
          <w:p>
            <w:pPr>
              <w:pStyle w:val="Compact"/>
              <w:jc w:val="left"/>
            </w:pPr>
            <w:r>
              <w:t xml:space="preserve">The following questions relate to rights and obligations under Vietnamese law on personal data protection.</w:t>
            </w:r>
          </w:p>
        </w:tc>
      </w:tr>
    </w:tbl>
    <w:p>
      <w:pPr>
        <w:pStyle w:val="BodyText"/>
      </w:pPr>
      <w:r>
        <w:rPr>
          <w:iCs/>
          <w:i/>
        </w:rPr>
        <w:t xml:space="preserve">A second, statute-naming segment (to be inserted after PDPL1, before PDPL2) was drafted under Amendment A-16 and fielded briefly in TF v2.8 / Master Codebook v2.3. It is withdrawn by Amendment A-17 the same day: no part of block M_PDPL’s administration names the statute. Do not reintroduce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Var</w:t>
            </w:r>
          </w:p>
        </w:tc>
        <w:tc>
          <w:tcPr/>
          <w:p>
            <w:pPr>
              <w:pStyle w:val="Compact"/>
              <w:jc w:val="left"/>
            </w:pPr>
            <w:r>
              <w:rPr>
                <w:bCs/>
                <w:b/>
              </w:rPr>
              <w:t xml:space="preserve">Item (VI)</w:t>
            </w:r>
          </w:p>
        </w:tc>
        <w:tc>
          <w:tcPr/>
          <w:p>
            <w:pPr>
              <w:pStyle w:val="Compact"/>
              <w:jc w:val="left"/>
            </w:pPr>
            <w:r>
              <w:rPr>
                <w:bCs/>
                <w:b/>
              </w:rPr>
              <w:t xml:space="preserve">Item (EN)</w:t>
            </w:r>
          </w:p>
        </w:tc>
        <w:tc>
          <w:tcPr/>
          <w:p>
            <w:pPr>
              <w:pStyle w:val="Compact"/>
              <w:jc w:val="left"/>
            </w:pPr>
            <w:r>
              <w:rPr>
                <w:bCs/>
                <w:b/>
              </w:rPr>
              <w:t xml:space="preserve">Statutory anchor</w:t>
            </w:r>
          </w:p>
        </w:tc>
      </w:tr>
      <w:tr>
        <w:tc>
          <w:tcPr/>
          <w:p>
            <w:pPr>
              <w:pStyle w:val="Compact"/>
              <w:jc w:val="left"/>
            </w:pPr>
            <w:r>
              <w:t xml:space="preserve">PDPL1</w:t>
            </w:r>
          </w:p>
        </w:tc>
        <w:tc>
          <w:tcPr/>
          <w:p>
            <w:pPr>
              <w:pStyle w:val="Compact"/>
              <w:jc w:val="left"/>
            </w:pPr>
            <w:r>
              <w:t xml:space="preserve">Tôi biết Việt Nam hiện có luật quy định về bảo vệ dữ liệu cá nhân.</w:t>
            </w:r>
          </w:p>
        </w:tc>
        <w:tc>
          <w:tcPr/>
          <w:p>
            <w:pPr>
              <w:pStyle w:val="Compact"/>
              <w:jc w:val="left"/>
            </w:pPr>
            <w:r>
              <w:t xml:space="preserve">I know that Vietnam currently has a law governing personal data protection.</w:t>
            </w:r>
          </w:p>
        </w:tc>
        <w:tc>
          <w:tcPr/>
          <w:p>
            <w:pPr>
              <w:pStyle w:val="Compact"/>
              <w:jc w:val="left"/>
            </w:pPr>
            <w:r>
              <w:t xml:space="preserve">Existence of the instrument</w:t>
            </w:r>
          </w:p>
        </w:tc>
      </w:tr>
      <w:tr>
        <w:tc>
          <w:tcPr/>
          <w:p>
            <w:pPr>
              <w:pStyle w:val="Compact"/>
              <w:jc w:val="left"/>
            </w:pPr>
            <w:r>
              <w:t xml:space="preserve">PDPL2</w:t>
            </w:r>
          </w:p>
        </w:tc>
        <w:tc>
          <w:tcPr/>
          <w:p>
            <w:pPr>
              <w:pStyle w:val="Compact"/>
              <w:jc w:val="left"/>
            </w:pPr>
            <w:r>
              <w:t xml:space="preserve">Tôi biết mình có quyền yêu cầu doanh nghiệp xóa hoặc ngừng sử dụng dữ liệu cá nhân của mình.</w:t>
            </w:r>
          </w:p>
        </w:tc>
        <w:tc>
          <w:tcPr/>
          <w:p>
            <w:pPr>
              <w:pStyle w:val="Compact"/>
              <w:jc w:val="left"/>
            </w:pPr>
            <w:r>
              <w:t xml:space="preserve">I know that I have the right to request businesses to delete or stop using my personal data.</w:t>
            </w:r>
          </w:p>
        </w:tc>
        <w:tc>
          <w:tcPr/>
          <w:p>
            <w:pPr>
              <w:pStyle w:val="Compact"/>
              <w:jc w:val="left"/>
            </w:pPr>
            <w:r>
              <w:t xml:space="preserve">Art. 10 (withdrawal / restriction)</w:t>
            </w:r>
          </w:p>
        </w:tc>
      </w:tr>
      <w:tr>
        <w:tc>
          <w:tcPr/>
          <w:p>
            <w:pPr>
              <w:pStyle w:val="Compact"/>
              <w:jc w:val="left"/>
            </w:pPr>
            <w:r>
              <w:t xml:space="preserve">PDPL3</w:t>
            </w:r>
          </w:p>
        </w:tc>
        <w:tc>
          <w:tcPr/>
          <w:p>
            <w:pPr>
              <w:pStyle w:val="Compact"/>
              <w:jc w:val="left"/>
            </w:pPr>
            <w:r>
              <w:t xml:space="preserve">Tôi hiểu rằng doanh nghiệp phải xin sự đồng ý của tôi trước khi thu thập dữ liệu để cá nhân hóa.</w:t>
            </w:r>
          </w:p>
        </w:tc>
        <w:tc>
          <w:tcPr/>
          <w:p>
            <w:pPr>
              <w:pStyle w:val="Compact"/>
              <w:jc w:val="left"/>
            </w:pPr>
            <w:r>
              <w:t xml:space="preserve">I understand that businesses must obtain my consent before collecting data for personalization purposes.</w:t>
            </w:r>
          </w:p>
        </w:tc>
        <w:tc>
          <w:tcPr/>
          <w:p>
            <w:pPr>
              <w:pStyle w:val="Compact"/>
              <w:jc w:val="left"/>
            </w:pPr>
            <w:r>
              <w:t xml:space="preserve">Art. 9 (consent)</w:t>
            </w:r>
          </w:p>
        </w:tc>
      </w:tr>
      <w:tr>
        <w:tc>
          <w:tcPr/>
          <w:p>
            <w:pPr>
              <w:pStyle w:val="Compact"/>
              <w:jc w:val="left"/>
            </w:pPr>
            <w:r>
              <w:t xml:space="preserve">PDPL4</w:t>
            </w:r>
          </w:p>
        </w:tc>
        <w:tc>
          <w:tcPr/>
          <w:p>
            <w:pPr>
              <w:pStyle w:val="Compact"/>
              <w:jc w:val="left"/>
            </w:pPr>
            <w:r>
              <w:t xml:space="preserve">Tôi biết mình có quyền được thông báo về việc dữ liệu cá nhân của mình đang được xử lý như thế nào.</w:t>
            </w:r>
          </w:p>
        </w:tc>
        <w:tc>
          <w:tcPr/>
          <w:p>
            <w:pPr>
              <w:pStyle w:val="Compact"/>
              <w:jc w:val="left"/>
            </w:pPr>
            <w:r>
              <w:t xml:space="preserve">I know that I have the right to be informed about how my personal data is being processed.</w:t>
            </w:r>
          </w:p>
        </w:tc>
        <w:tc>
          <w:tcPr/>
          <w:p>
            <w:pPr>
              <w:pStyle w:val="Compact"/>
              <w:jc w:val="left"/>
            </w:pPr>
            <w:r>
              <w:t xml:space="preserve">Art. 8 (rights) / Art. 28</w:t>
            </w:r>
          </w:p>
        </w:tc>
      </w:tr>
    </w:tbl>
    <w:p>
      <w:pPr>
        <w:pStyle w:val="BodyText"/>
      </w:pPr>
      <w:r>
        <w:rPr>
          <w:bCs/>
          <w:b/>
        </w:rPr>
        <w:t xml:space="preserve">OD-11 — Closed by Amendment A-17 (8 Sep 2026), superseding the same-day A-16.</w:t>
      </w:r>
      <w:r>
        <w:t xml:space="preserve"> Final resolution: item stems remain generic (unchanged, as always), and the fielded preamble is also generic with no statute-naming addition. Faculty advisor confirmed the statute need not be named anywhere in the instrument – all four items already trace to specific articles, and this is standard practice for scales built on an established construct. The statute’s name and its relationship to PDPL Awareness are documented in the literature review (Chapter 2) and the Method section’s instrument-development narrative </w:t>
      </w:r>
      <w:r>
        <w:rPr>
          <w:bCs/>
          <w:b/>
        </w:rPr>
        <w:t xml:space="preserve">only</w:t>
      </w:r>
      <w:r>
        <w:t xml:space="preserve"> – never in Qualtrics. </w:t>
      </w:r>
      <w:r>
        <w:rPr>
          <w:bCs/>
          <w:b/>
        </w:rPr>
        <w:t xml:space="preserve">Rejected alternatives (both drafted, both reverted, neither may be fielded):</w:t>
      </w:r>
      <w:r>
        <w:t xml:space="preserve"> (a) inserting “(Law No. 91/2025/QH15)” directly into the PDPL1 stem; (b) A-16’s two-segment preamble naming the statute after PDPL1. </w:t>
      </w:r>
      <w:r>
        <w:rPr>
          <w:bCs/>
          <w:b/>
        </w:rPr>
        <w:t xml:space="preserve">The stems must never reference Decree 13/2023/NĐ-CP.</w:t>
      </w:r>
    </w:p>
    <w:p>
      <w:pPr>
        <w:pStyle w:val="BodyText"/>
      </w:pPr>
      <w:r>
        <w:t xml:space="preserve">Scoring is unaffected: PDPL_mean remains the mean of PDPL1–PDPL4 regardless of anchor status (§5.1). The pre-/post-anchor distinction is a Method-section reporting requirement, not a scoring or reliability-computation change.</w:t>
      </w:r>
    </w:p>
    <w:p>
      <w:pPr>
        <w:pStyle w:val="BodyText"/>
      </w:pPr>
      <w:r>
        <w:t xml:space="preserve">PDPL is the moderator in </w:t>
      </w:r>
      <w:r>
        <w:rPr>
          <w:bCs/>
          <w:b/>
        </w:rPr>
        <w:t xml:space="preserve">H7a</w:t>
      </w:r>
      <w:r>
        <w:t xml:space="preserve"> via INT_x_PDPL.</w:t>
      </w:r>
    </w:p>
    <w:bookmarkEnd w:id="35"/>
    <w:bookmarkEnd w:id="36"/>
    <w:bookmarkStart w:id="37" w:name="demographics-and-covariates"/>
    <w:p>
      <w:pPr>
        <w:pStyle w:val="Heading2"/>
      </w:pPr>
      <w:r>
        <w:t xml:space="preserve">4.8 Demographics and covariates</w:t>
      </w:r>
    </w:p>
    <w:p>
      <w:pPr>
        <w:pStyle w:val="FirstParagraph"/>
      </w:pPr>
      <w:r>
        <w:t xml:space="preserve">All demographic items carry a </w:t>
      </w:r>
      <w:r>
        <w:rPr>
          <w:iCs/>
          <w:i/>
        </w:rPr>
        <w:t xml:space="preserve">Không muốn nêu / Prefer not to say</w:t>
      </w:r>
      <w:r>
        <w:t xml:space="preserve"> option coded </w:t>
      </w:r>
      <w:r>
        <w:rPr>
          <w:bCs/>
          <w:b/>
        </w:rPr>
        <w:t xml:space="preserve">−98</w:t>
      </w:r>
      <w:r>
        <w:t xml:space="preserve"> except FREQ, PLAT and PRIOR, which do not. </w:t>
      </w:r>
      <w:r>
        <w:rPr>
          <w:bCs/>
          <w:b/>
        </w:rPr>
        <w:t xml:space="preserve">−98 must be recoded to missing before any statistic is computed</w:t>
      </w:r>
      <w:r>
        <w:t xml:space="preserve"> — treating it as a valid ordinal value would place “prefer not to say” below the lowest substantive category.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Variable</w:t>
            </w:r>
          </w:p>
        </w:tc>
        <w:tc>
          <w:tcPr/>
          <w:p>
            <w:pPr>
              <w:pStyle w:val="Compact"/>
              <w:jc w:val="left"/>
            </w:pPr>
            <w:r>
              <w:rPr>
                <w:bCs/>
                <w:b/>
              </w:rPr>
              <w:t xml:space="preserve">Item</w:t>
            </w:r>
          </w:p>
        </w:tc>
        <w:tc>
          <w:tcPr/>
          <w:p>
            <w:pPr>
              <w:pStyle w:val="Compact"/>
              <w:jc w:val="left"/>
            </w:pPr>
            <w:r>
              <w:rPr>
                <w:bCs/>
                <w:b/>
              </w:rPr>
              <w:t xml:space="preserve">Values</w:t>
            </w:r>
          </w:p>
        </w:tc>
      </w:tr>
      <w:tr>
        <w:tc>
          <w:tcPr/>
          <w:p>
            <w:pPr>
              <w:pStyle w:val="Compact"/>
              <w:jc w:val="left"/>
            </w:pPr>
            <w:r>
              <w:t xml:space="preserve">AGE_BAND</w:t>
            </w:r>
          </w:p>
        </w:tc>
        <w:tc>
          <w:tcPr/>
          <w:p>
            <w:pPr>
              <w:pStyle w:val="Compact"/>
              <w:jc w:val="left"/>
            </w:pPr>
            <w:r>
              <w:t xml:space="preserve">Nhóm tuổi / Age group</w:t>
            </w:r>
          </w:p>
        </w:tc>
        <w:tc>
          <w:tcPr/>
          <w:p>
            <w:pPr>
              <w:pStyle w:val="Compact"/>
              <w:jc w:val="left"/>
            </w:pPr>
            <w:r>
              <w:t xml:space="preserve">1 = 18–24; 2 = 25–34; 3 = 35–44; 4 = 45–54; 5 = 55+; −98 = prefer not to say</w:t>
            </w:r>
          </w:p>
        </w:tc>
      </w:tr>
      <w:tr>
        <w:tc>
          <w:tcPr/>
          <w:p>
            <w:pPr>
              <w:pStyle w:val="Compact"/>
              <w:jc w:val="left"/>
            </w:pPr>
            <w:r>
              <w:t xml:space="preserve">GEN</w:t>
            </w:r>
          </w:p>
        </w:tc>
        <w:tc>
          <w:tcPr/>
          <w:p>
            <w:pPr>
              <w:pStyle w:val="Compact"/>
              <w:jc w:val="left"/>
            </w:pPr>
            <w:r>
              <w:t xml:space="preserve">Giới tính / Gender</w:t>
            </w:r>
          </w:p>
        </w:tc>
        <w:tc>
          <w:tcPr/>
          <w:p>
            <w:pPr>
              <w:pStyle w:val="Compact"/>
              <w:jc w:val="left"/>
            </w:pPr>
            <w:r>
              <w:t xml:space="preserve">1 = Nam; 2 = Nữ; 3 = Khác; −98 = prefer not to say</w:t>
            </w:r>
          </w:p>
        </w:tc>
      </w:tr>
      <w:tr>
        <w:tc>
          <w:tcPr/>
          <w:p>
            <w:pPr>
              <w:pStyle w:val="Compact"/>
              <w:jc w:val="left"/>
            </w:pPr>
            <w:r>
              <w:t xml:space="preserve">EDU</w:t>
            </w:r>
          </w:p>
        </w:tc>
        <w:tc>
          <w:tcPr/>
          <w:p>
            <w:pPr>
              <w:pStyle w:val="Compact"/>
              <w:jc w:val="left"/>
            </w:pPr>
            <w:r>
              <w:t xml:space="preserve">Trình độ học vấn / Highest education</w:t>
            </w:r>
          </w:p>
        </w:tc>
        <w:tc>
          <w:tcPr/>
          <w:p>
            <w:pPr>
              <w:pStyle w:val="Compact"/>
              <w:jc w:val="left"/>
            </w:pPr>
            <w:r>
              <w:t xml:space="preserve">1 = THPT trở xuống; 2 = Trung cấp–Cao đẳng; 3 = Đại học; 4 = Sau đại học; −98</w:t>
            </w:r>
          </w:p>
        </w:tc>
      </w:tr>
      <w:tr>
        <w:tc>
          <w:tcPr/>
          <w:p>
            <w:pPr>
              <w:pStyle w:val="Compact"/>
              <w:jc w:val="left"/>
            </w:pPr>
            <w:r>
              <w:t xml:space="preserve">INC</w:t>
            </w:r>
          </w:p>
        </w:tc>
        <w:tc>
          <w:tcPr/>
          <w:p>
            <w:pPr>
              <w:pStyle w:val="Compact"/>
              <w:jc w:val="left"/>
            </w:pPr>
            <w:r>
              <w:t xml:space="preserve">Thu nhập cá nhân hằng tháng / Monthly personal income</w:t>
            </w:r>
          </w:p>
        </w:tc>
        <w:tc>
          <w:tcPr/>
          <w:p>
            <w:pPr>
              <w:pStyle w:val="Compact"/>
              <w:jc w:val="left"/>
            </w:pPr>
            <w:r>
              <w:t xml:space="preserve">1 = &lt; 5tr; 2 = 5–10tr; 3 = &gt;10–20tr; 4 = &gt;20–40tr; 5 = &gt;40tr VND; −98</w:t>
            </w:r>
          </w:p>
        </w:tc>
      </w:tr>
      <w:tr>
        <w:tc>
          <w:tcPr/>
          <w:p>
            <w:pPr>
              <w:pStyle w:val="Compact"/>
              <w:jc w:val="left"/>
            </w:pPr>
            <w:r>
              <w:t xml:space="preserve">FREQ</w:t>
            </w:r>
          </w:p>
        </w:tc>
        <w:tc>
          <w:tcPr/>
          <w:p>
            <w:pPr>
              <w:pStyle w:val="Compact"/>
              <w:jc w:val="left"/>
            </w:pPr>
            <w:r>
              <w:t xml:space="preserve">Tần suất mua sắm trực tuyến / Online shopping frequency</w:t>
            </w:r>
          </w:p>
        </w:tc>
        <w:tc>
          <w:tcPr/>
          <w:p>
            <w:pPr>
              <w:pStyle w:val="Compact"/>
              <w:jc w:val="left"/>
            </w:pPr>
            <w:r>
              <w:t xml:space="preserve">1 = rất ít khi; 2 = vài lần mỗi năm; 3 = khoảng mỗi tháng; 4 = khoảng mỗi tuần; 5 = nhiều lần mỗi tuần</w:t>
            </w:r>
          </w:p>
        </w:tc>
      </w:tr>
      <w:tr>
        <w:tc>
          <w:tcPr/>
          <w:p>
            <w:pPr>
              <w:pStyle w:val="Compact"/>
              <w:jc w:val="left"/>
            </w:pPr>
            <w:r>
              <w:t xml:space="preserve">PLAT</w:t>
            </w:r>
          </w:p>
        </w:tc>
        <w:tc>
          <w:tcPr/>
          <w:p>
            <w:pPr>
              <w:pStyle w:val="Compact"/>
              <w:jc w:val="left"/>
            </w:pPr>
            <w:r>
              <w:t xml:space="preserve">Nền tảng mua nhiều nhất / Most-used platform</w:t>
            </w:r>
          </w:p>
        </w:tc>
        <w:tc>
          <w:tcPr/>
          <w:p>
            <w:pPr>
              <w:pStyle w:val="Compact"/>
              <w:jc w:val="left"/>
            </w:pPr>
            <w:r>
              <w:t xml:space="preserve">1 = Shopee; 2 = Lazada; 3 = TikTok Shop; 4 = Tiki; 5 = Khác</w:t>
            </w:r>
          </w:p>
        </w:tc>
      </w:tr>
      <w:tr>
        <w:tc>
          <w:tcPr/>
          <w:p>
            <w:pPr>
              <w:pStyle w:val="Compact"/>
              <w:jc w:val="left"/>
            </w:pPr>
            <w:r>
              <w:t xml:space="preserve">PLAT_5_TEXT</w:t>
            </w:r>
          </w:p>
        </w:tc>
        <w:tc>
          <w:tcPr/>
          <w:p>
            <w:pPr>
              <w:pStyle w:val="Compact"/>
              <w:jc w:val="left"/>
            </w:pPr>
            <w:r>
              <w:t xml:space="preserve">Free text for PLAT = 5</w:t>
            </w:r>
          </w:p>
        </w:tc>
        <w:tc>
          <w:tcPr/>
          <w:p>
            <w:pPr>
              <w:pStyle w:val="Compact"/>
              <w:jc w:val="left"/>
            </w:pPr>
            <w:r>
              <w:t xml:space="preserve">string</w:t>
            </w:r>
          </w:p>
        </w:tc>
      </w:tr>
      <w:tr>
        <w:tc>
          <w:tcPr/>
          <w:p>
            <w:pPr>
              <w:pStyle w:val="Compact"/>
              <w:jc w:val="left"/>
            </w:pPr>
            <w:r>
              <w:t xml:space="preserve">PRIOR</w:t>
            </w:r>
          </w:p>
        </w:tc>
        <w:tc>
          <w:tcPr/>
          <w:p>
            <w:pPr>
              <w:pStyle w:val="Compact"/>
              <w:jc w:val="left"/>
            </w:pPr>
            <w:r>
              <w:t xml:space="preserve">Thời gian sử dụng nền tảng / Tenure on that platform</w:t>
            </w:r>
          </w:p>
        </w:tc>
        <w:tc>
          <w:tcPr/>
          <w:p>
            <w:pPr>
              <w:pStyle w:val="Compact"/>
              <w:jc w:val="left"/>
            </w:pPr>
            <w:r>
              <w:t xml:space="preserve">1 = &lt; 6 tháng; 2 = 6–12 tháng; 3 = 1–3 năm; 4 = &gt; 3 năm</w:t>
            </w:r>
          </w:p>
        </w:tc>
      </w:tr>
      <w:tr>
        <w:tc>
          <w:tcPr/>
          <w:p>
            <w:pPr>
              <w:pStyle w:val="Compact"/>
              <w:jc w:val="left"/>
            </w:pPr>
            <w:r>
              <w:t xml:space="preserve">CHAN</w:t>
            </w:r>
          </w:p>
        </w:tc>
        <w:tc>
          <w:tcPr/>
          <w:p>
            <w:pPr>
              <w:pStyle w:val="Compact"/>
              <w:jc w:val="left"/>
            </w:pPr>
            <w:r>
              <w:t xml:space="preserve">Kênh đã mua (chọn nhiều) / Channels used (multi-select)</w:t>
            </w:r>
          </w:p>
        </w:tc>
        <w:tc>
          <w:tcPr/>
          <w:p>
            <w:pPr>
              <w:pStyle w:val="Compact"/>
              <w:jc w:val="left"/>
            </w:pPr>
            <w:r>
              <w:t xml:space="preserve">Comma-separated choice numbers 1–5</w:t>
            </w:r>
          </w:p>
        </w:tc>
      </w:tr>
    </w:tbl>
    <w:p>
      <w:pPr>
        <w:pStyle w:val="BodyText"/>
      </w:pPr>
      <w:r>
        <w:t xml:space="preserve">PLAT is piped into the PRIOR and CHAN stems via Qualtrics piped text, so those two items are conditional on the PLAT answer.</w:t>
      </w:r>
    </w:p>
    <w:p>
      <w:pPr>
        <w:pStyle w:val="BodyText"/>
      </w:pPr>
      <w:r>
        <w:rPr>
          <w:bCs/>
          <w:b/>
        </w:rPr>
        <w:t xml:space="preserve">CHAN decoding.</w:t>
      </w:r>
      <w:r>
        <w:t xml:space="preserve"> The loader expands CHAN into five booleans: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Derived column</w:t>
            </w:r>
          </w:p>
        </w:tc>
        <w:tc>
          <w:tcPr/>
          <w:p>
            <w:pPr>
              <w:pStyle w:val="Compact"/>
              <w:jc w:val="left"/>
            </w:pPr>
            <w:r>
              <w:rPr>
                <w:bCs/>
                <w:b/>
              </w:rPr>
              <w:t xml:space="preserve">Choice</w:t>
            </w:r>
          </w:p>
        </w:tc>
        <w:tc>
          <w:tcPr/>
          <w:p>
            <w:pPr>
              <w:pStyle w:val="Compact"/>
              <w:jc w:val="left"/>
            </w:pPr>
            <w:r>
              <w:rPr>
                <w:bCs/>
                <w:b/>
              </w:rPr>
              <w:t xml:space="preserve">Channel</w:t>
            </w:r>
          </w:p>
        </w:tc>
      </w:tr>
      <w:tr>
        <w:tc>
          <w:tcPr/>
          <w:p>
            <w:pPr>
              <w:pStyle w:val="Compact"/>
              <w:jc w:val="left"/>
            </w:pPr>
            <w:r>
              <w:t xml:space="preserve">CHAN_APP</w:t>
            </w:r>
          </w:p>
        </w:tc>
        <w:tc>
          <w:tcPr/>
          <w:p>
            <w:pPr>
              <w:pStyle w:val="Compact"/>
              <w:jc w:val="left"/>
            </w:pPr>
            <w:r>
              <w:t xml:space="preserve">1</w:t>
            </w:r>
          </w:p>
        </w:tc>
        <w:tc>
          <w:tcPr/>
          <w:p>
            <w:pPr>
              <w:pStyle w:val="Compact"/>
              <w:jc w:val="left"/>
            </w:pPr>
            <w:r>
              <w:t xml:space="preserve">Ứng dụng di động / platform mobile app</w:t>
            </w:r>
          </w:p>
        </w:tc>
      </w:tr>
      <w:tr>
        <w:tc>
          <w:tcPr/>
          <w:p>
            <w:pPr>
              <w:pStyle w:val="Compact"/>
              <w:jc w:val="left"/>
            </w:pPr>
            <w:r>
              <w:t xml:space="preserve">CHAN_WEB</w:t>
            </w:r>
          </w:p>
        </w:tc>
        <w:tc>
          <w:tcPr/>
          <w:p>
            <w:pPr>
              <w:pStyle w:val="Compact"/>
              <w:jc w:val="left"/>
            </w:pPr>
            <w:r>
              <w:t xml:space="preserve">2</w:t>
            </w:r>
          </w:p>
        </w:tc>
        <w:tc>
          <w:tcPr/>
          <w:p>
            <w:pPr>
              <w:pStyle w:val="Compact"/>
              <w:jc w:val="left"/>
            </w:pPr>
            <w:r>
              <w:t xml:space="preserve">Website của nền tảng / platform website</w:t>
            </w:r>
          </w:p>
        </w:tc>
      </w:tr>
      <w:tr>
        <w:tc>
          <w:tcPr/>
          <w:p>
            <w:pPr>
              <w:pStyle w:val="Compact"/>
              <w:jc w:val="left"/>
            </w:pPr>
            <w:r>
              <w:t xml:space="preserve">CHAN_LIVE</w:t>
            </w:r>
          </w:p>
        </w:tc>
        <w:tc>
          <w:tcPr/>
          <w:p>
            <w:pPr>
              <w:pStyle w:val="Compact"/>
              <w:jc w:val="left"/>
            </w:pPr>
            <w:r>
              <w:t xml:space="preserve">3</w:t>
            </w:r>
          </w:p>
        </w:tc>
        <w:tc>
          <w:tcPr/>
          <w:p>
            <w:pPr>
              <w:pStyle w:val="Compact"/>
              <w:jc w:val="left"/>
            </w:pPr>
            <w:r>
              <w:t xml:space="preserve">Livestream bán hàng / platform livestream sales</w:t>
            </w:r>
          </w:p>
        </w:tc>
      </w:tr>
      <w:tr>
        <w:tc>
          <w:tcPr/>
          <w:p>
            <w:pPr>
              <w:pStyle w:val="Compact"/>
              <w:jc w:val="left"/>
            </w:pPr>
            <w:r>
              <w:t xml:space="preserve">CHAN_STORE</w:t>
            </w:r>
          </w:p>
        </w:tc>
        <w:tc>
          <w:tcPr/>
          <w:p>
            <w:pPr>
              <w:pStyle w:val="Compact"/>
              <w:jc w:val="left"/>
            </w:pPr>
            <w:r>
              <w:t xml:space="preserve">4</w:t>
            </w:r>
          </w:p>
        </w:tc>
        <w:tc>
          <w:tcPr/>
          <w:p>
            <w:pPr>
              <w:pStyle w:val="Compact"/>
              <w:jc w:val="left"/>
            </w:pPr>
            <w:r>
              <w:t xml:space="preserve">Cửa hàng vật lý / physical store of the same retailer</w:t>
            </w:r>
          </w:p>
        </w:tc>
      </w:tr>
      <w:tr>
        <w:tc>
          <w:tcPr/>
          <w:p>
            <w:pPr>
              <w:pStyle w:val="Compact"/>
              <w:jc w:val="left"/>
            </w:pPr>
            <w:r>
              <w:t xml:space="preserve">CHAN_SOC</w:t>
            </w:r>
          </w:p>
        </w:tc>
        <w:tc>
          <w:tcPr/>
          <w:p>
            <w:pPr>
              <w:pStyle w:val="Compact"/>
              <w:jc w:val="left"/>
            </w:pPr>
            <w:r>
              <w:t xml:space="preserve">5</w:t>
            </w:r>
          </w:p>
        </w:tc>
        <w:tc>
          <w:tcPr/>
          <w:p>
            <w:pPr>
              <w:pStyle w:val="Compact"/>
              <w:jc w:val="left"/>
            </w:pPr>
            <w:r>
              <w:t xml:space="preserve">Kênh mạng xã hội của nhà bán lẻ / retailer’s social media channel</w:t>
            </w:r>
          </w:p>
        </w:tc>
      </w:tr>
    </w:tbl>
    <w:p>
      <w:pPr>
        <w:pStyle w:val="BodyText"/>
      </w:pPr>
      <w:r>
        <w:t xml:space="preserve">Channel breadth (count of TRUE across the five) is available as a sample-description statistic and as a candidate control variable; it is </w:t>
      </w:r>
      <w:r>
        <w:rPr>
          <w:bCs/>
          <w:b/>
        </w:rPr>
        <w:t xml:space="preserve">not</w:t>
      </w:r>
      <w:r>
        <w:t xml:space="preserve"> a construct and carries no hypothesis.</w:t>
      </w:r>
    </w:p>
    <w:bookmarkEnd w:id="37"/>
    <w:bookmarkEnd w:id="38"/>
    <w:bookmarkStart w:id="42" w:name="derived-variables"/>
    <w:p>
      <w:pPr>
        <w:pStyle w:val="Heading1"/>
      </w:pPr>
      <w:r>
        <w:t xml:space="preserve">5. Derived variables</w:t>
      </w:r>
    </w:p>
    <w:bookmarkStart w:id="39" w:name="construct-scores"/>
    <w:p>
      <w:pPr>
        <w:pStyle w:val="Heading2"/>
      </w:pPr>
      <w:r>
        <w:t xml:space="preserve">5.1 Construct scores</w:t>
      </w:r>
    </w:p>
    <w:p>
      <w:pPr>
        <w:pStyle w:val="FirstParagraph"/>
      </w:pPr>
      <w:r>
        <w:t xml:space="preserve">Computed as the unweighted mean of the </w:t>
      </w:r>
      <w:r>
        <w:rPr>
          <w:bCs/>
          <w:b/>
        </w:rPr>
        <w:t xml:space="preserve">analysed</w:t>
      </w:r>
      <w:r>
        <w:t xml:space="preserve"> items only. Used for the ANOVA, descriptives, and the two-stage interaction terms — not for the PLS measurement model, which works from the indicators directly.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Derived</w:t>
            </w:r>
          </w:p>
        </w:tc>
        <w:tc>
          <w:tcPr/>
          <w:p>
            <w:pPr>
              <w:pStyle w:val="Compact"/>
              <w:jc w:val="left"/>
            </w:pPr>
            <w:r>
              <w:rPr>
                <w:bCs/>
                <w:b/>
              </w:rPr>
              <w:t xml:space="preserve">Formula</w:t>
            </w:r>
          </w:p>
        </w:tc>
        <w:tc>
          <w:tcPr/>
          <w:p>
            <w:pPr>
              <w:pStyle w:val="Compact"/>
              <w:jc w:val="left"/>
            </w:pPr>
            <w:r>
              <w:rPr>
                <w:bCs/>
                <w:b/>
              </w:rPr>
              <w:t xml:space="preserve">Note</w:t>
            </w:r>
          </w:p>
        </w:tc>
      </w:tr>
      <w:tr>
        <w:tc>
          <w:tcPr/>
          <w:p>
            <w:pPr>
              <w:pStyle w:val="Compact"/>
              <w:jc w:val="left"/>
            </w:pPr>
            <w:r>
              <w:t xml:space="preserve">AIP_mean</w:t>
            </w:r>
          </w:p>
        </w:tc>
        <w:tc>
          <w:tcPr/>
          <w:p>
            <w:pPr>
              <w:pStyle w:val="Compact"/>
              <w:jc w:val="left"/>
            </w:pPr>
            <w:r>
              <w:t xml:space="preserve">mean(AIP1…AIP5)</w:t>
            </w:r>
          </w:p>
        </w:tc>
        <w:tc>
          <w:tcPr/>
          <w:p>
            <w:pPr>
              <w:pStyle w:val="Compact"/>
            </w:pPr>
          </w:p>
        </w:tc>
      </w:tr>
      <w:tr>
        <w:tc>
          <w:tcPr/>
          <w:p>
            <w:pPr>
              <w:pStyle w:val="Compact"/>
              <w:jc w:val="left"/>
            </w:pPr>
            <w:r>
              <w:t xml:space="preserve">REL_mean</w:t>
            </w:r>
          </w:p>
        </w:tc>
        <w:tc>
          <w:tcPr/>
          <w:p>
            <w:pPr>
              <w:pStyle w:val="Compact"/>
              <w:jc w:val="left"/>
            </w:pPr>
            <w:r>
              <w:t xml:space="preserve">mean(REL1…REL4)</w:t>
            </w:r>
          </w:p>
        </w:tc>
        <w:tc>
          <w:tcPr/>
          <w:p>
            <w:pPr>
              <w:pStyle w:val="Compact"/>
              <w:jc w:val="left"/>
            </w:pPr>
            <w:r>
              <w:t xml:space="preserve">All 4 items analysed; no exclusion. Amendment A-9's REL4-exclusion logic and REL_mean_4item are retired — do not reuse these variable names for the current 4-item REL.</w:t>
            </w:r>
          </w:p>
        </w:tc>
      </w:tr>
      <w:tr>
        <w:tc>
          <w:tcPr/>
          <w:p>
            <w:pPr>
              <w:pStyle w:val="Compact"/>
              <w:jc w:val="left"/>
            </w:pPr>
            <w:r>
              <w:t xml:space="preserve">INT_mean</w:t>
            </w:r>
          </w:p>
        </w:tc>
        <w:tc>
          <w:tcPr/>
          <w:p>
            <w:pPr>
              <w:pStyle w:val="Compact"/>
              <w:jc w:val="left"/>
            </w:pPr>
            <w:r>
              <w:t xml:space="preserve">mean(INT1…INT5)</w:t>
            </w:r>
          </w:p>
        </w:tc>
        <w:tc>
          <w:tcPr/>
          <w:p>
            <w:pPr>
              <w:pStyle w:val="Compact"/>
              <w:jc w:val="left"/>
            </w:pPr>
            <w:r>
              <w:t xml:space="preserve">Dependent variable of the two-way ANOVA (H3)</w:t>
            </w:r>
          </w:p>
        </w:tc>
      </w:tr>
      <w:tr>
        <w:tc>
          <w:tcPr/>
          <w:p>
            <w:pPr>
              <w:pStyle w:val="Compact"/>
              <w:jc w:val="left"/>
            </w:pPr>
            <w:r>
              <w:t xml:space="preserve">TRU_mean</w:t>
            </w:r>
          </w:p>
        </w:tc>
        <w:tc>
          <w:tcPr/>
          <w:p>
            <w:pPr>
              <w:pStyle w:val="Compact"/>
              <w:jc w:val="left"/>
            </w:pPr>
            <w:r>
              <w:t xml:space="preserve">mean(TRU1…TRU6)</w:t>
            </w:r>
          </w:p>
        </w:tc>
        <w:tc>
          <w:tcPr/>
          <w:p>
            <w:pPr>
              <w:pStyle w:val="Compact"/>
            </w:pPr>
          </w:p>
        </w:tc>
      </w:tr>
      <w:tr>
        <w:tc>
          <w:tcPr/>
          <w:p>
            <w:pPr>
              <w:pStyle w:val="Compact"/>
              <w:jc w:val="left"/>
            </w:pPr>
            <w:r>
              <w:t xml:space="preserve">ENG_mean</w:t>
            </w:r>
          </w:p>
        </w:tc>
        <w:tc>
          <w:tcPr/>
          <w:p>
            <w:pPr>
              <w:pStyle w:val="Compact"/>
              <w:jc w:val="left"/>
            </w:pPr>
            <w:r>
              <w:t xml:space="preserve">mean(ENG1…ENG6)</w:t>
            </w:r>
          </w:p>
        </w:tc>
        <w:tc>
          <w:tcPr/>
          <w:p>
            <w:pPr>
              <w:pStyle w:val="Compact"/>
              <w:jc w:val="left"/>
            </w:pPr>
            <w:r>
              <w:t xml:space="preserve">Primary score — still one pooled composite for the structural model (H5, H6b, E1, E2). Amendment A-12 does not change this.</w:t>
            </w:r>
          </w:p>
        </w:tc>
      </w:tr>
      <w:tr>
        <w:tc>
          <w:tcPr/>
          <w:p>
            <w:pPr>
              <w:pStyle w:val="Compact"/>
              <w:jc w:val="left"/>
            </w:pPr>
            <w:r>
              <w:t xml:space="preserve">ENG_cog_mean</w:t>
            </w:r>
          </w:p>
        </w:tc>
        <w:tc>
          <w:tcPr/>
          <w:p>
            <w:pPr>
              <w:pStyle w:val="Compact"/>
              <w:jc w:val="left"/>
            </w:pPr>
            <w:r>
              <w:t xml:space="preserve">mean(ENG1, ENG2)</w:t>
            </w:r>
          </w:p>
        </w:tc>
        <w:tc>
          <w:tcPr/>
          <w:p>
            <w:pPr>
              <w:pStyle w:val="Compact"/>
              <w:jc w:val="left"/>
            </w:pPr>
            <w:r>
              <w:rPr>
                <w:bCs/>
                <w:b/>
              </w:rPr>
              <w:t xml:space="preserve">Diagnostic only</w:t>
            </w:r>
            <w:r>
              <w:t xml:space="preserve"> (Amendment A-12) — Cognitive Processing facet, used for within-dimension reliability/item-retention checks, never as a structural-model input.</w:t>
            </w:r>
          </w:p>
        </w:tc>
      </w:tr>
      <w:tr>
        <w:tc>
          <w:tcPr/>
          <w:p>
            <w:pPr>
              <w:pStyle w:val="Compact"/>
              <w:jc w:val="left"/>
            </w:pPr>
            <w:r>
              <w:t xml:space="preserve">ENG_aff_mean</w:t>
            </w:r>
          </w:p>
        </w:tc>
        <w:tc>
          <w:tcPr/>
          <w:p>
            <w:pPr>
              <w:pStyle w:val="Compact"/>
              <w:jc w:val="left"/>
            </w:pPr>
            <w:r>
              <w:t xml:space="preserve">mean(ENG3, ENG6)</w:t>
            </w:r>
          </w:p>
        </w:tc>
        <w:tc>
          <w:tcPr/>
          <w:p>
            <w:pPr>
              <w:pStyle w:val="Compact"/>
              <w:jc w:val="left"/>
            </w:pPr>
            <w:r>
              <w:rPr>
                <w:bCs/>
                <w:b/>
              </w:rPr>
              <w:t xml:space="preserve">Diagnostic only</w:t>
            </w:r>
            <w:r>
              <w:t xml:space="preserve"> — Affection facet.</w:t>
            </w:r>
          </w:p>
        </w:tc>
      </w:tr>
      <w:tr>
        <w:tc>
          <w:tcPr/>
          <w:p>
            <w:pPr>
              <w:pStyle w:val="Compact"/>
              <w:jc w:val="left"/>
            </w:pPr>
            <w:r>
              <w:t xml:space="preserve">ENG_act_mean</w:t>
            </w:r>
          </w:p>
        </w:tc>
        <w:tc>
          <w:tcPr/>
          <w:p>
            <w:pPr>
              <w:pStyle w:val="Compact"/>
              <w:jc w:val="left"/>
            </w:pPr>
            <w:r>
              <w:t xml:space="preserve">mean(ENG4, ENG5)</w:t>
            </w:r>
          </w:p>
        </w:tc>
        <w:tc>
          <w:tcPr/>
          <w:p>
            <w:pPr>
              <w:pStyle w:val="Compact"/>
              <w:jc w:val="left"/>
            </w:pPr>
            <w:r>
              <w:rPr>
                <w:bCs/>
                <w:b/>
              </w:rPr>
              <w:t xml:space="preserve">Diagnostic only</w:t>
            </w:r>
            <w:r>
              <w:t xml:space="preserve"> — Activation facet. Weak reliability (α=0.345, pilot n=46) reported in Limitations, not resolved by dropping ENG4.</w:t>
            </w:r>
          </w:p>
        </w:tc>
      </w:tr>
      <w:tr>
        <w:tc>
          <w:tcPr/>
          <w:p>
            <w:pPr>
              <w:pStyle w:val="Compact"/>
              <w:jc w:val="left"/>
            </w:pPr>
            <w:r>
              <w:t xml:space="preserve">PI_mean</w:t>
            </w:r>
          </w:p>
        </w:tc>
        <w:tc>
          <w:tcPr/>
          <w:p>
            <w:pPr>
              <w:pStyle w:val="Compact"/>
              <w:jc w:val="left"/>
            </w:pPr>
            <w:r>
              <w:t xml:space="preserve">mean(PI1…PI4)</w:t>
            </w:r>
          </w:p>
        </w:tc>
        <w:tc>
          <w:tcPr/>
          <w:p>
            <w:pPr>
              <w:pStyle w:val="Compact"/>
            </w:pPr>
          </w:p>
        </w:tc>
      </w:tr>
      <w:tr>
        <w:tc>
          <w:tcPr/>
          <w:p>
            <w:pPr>
              <w:pStyle w:val="Compact"/>
              <w:jc w:val="left"/>
            </w:pPr>
            <w:r>
              <w:t xml:space="preserve">PDPL_mean</w:t>
            </w:r>
          </w:p>
        </w:tc>
        <w:tc>
          <w:tcPr/>
          <w:p>
            <w:pPr>
              <w:pStyle w:val="Compact"/>
              <w:jc w:val="left"/>
            </w:pPr>
            <w:r>
              <w:t xml:space="preserve">mean(PDPL1…PDPL4)</w:t>
            </w:r>
          </w:p>
        </w:tc>
        <w:tc>
          <w:tcPr/>
          <w:p>
            <w:pPr>
              <w:pStyle w:val="Compact"/>
            </w:pPr>
          </w:p>
        </w:tc>
      </w:tr>
    </w:tbl>
    <w:bookmarkEnd w:id="39"/>
    <w:bookmarkStart w:id="40" w:name="interaction-terms-h7a-and-h7b"/>
    <w:p>
      <w:pPr>
        <w:pStyle w:val="Heading2"/>
      </w:pPr>
      <w:r>
        <w:t xml:space="preserve">5.2 Interaction terms — H7a and H7b</w:t>
      </w:r>
    </w:p>
    <w:p>
      <w:pPr>
        <w:pStyle w:val="FirstParagraph"/>
      </w:pPr>
      <w:r>
        <w:rPr>
          <w:bCs/>
          <w:b/>
        </w:rPr>
        <w:t xml:space="preserve">This subsection changed substantially in v2.0. Read it against any older codebook copy before running anything.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Derived</w:t>
            </w:r>
          </w:p>
        </w:tc>
        <w:tc>
          <w:tcPr/>
          <w:p>
            <w:pPr>
              <w:pStyle w:val="Compact"/>
              <w:jc w:val="left"/>
            </w:pPr>
            <w:r>
              <w:rPr>
                <w:bCs/>
                <w:b/>
              </w:rPr>
              <w:t xml:space="preserve">Term</w:t>
            </w:r>
          </w:p>
        </w:tc>
        <w:tc>
          <w:tcPr/>
          <w:p>
            <w:pPr>
              <w:pStyle w:val="Compact"/>
              <w:jc w:val="left"/>
            </w:pPr>
            <w:r>
              <w:rPr>
                <w:bCs/>
                <w:b/>
              </w:rPr>
              <w:t xml:space="preserve">Coefficient</w:t>
            </w:r>
          </w:p>
        </w:tc>
        <w:tc>
          <w:tcPr/>
          <w:p>
            <w:pPr>
              <w:pStyle w:val="Compact"/>
              <w:jc w:val="left"/>
            </w:pPr>
            <w:r>
              <w:rPr>
                <w:bCs/>
                <w:b/>
              </w:rPr>
              <w:t xml:space="preserve">Hypothesis</w:t>
            </w:r>
          </w:p>
        </w:tc>
        <w:tc>
          <w:tcPr/>
          <w:p>
            <w:pPr>
              <w:pStyle w:val="Compact"/>
              <w:jc w:val="left"/>
            </w:pPr>
            <w:r>
              <w:rPr>
                <w:bCs/>
                <w:b/>
              </w:rPr>
              <w:t xml:space="preserve">Status</w:t>
            </w:r>
          </w:p>
        </w:tc>
      </w:tr>
      <w:tr>
        <w:tc>
          <w:tcPr/>
          <w:p>
            <w:pPr>
              <w:pStyle w:val="Compact"/>
              <w:jc w:val="left"/>
            </w:pPr>
            <w:r>
              <w:t xml:space="preserve">INT_x_PDPL</w:t>
            </w:r>
          </w:p>
        </w:tc>
        <w:tc>
          <w:tcPr/>
          <w:p>
            <w:pPr>
              <w:pStyle w:val="Compact"/>
              <w:jc w:val="left"/>
            </w:pPr>
            <w:r>
              <w:t xml:space="preserve">INT × PDPL Awareness</w:t>
            </w:r>
          </w:p>
        </w:tc>
        <w:tc>
          <w:tcPr/>
          <w:p>
            <w:pPr>
              <w:pStyle w:val="Compact"/>
              <w:jc w:val="left"/>
            </w:pPr>
            <w:r>
              <w:rPr>
                <w:bCs/>
                <w:b/>
              </w:rPr>
              <w:t xml:space="preserve">β_M1</w:t>
            </w:r>
          </w:p>
        </w:tc>
        <w:tc>
          <w:tcPr/>
          <w:p>
            <w:pPr>
              <w:pStyle w:val="Compact"/>
              <w:jc w:val="left"/>
            </w:pPr>
            <w:r>
              <w:rPr>
                <w:bCs/>
                <w:b/>
              </w:rPr>
              <w:t xml:space="preserve">H7a</w:t>
            </w:r>
            <w:r>
              <w:t xml:space="preserve">: β_M1 &gt; 0</w:t>
            </w:r>
          </w:p>
        </w:tc>
        <w:tc>
          <w:tcPr/>
          <w:p>
            <w:pPr>
              <w:pStyle w:val="Compact"/>
              <w:jc w:val="left"/>
            </w:pPr>
            <w:r>
              <w:t xml:space="preserve">Active. Generated by the two-stage approach (Becker et al., 2018) in SmartPLS 4 / seminr.</w:t>
            </w:r>
          </w:p>
        </w:tc>
      </w:tr>
      <w:tr>
        <w:tc>
          <w:tcPr/>
          <w:p>
            <w:pPr>
              <w:pStyle w:val="Compact"/>
              <w:jc w:val="left"/>
            </w:pPr>
            <w:r>
              <w:t xml:space="preserve">INT_x_DISC</w:t>
            </w:r>
          </w:p>
        </w:tc>
        <w:tc>
          <w:tcPr/>
          <w:p>
            <w:pPr>
              <w:pStyle w:val="Compact"/>
              <w:jc w:val="left"/>
            </w:pPr>
            <w:r>
              <w:t xml:space="preserve">INT × DISC_COND</w:t>
            </w:r>
          </w:p>
        </w:tc>
        <w:tc>
          <w:tcPr/>
          <w:p>
            <w:pPr>
              <w:pStyle w:val="Compact"/>
              <w:jc w:val="left"/>
            </w:pPr>
            <w:r>
              <w:rPr>
                <w:bCs/>
                <w:b/>
              </w:rPr>
              <w:t xml:space="preserve">β_M2</w:t>
            </w:r>
          </w:p>
        </w:tc>
        <w:tc>
          <w:tcPr/>
          <w:p>
            <w:pPr>
              <w:pStyle w:val="Compact"/>
              <w:jc w:val="left"/>
            </w:pPr>
            <w:r>
              <w:rPr>
                <w:bCs/>
                <w:b/>
              </w:rPr>
              <w:t xml:space="preserve">H7b</w:t>
            </w:r>
            <w:r>
              <w:t xml:space="preserve">: β_M2 &gt; 0</w:t>
            </w:r>
          </w:p>
        </w:tc>
        <w:tc>
          <w:tcPr/>
          <w:p>
            <w:pPr>
              <w:pStyle w:val="Compact"/>
              <w:jc w:val="left"/>
            </w:pPr>
            <w:r>
              <w:t xml:space="preserve">Active. Same generation method; DISC enters as the observed 0/1 dummy.</w:t>
            </w:r>
          </w:p>
        </w:tc>
      </w:tr>
      <w:tr>
        <w:tc>
          <w:tcPr/>
          <w:p>
            <w:pPr>
              <w:pStyle w:val="Compact"/>
              <w:jc w:val="left"/>
            </w:pPr>
            <w:r>
              <w:t xml:space="preserve">PDPL_x_DISC</w:t>
            </w:r>
          </w:p>
        </w:tc>
        <w:tc>
          <w:tcPr/>
          <w:p>
            <w:pPr>
              <w:pStyle w:val="Compact"/>
              <w:jc w:val="left"/>
            </w:pPr>
            <w:r>
              <w:t xml:space="preserve">PDPL × DISC</w:t>
            </w:r>
          </w:p>
        </w:tc>
        <w:tc>
          <w:tcPr/>
          <w:p>
            <w:pPr>
              <w:pStyle w:val="Compact"/>
              <w:jc w:val="left"/>
            </w:pPr>
            <w:r>
              <w:t xml:space="preserve">β_M3</w:t>
            </w:r>
          </w:p>
        </w:tc>
        <w:tc>
          <w:tcPr/>
          <w:p>
            <w:pPr>
              <w:pStyle w:val="Compact"/>
              <w:jc w:val="left"/>
            </w:pPr>
            <w:r>
              <w:t xml:space="preserve">—</w:t>
            </w:r>
          </w:p>
        </w:tc>
        <w:tc>
          <w:tcPr/>
          <w:p>
            <w:pPr>
              <w:pStyle w:val="Compact"/>
              <w:jc w:val="left"/>
            </w:pPr>
            <w:r>
              <w:rPr>
                <w:bCs/>
                <w:b/>
              </w:rPr>
              <w:t xml:space="preserve">DELETED (A-8).</w:t>
            </w:r>
            <w:r>
              <w:t xml:space="preserve"> No theoretical role once the three-way term is retired. Not estimated.</w:t>
            </w:r>
          </w:p>
        </w:tc>
      </w:tr>
      <w:tr>
        <w:tc>
          <w:tcPr/>
          <w:p>
            <w:pPr>
              <w:pStyle w:val="Compact"/>
              <w:jc w:val="left"/>
            </w:pPr>
            <w:r>
              <w:t xml:space="preserve">INT_x_PDPL_x_DISC</w:t>
            </w:r>
          </w:p>
        </w:tc>
        <w:tc>
          <w:tcPr/>
          <w:p>
            <w:pPr>
              <w:pStyle w:val="Compact"/>
              <w:jc w:val="left"/>
            </w:pPr>
            <w:r>
              <w:t xml:space="preserve">INT × PDPL × DISC</w:t>
            </w:r>
          </w:p>
        </w:tc>
        <w:tc>
          <w:tcPr/>
          <w:p>
            <w:pPr>
              <w:pStyle w:val="Compact"/>
              <w:jc w:val="left"/>
            </w:pPr>
            <w:r>
              <w:t xml:space="preserve">β_M4</w:t>
            </w:r>
          </w:p>
        </w:tc>
        <w:tc>
          <w:tcPr/>
          <w:p>
            <w:pPr>
              <w:pStyle w:val="Compact"/>
              <w:jc w:val="left"/>
            </w:pPr>
            <w:r>
              <w:t xml:space="preserve">H7 (old)</w:t>
            </w:r>
          </w:p>
        </w:tc>
        <w:tc>
          <w:tcPr/>
          <w:p>
            <w:pPr>
              <w:pStyle w:val="Compact"/>
              <w:jc w:val="left"/>
            </w:pPr>
            <w:r>
              <w:rPr>
                <w:bCs/>
                <w:b/>
              </w:rPr>
              <w:t xml:space="preserve">DELETED (A-8).</w:t>
            </w:r>
            <w:r>
              <w:t xml:space="preserve"> The three-way product term is retired project-wide.</w:t>
            </w:r>
          </w:p>
        </w:tc>
      </w:tr>
    </w:tbl>
    <w:p>
      <w:pPr>
        <w:pStyle w:val="BodyText"/>
      </w:pPr>
      <w:r>
        <w:rPr>
          <w:bCs/>
          <w:b/>
        </w:rPr>
        <w:t xml:space="preserve">Migration note.</w:t>
      </w:r>
      <w:r>
        <w:t xml:space="preserve"> Any SmartPLS model file, R script, Python script, results table, figure or slide still containing β_M3, β_M4, a three-way product term, or the phrase “moderated moderation” predates TF v2.3 and must be corrected. This includes the –k predictor count in 06_power_analysis.py (the model now has fewer terms) and the interaction block in 07_plssem_bridge.R.</w:t>
      </w:r>
    </w:p>
    <w:p>
      <w:pPr>
        <w:pStyle w:val="BodyText"/>
      </w:pPr>
      <w:r>
        <w:t xml:space="preserve">Both interactions predict </w:t>
      </w:r>
      <w:r>
        <w:rPr>
          <w:bCs/>
          <w:b/>
        </w:rPr>
        <w:t xml:space="preserve">TRU</w:t>
      </w:r>
      <w:r>
        <w:t xml:space="preserve"> and moderate the </w:t>
      </w:r>
      <w:r>
        <w:rPr>
          <w:bCs/>
          <w:b/>
        </w:rPr>
        <w:t xml:space="preserve">H6a path (INT → TRU) only</w:t>
      </w:r>
      <w:r>
        <w:t xml:space="preserve"> — never H6b (INT → ENG), never H6c (INT → PI).</w:t>
      </w:r>
    </w:p>
    <w:bookmarkEnd w:id="40"/>
    <w:bookmarkStart w:id="41" w:name="lower-order-specification-terms"/>
    <w:p>
      <w:pPr>
        <w:pStyle w:val="Heading2"/>
      </w:pPr>
      <w:r>
        <w:t xml:space="preserve">5.3 Lower-order specification terms</w:t>
      </w:r>
    </w:p>
    <w:p>
      <w:pPr>
        <w:pStyle w:val="FirstParagraph"/>
      </w:pPr>
      <w:r>
        <w:t xml:space="preserve">Estimated because an interaction is uninterpretable without its components (Aiken &amp; West, 1991). Reported in the structural-model table; carry no hypothesis; not drawn as arrows in the figure.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Note</w:t>
            </w:r>
          </w:p>
        </w:tc>
      </w:tr>
      <w:tr>
        <w:tc>
          <w:tcPr/>
          <w:p>
            <w:pPr>
              <w:pStyle w:val="Compact"/>
              <w:jc w:val="left"/>
            </w:pPr>
            <w:r>
              <w:t xml:space="preserve">PDPL → TRU (main effect)</w:t>
            </w:r>
          </w:p>
        </w:tc>
        <w:tc>
          <w:tcPr/>
          <w:p>
            <w:pPr>
              <w:pStyle w:val="Compact"/>
              <w:jc w:val="left"/>
            </w:pPr>
            <w:r>
              <w:t xml:space="preserve">Specification term. Not a hypothesis.</w:t>
            </w:r>
          </w:p>
        </w:tc>
      </w:tr>
      <w:tr>
        <w:tc>
          <w:tcPr/>
          <w:p>
            <w:pPr>
              <w:pStyle w:val="Compact"/>
              <w:jc w:val="left"/>
            </w:pPr>
            <w:r>
              <w:t xml:space="preserve">DISC → TRU (main effect)</w:t>
            </w:r>
          </w:p>
        </w:tc>
        <w:tc>
          <w:tcPr/>
          <w:p>
            <w:pPr>
              <w:pStyle w:val="Compact"/>
              <w:jc w:val="left"/>
            </w:pPr>
            <w:r>
              <w:t xml:space="preserve">Specification term. Not a hypothesis.</w:t>
            </w:r>
          </w:p>
        </w:tc>
      </w:tr>
      <w:tr>
        <w:tc>
          <w:tcPr/>
          <w:p>
            <w:pPr>
              <w:pStyle w:val="Compact"/>
              <w:jc w:val="left"/>
            </w:pPr>
            <w:r>
              <w:t xml:space="preserve">DISC → INT</w:t>
            </w:r>
          </w:p>
        </w:tc>
        <w:tc>
          <w:tcPr/>
          <w:p>
            <w:pPr>
              <w:pStyle w:val="Compact"/>
              <w:jc w:val="left"/>
            </w:pPr>
            <w:r>
              <w:t xml:space="preserve">Specification term </w:t>
            </w:r>
            <w:r>
              <w:rPr>
                <w:bCs/>
                <w:b/>
              </w:rPr>
              <w:t xml:space="preserve">only</w:t>
            </w:r>
            <w:r>
              <w:t xml:space="preserve">. H3 is tested by the ANOVA main effect, never by this path (A-5). Reporting this path as a second H3 test is a governance violation.</w:t>
            </w:r>
          </w:p>
        </w:tc>
      </w:tr>
    </w:tbl>
    <w:bookmarkEnd w:id="41"/>
    <w:bookmarkEnd w:id="42"/>
    <w:bookmarkStart w:id="45" w:name="exclusion-and-flag-variables"/>
    <w:p>
      <w:pPr>
        <w:pStyle w:val="Heading1"/>
      </w:pPr>
      <w:r>
        <w:t xml:space="preserve">6. Exclusion and flag variables</w:t>
      </w:r>
    </w:p>
    <w:bookmarkStart w:id="43" w:name="hard-drops-pre-registered"/>
    <w:p>
      <w:pPr>
        <w:pStyle w:val="Heading2"/>
      </w:pPr>
      <w:r>
        <w:t xml:space="preserve">6.1 Hard drops (pre-registered)</w:t>
      </w:r>
    </w:p>
    <w:p>
      <w:pPr>
        <w:pStyle w:val="FirstParagraph"/>
      </w:pPr>
      <w:r>
        <w:t xml:space="preserve">Applied in this order by 01_clean.py. Every threshold lives in _config.py as a named constant and is changed only there, with the change and reason logged.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Rule</w:t>
            </w:r>
          </w:p>
        </w:tc>
        <w:tc>
          <w:tcPr/>
          <w:p>
            <w:pPr>
              <w:pStyle w:val="Compact"/>
              <w:jc w:val="left"/>
            </w:pPr>
            <w:r>
              <w:rPr>
                <w:bCs/>
                <w:b/>
              </w:rPr>
              <w:t xml:space="preserve">Constant</w:t>
            </w:r>
          </w:p>
        </w:tc>
      </w:tr>
      <w:tr>
        <w:tc>
          <w:tcPr/>
          <w:p>
            <w:pPr>
              <w:pStyle w:val="Compact"/>
              <w:jc w:val="left"/>
            </w:pPr>
            <w:r>
              <w:t xml:space="preserve">1</w:t>
            </w:r>
          </w:p>
        </w:tc>
        <w:tc>
          <w:tcPr/>
          <w:p>
            <w:pPr>
              <w:pStyle w:val="Compact"/>
              <w:jc w:val="left"/>
            </w:pPr>
            <w:r>
              <w:t xml:space="preserve">CONSENT ≠ agree</w:t>
            </w:r>
          </w:p>
        </w:tc>
        <w:tc>
          <w:tcPr/>
          <w:p>
            <w:pPr>
              <w:pStyle w:val="Compact"/>
              <w:jc w:val="left"/>
            </w:pPr>
            <w:r>
              <w:t xml:space="preserve">CONSENT_OK_ANCHOR</w:t>
            </w:r>
          </w:p>
        </w:tc>
      </w:tr>
      <w:tr>
        <w:tc>
          <w:tcPr/>
          <w:p>
            <w:pPr>
              <w:pStyle w:val="Compact"/>
              <w:jc w:val="left"/>
            </w:pPr>
            <w:r>
              <w:t xml:space="preserve">2</w:t>
            </w:r>
          </w:p>
        </w:tc>
        <w:tc>
          <w:tcPr/>
          <w:p>
            <w:pPr>
              <w:pStyle w:val="Compact"/>
              <w:jc w:val="left"/>
            </w:pPr>
            <w:r>
              <w:t xml:space="preserve">SCR_AGE ≠ 18+</w:t>
            </w:r>
          </w:p>
        </w:tc>
        <w:tc>
          <w:tcPr/>
          <w:p>
            <w:pPr>
              <w:pStyle w:val="Compact"/>
              <w:jc w:val="left"/>
            </w:pPr>
            <w:r>
              <w:t xml:space="preserve">AGE_OK_ANCHOR</w:t>
            </w:r>
          </w:p>
        </w:tc>
      </w:tr>
      <w:tr>
        <w:tc>
          <w:tcPr/>
          <w:p>
            <w:pPr>
              <w:pStyle w:val="Compact"/>
              <w:jc w:val="left"/>
            </w:pPr>
            <w:r>
              <w:t xml:space="preserve">3</w:t>
            </w:r>
          </w:p>
        </w:tc>
        <w:tc>
          <w:tcPr/>
          <w:p>
            <w:pPr>
              <w:pStyle w:val="Compact"/>
              <w:jc w:val="left"/>
            </w:pPr>
            <w:r>
              <w:t xml:space="preserve">SCR1 ≠ yes (omnichannel screener)</w:t>
            </w:r>
          </w:p>
        </w:tc>
        <w:tc>
          <w:tcPr/>
          <w:p>
            <w:pPr>
              <w:pStyle w:val="Compact"/>
              <w:jc w:val="left"/>
            </w:pPr>
            <w:r>
              <w:t xml:space="preserve">OMNI_OK_ANCHOR</w:t>
            </w:r>
          </w:p>
        </w:tc>
      </w:tr>
      <w:tr>
        <w:tc>
          <w:tcPr/>
          <w:p>
            <w:pPr>
              <w:pStyle w:val="Compact"/>
              <w:jc w:val="left"/>
            </w:pPr>
            <w:r>
              <w:t xml:space="preserve">4</w:t>
            </w:r>
          </w:p>
        </w:tc>
        <w:tc>
          <w:tcPr/>
          <w:p>
            <w:pPr>
              <w:pStyle w:val="Compact"/>
              <w:jc w:val="left"/>
            </w:pPr>
            <w:r>
              <w:t xml:space="preserve">ATT1 ≠ 5</w:t>
            </w:r>
          </w:p>
        </w:tc>
        <w:tc>
          <w:tcPr/>
          <w:p>
            <w:pPr>
              <w:pStyle w:val="Compact"/>
              <w:jc w:val="left"/>
            </w:pPr>
            <w:r>
              <w:t xml:space="preserve">ATT1_CORRECT</w:t>
            </w:r>
          </w:p>
        </w:tc>
      </w:tr>
      <w:tr>
        <w:tc>
          <w:tcPr/>
          <w:p>
            <w:pPr>
              <w:pStyle w:val="Compact"/>
              <w:jc w:val="left"/>
            </w:pPr>
            <w:r>
              <w:t xml:space="preserve">5</w:t>
            </w:r>
          </w:p>
        </w:tc>
        <w:tc>
          <w:tcPr/>
          <w:p>
            <w:pPr>
              <w:pStyle w:val="Compact"/>
              <w:jc w:val="left"/>
            </w:pPr>
            <w:r>
              <w:t xml:space="preserve">ATT2 ≠ 2</w:t>
            </w:r>
          </w:p>
        </w:tc>
        <w:tc>
          <w:tcPr/>
          <w:p>
            <w:pPr>
              <w:pStyle w:val="Compact"/>
              <w:jc w:val="left"/>
            </w:pPr>
            <w:r>
              <w:t xml:space="preserve">ATT2_CORRECT</w:t>
            </w:r>
          </w:p>
        </w:tc>
      </w:tr>
      <w:tr>
        <w:tc>
          <w:tcPr/>
          <w:p>
            <w:pPr>
              <w:pStyle w:val="Compact"/>
              <w:jc w:val="left"/>
            </w:pPr>
            <w:r>
              <w:t xml:space="preserve">6</w:t>
            </w:r>
          </w:p>
        </w:tc>
        <w:tc>
          <w:tcPr/>
          <w:p>
            <w:pPr>
              <w:pStyle w:val="Compact"/>
              <w:jc w:val="left"/>
            </w:pPr>
            <w:r>
              <w:t xml:space="preserve">CC1 ≠ cell-correct answer</w:t>
            </w:r>
          </w:p>
        </w:tc>
        <w:tc>
          <w:tcPr/>
          <w:p>
            <w:pPr>
              <w:pStyle w:val="Compact"/>
              <w:jc w:val="left"/>
            </w:pPr>
            <w:r>
              <w:t xml:space="preserve">computed from AIP_COND</w:t>
            </w:r>
          </w:p>
        </w:tc>
      </w:tr>
      <w:tr>
        <w:tc>
          <w:tcPr/>
          <w:p>
            <w:pPr>
              <w:pStyle w:val="Compact"/>
              <w:jc w:val="left"/>
            </w:pPr>
            <w:r>
              <w:t xml:space="preserve">7</w:t>
            </w:r>
          </w:p>
        </w:tc>
        <w:tc>
          <w:tcPr/>
          <w:p>
            <w:pPr>
              <w:pStyle w:val="Compact"/>
              <w:jc w:val="left"/>
            </w:pPr>
            <w:r>
              <w:t xml:space="preserve">CC2 ≠ cell-correct answer</w:t>
            </w:r>
          </w:p>
        </w:tc>
        <w:tc>
          <w:tcPr/>
          <w:p>
            <w:pPr>
              <w:pStyle w:val="Compact"/>
              <w:jc w:val="left"/>
            </w:pPr>
            <w:r>
              <w:t xml:space="preserve">computed from DISC_COND</w:t>
            </w:r>
          </w:p>
        </w:tc>
      </w:tr>
      <w:tr>
        <w:tc>
          <w:tcPr/>
          <w:p>
            <w:pPr>
              <w:pStyle w:val="Compact"/>
              <w:jc w:val="left"/>
            </w:pPr>
            <w:r>
              <w:t xml:space="preserve">8</w:t>
            </w:r>
          </w:p>
        </w:tc>
        <w:tc>
          <w:tcPr/>
          <w:p>
            <w:pPr>
              <w:pStyle w:val="Compact"/>
              <w:jc w:val="left"/>
            </w:pPr>
            <w:r>
              <w:t xml:space="preserve">Duration (in seconds) &lt; threshold</w:t>
            </w:r>
          </w:p>
        </w:tc>
        <w:tc>
          <w:tcPr/>
          <w:p>
            <w:pPr>
              <w:pStyle w:val="Compact"/>
              <w:jc w:val="left"/>
            </w:pPr>
            <w:r>
              <w:t xml:space="preserve">SPEEDING_MIN_SECONDS</w:t>
            </w:r>
          </w:p>
        </w:tc>
      </w:tr>
      <w:tr>
        <w:tc>
          <w:tcPr/>
          <w:p>
            <w:pPr>
              <w:pStyle w:val="Compact"/>
              <w:jc w:val="left"/>
            </w:pPr>
            <w:r>
              <w:t xml:space="preserve">9</w:t>
            </w:r>
          </w:p>
        </w:tc>
        <w:tc>
          <w:tcPr/>
          <w:p>
            <w:pPr>
              <w:pStyle w:val="Compact"/>
              <w:jc w:val="left"/>
            </w:pPr>
            <w:r>
              <w:t xml:space="preserve">Missing &gt; 10% </w:t>
            </w:r>
            <w:r>
              <w:rPr>
                <w:bCs/>
                <w:b/>
              </w:rPr>
              <w:t xml:space="preserve">of the 34 fielded items</w:t>
            </w:r>
          </w:p>
        </w:tc>
        <w:tc>
          <w:tcPr/>
          <w:p>
            <w:pPr>
              <w:pStyle w:val="Compact"/>
              <w:jc w:val="left"/>
            </w:pPr>
            <w:r>
              <w:t xml:space="preserve">MAX_MISSING_ITEM_PCT</w:t>
            </w:r>
          </w:p>
        </w:tc>
      </w:tr>
    </w:tbl>
    <w:p>
      <w:pPr>
        <w:pStyle w:val="BodyText"/>
      </w:pPr>
      <w:r>
        <w:rPr>
          <w:bCs/>
          <w:b/>
        </w:rPr>
        <w:t xml:space="preserve">Step 9 uses the fielded item count (now 34).</w:t>
      </w:r>
      <w:r>
        <w:t xml:space="preserve"> The historical fielded (33) vs. analysed (32) distinction no longer applies: it existed only because the earlier REL4 was fielded but excluded from analysis. The current instrument has no fielded-but-excluded items — fielded and analysed counts are identical (34) — so this screen and every other item-count reference in this codebook should use 34 uniformly going forward.</w:t>
      </w:r>
    </w:p>
    <w:bookmarkEnd w:id="43"/>
    <w:bookmarkStart w:id="44" w:name="soft-flags-reported-not-dropped"/>
    <w:p>
      <w:pPr>
        <w:pStyle w:val="Heading2"/>
      </w:pPr>
      <w:r>
        <w:t xml:space="preserve">6.2 Soft flags (reported, not dropped)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Flag</w:t>
            </w:r>
          </w:p>
        </w:tc>
        <w:tc>
          <w:tcPr/>
          <w:p>
            <w:pPr>
              <w:pStyle w:val="Compact"/>
              <w:jc w:val="left"/>
            </w:pPr>
            <w:r>
              <w:rPr>
                <w:bCs/>
                <w:b/>
              </w:rPr>
              <w:t xml:space="preserve">Meaning</w:t>
            </w:r>
          </w:p>
        </w:tc>
        <w:tc>
          <w:tcPr/>
          <w:p>
            <w:pPr>
              <w:pStyle w:val="Compact"/>
              <w:jc w:val="left"/>
            </w:pPr>
            <w:r>
              <w:rPr>
                <w:bCs/>
                <w:b/>
              </w:rPr>
              <w:t xml:space="preserve">Basis</w:t>
            </w:r>
          </w:p>
        </w:tc>
      </w:tr>
      <w:tr>
        <w:tc>
          <w:tcPr/>
          <w:p>
            <w:pPr>
              <w:pStyle w:val="Compact"/>
              <w:jc w:val="left"/>
            </w:pPr>
            <w:r>
              <w:t xml:space="preserve">flag_straightliner</w:t>
            </w:r>
          </w:p>
        </w:tc>
        <w:tc>
          <w:tcPr/>
          <w:p>
            <w:pPr>
              <w:pStyle w:val="Compact"/>
              <w:jc w:val="left"/>
            </w:pPr>
            <w:r>
              <w:t xml:space="preserve">SD across </w:t>
            </w:r>
            <w:r>
              <w:rPr>
                <w:bCs/>
                <w:b/>
              </w:rPr>
              <w:t xml:space="preserve">the 34 fielded items</w:t>
            </w:r>
            <w:r>
              <w:t xml:space="preserve"> below threshold</w:t>
            </w:r>
          </w:p>
        </w:tc>
        <w:tc>
          <w:tcPr/>
          <w:p>
            <w:pPr>
              <w:pStyle w:val="Compact"/>
              <w:jc w:val="left"/>
            </w:pPr>
            <w:r>
              <w:t xml:space="preserve">STRAIGHTLINE_SD_THRESHOLD</w:t>
            </w:r>
          </w:p>
        </w:tc>
      </w:tr>
      <w:tr>
        <w:tc>
          <w:tcPr/>
          <w:p>
            <w:pPr>
              <w:pStyle w:val="Compact"/>
              <w:jc w:val="left"/>
            </w:pPr>
            <w:r>
              <w:t xml:space="preserve">flag_cell_mismatch</w:t>
            </w:r>
          </w:p>
        </w:tc>
        <w:tc>
          <w:tcPr/>
          <w:p>
            <w:pPr>
              <w:pStyle w:val="Compact"/>
              <w:jc w:val="left"/>
            </w:pPr>
            <w:r>
              <w:t xml:space="preserve">CELL disagrees with AIP_COND × DISC_COND</w:t>
            </w:r>
          </w:p>
        </w:tc>
        <w:tc>
          <w:tcPr/>
          <w:p>
            <w:pPr>
              <w:pStyle w:val="Compact"/>
              <w:jc w:val="left"/>
            </w:pPr>
            <w:r>
              <w:t xml:space="preserve">Survey-Flow integrity signal, not a respondent-quality issue</w:t>
            </w:r>
          </w:p>
        </w:tc>
      </w:tr>
    </w:tbl>
    <w:p>
      <w:pPr>
        <w:pStyle w:val="BodyText"/>
      </w:pPr>
      <w:r>
        <w:t xml:space="preserve">Soft flags drive a with/without sensitivity check in the descriptives, not an exclusion.</w:t>
      </w:r>
    </w:p>
    <w:bookmarkEnd w:id="44"/>
    <w:bookmarkEnd w:id="45"/>
    <w:bookmarkStart w:id="46" w:name="analysis-role-matrix"/>
    <w:p>
      <w:pPr>
        <w:pStyle w:val="Heading1"/>
      </w:pPr>
      <w:r>
        <w:t xml:space="preserve">7. Analysis role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Hypothesis / test</w:t>
            </w:r>
          </w:p>
        </w:tc>
        <w:tc>
          <w:tcPr/>
          <w:p>
            <w:pPr>
              <w:pStyle w:val="Compact"/>
              <w:jc w:val="left"/>
            </w:pPr>
            <w:r>
              <w:rPr>
                <w:bCs/>
                <w:b/>
              </w:rPr>
              <w:t xml:space="preserve">Variables</w:t>
            </w:r>
          </w:p>
        </w:tc>
        <w:tc>
          <w:tcPr/>
          <w:p>
            <w:pPr>
              <w:pStyle w:val="Compact"/>
              <w:jc w:val="left"/>
            </w:pPr>
            <w:r>
              <w:rPr>
                <w:bCs/>
                <w:b/>
              </w:rPr>
              <w:t xml:space="preserve">Method</w:t>
            </w:r>
          </w:p>
        </w:tc>
        <w:tc>
          <w:tcPr/>
          <w:p>
            <w:pPr>
              <w:pStyle w:val="Compact"/>
              <w:jc w:val="left"/>
            </w:pPr>
            <w:r>
              <w:rPr>
                <w:bCs/>
                <w:b/>
              </w:rPr>
              <w:t xml:space="preserve">Script / tool</w:t>
            </w:r>
          </w:p>
        </w:tc>
      </w:tr>
      <w:tr>
        <w:tc>
          <w:tcPr/>
          <w:p>
            <w:pPr>
              <w:pStyle w:val="Compact"/>
              <w:jc w:val="left"/>
            </w:pPr>
            <w:r>
              <w:t xml:space="preserve">H1 AIP → REL (+)</w:t>
            </w:r>
          </w:p>
        </w:tc>
        <w:tc>
          <w:tcPr/>
          <w:p>
            <w:pPr>
              <w:pStyle w:val="Compact"/>
              <w:jc w:val="left"/>
            </w:pPr>
            <w:r>
              <w:t xml:space="preserve">AIP items, REL1–REL4</w:t>
            </w:r>
          </w:p>
        </w:tc>
        <w:tc>
          <w:tcPr/>
          <w:p>
            <w:pPr>
              <w:pStyle w:val="Compact"/>
              <w:jc w:val="left"/>
            </w:pPr>
            <w:r>
              <w:t xml:space="preserve">PLS-SEM path</w:t>
            </w:r>
          </w:p>
        </w:tc>
        <w:tc>
          <w:tcPr/>
          <w:p>
            <w:pPr>
              <w:pStyle w:val="Compact"/>
              <w:jc w:val="left"/>
            </w:pPr>
            <w:r>
              <w:t xml:space="preserve">SmartPLS 4 · 07_plssem_bridge.R</w:t>
            </w:r>
          </w:p>
        </w:tc>
      </w:tr>
      <w:tr>
        <w:tc>
          <w:tcPr/>
          <w:p>
            <w:pPr>
              <w:pStyle w:val="Compact"/>
              <w:jc w:val="left"/>
            </w:pPr>
            <w:r>
              <w:t xml:space="preserve">H2 AIP → INT (+)</w:t>
            </w:r>
          </w:p>
        </w:tc>
        <w:tc>
          <w:tcPr/>
          <w:p>
            <w:pPr>
              <w:pStyle w:val="Compact"/>
              <w:jc w:val="left"/>
            </w:pPr>
            <w:r>
              <w:t xml:space="preserve">AIP items, INT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rPr>
                <w:bCs/>
                <w:b/>
              </w:rPr>
              <w:t xml:space="preserve">H3 DISC → INT (−)</w:t>
            </w:r>
          </w:p>
        </w:tc>
        <w:tc>
          <w:tcPr/>
          <w:p>
            <w:pPr>
              <w:pStyle w:val="Compact"/>
              <w:jc w:val="left"/>
            </w:pPr>
            <w:r>
              <w:t xml:space="preserve">DISC_COND, INT_mean</w:t>
            </w:r>
          </w:p>
        </w:tc>
        <w:tc>
          <w:tcPr/>
          <w:p>
            <w:pPr>
              <w:pStyle w:val="Compact"/>
              <w:jc w:val="left"/>
            </w:pPr>
            <w:r>
              <w:rPr>
                <w:bCs/>
                <w:b/>
              </w:rPr>
              <w:t xml:space="preserve">Two-way ANOVA main effect — sole confirmatory test</w:t>
            </w:r>
          </w:p>
        </w:tc>
        <w:tc>
          <w:tcPr/>
          <w:p>
            <w:pPr>
              <w:pStyle w:val="Compact"/>
              <w:jc w:val="left"/>
            </w:pPr>
            <w:r>
              <w:t xml:space="preserve">05_anova_h3.py</w:t>
            </w:r>
          </w:p>
        </w:tc>
      </w:tr>
      <w:tr>
        <w:tc>
          <w:tcPr/>
          <w:p>
            <w:pPr>
              <w:pStyle w:val="Compact"/>
              <w:jc w:val="left"/>
            </w:pPr>
            <w:r>
              <w:t xml:space="preserve">H4 REL → TRU (+)</w:t>
            </w:r>
          </w:p>
        </w:tc>
        <w:tc>
          <w:tcPr/>
          <w:p>
            <w:pPr>
              <w:pStyle w:val="Compact"/>
              <w:jc w:val="left"/>
            </w:pPr>
            <w:r>
              <w:t xml:space="preserve">REL1–REL4, TRU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H5 REL → ENG (+)</w:t>
            </w:r>
          </w:p>
        </w:tc>
        <w:tc>
          <w:tcPr/>
          <w:p>
            <w:pPr>
              <w:pStyle w:val="Compact"/>
              <w:jc w:val="left"/>
            </w:pPr>
            <w:r>
              <w:t xml:space="preserve">REL1–REL4, ENG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H6a INT → TRU (−)</w:t>
            </w:r>
          </w:p>
        </w:tc>
        <w:tc>
          <w:tcPr/>
          <w:p>
            <w:pPr>
              <w:pStyle w:val="Compact"/>
              <w:jc w:val="left"/>
            </w:pPr>
            <w:r>
              <w:t xml:space="preserve">INT, TRU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H6b INT → ENG (−)</w:t>
            </w:r>
          </w:p>
        </w:tc>
        <w:tc>
          <w:tcPr/>
          <w:p>
            <w:pPr>
              <w:pStyle w:val="Compact"/>
              <w:jc w:val="left"/>
            </w:pPr>
            <w:r>
              <w:t xml:space="preserve">INT, ENG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t xml:space="preserve">H6c INT → PI (−)</w:t>
            </w:r>
          </w:p>
        </w:tc>
        <w:tc>
          <w:tcPr/>
          <w:p>
            <w:pPr>
              <w:pStyle w:val="Compact"/>
              <w:jc w:val="left"/>
            </w:pPr>
            <w:r>
              <w:t xml:space="preserve">INT, PI items</w:t>
            </w:r>
          </w:p>
        </w:tc>
        <w:tc>
          <w:tcPr/>
          <w:p>
            <w:pPr>
              <w:pStyle w:val="Compact"/>
              <w:jc w:val="left"/>
            </w:pPr>
            <w:r>
              <w:t xml:space="preserve">PLS-SEM path</w:t>
            </w:r>
          </w:p>
        </w:tc>
        <w:tc>
          <w:tcPr/>
          <w:p>
            <w:pPr>
              <w:pStyle w:val="Compact"/>
              <w:jc w:val="left"/>
            </w:pPr>
            <w:r>
              <w:t xml:space="preserve">SmartPLS 4 · 07</w:t>
            </w:r>
          </w:p>
        </w:tc>
      </w:tr>
      <w:tr>
        <w:tc>
          <w:tcPr/>
          <w:p>
            <w:pPr>
              <w:pStyle w:val="Compact"/>
              <w:jc w:val="left"/>
            </w:pPr>
            <w:r>
              <w:rPr>
                <w:bCs/>
                <w:b/>
              </w:rPr>
              <w:t xml:space="preserve">H7a PDPL × INT → TRU</w:t>
            </w:r>
          </w:p>
        </w:tc>
        <w:tc>
          <w:tcPr/>
          <w:p>
            <w:pPr>
              <w:pStyle w:val="Compact"/>
              <w:jc w:val="left"/>
            </w:pPr>
            <w:r>
              <w:t xml:space="preserve">INT_x_PDPL → TRU</w:t>
            </w:r>
          </w:p>
        </w:tc>
        <w:tc>
          <w:tcPr/>
          <w:p>
            <w:pPr>
              <w:pStyle w:val="Compact"/>
              <w:jc w:val="left"/>
            </w:pPr>
            <w:r>
              <w:t xml:space="preserve">PLS-SEM interaction, two-stage; </w:t>
            </w:r>
            <w:r>
              <w:rPr>
                <w:bCs/>
                <w:b/>
              </w:rPr>
              <w:t xml:space="preserve">β_M1</w:t>
            </w:r>
            <w:r>
              <w:t xml:space="preserve">, BCa CI 10,000, individual f²</w:t>
            </w:r>
          </w:p>
        </w:tc>
        <w:tc>
          <w:tcPr/>
          <w:p>
            <w:pPr>
              <w:pStyle w:val="Compact"/>
              <w:jc w:val="left"/>
            </w:pPr>
            <w:r>
              <w:t xml:space="preserve">SmartPLS 4 · 07</w:t>
            </w:r>
          </w:p>
        </w:tc>
      </w:tr>
      <w:tr>
        <w:tc>
          <w:tcPr/>
          <w:p>
            <w:pPr>
              <w:pStyle w:val="Compact"/>
              <w:jc w:val="left"/>
            </w:pPr>
            <w:r>
              <w:rPr>
                <w:bCs/>
                <w:b/>
              </w:rPr>
              <w:t xml:space="preserve">H7b DISC × INT → TRU</w:t>
            </w:r>
          </w:p>
        </w:tc>
        <w:tc>
          <w:tcPr/>
          <w:p>
            <w:pPr>
              <w:pStyle w:val="Compact"/>
              <w:jc w:val="left"/>
            </w:pPr>
            <w:r>
              <w:t xml:space="preserve">INT_x_DISC → TRU</w:t>
            </w:r>
          </w:p>
        </w:tc>
        <w:tc>
          <w:tcPr/>
          <w:p>
            <w:pPr>
              <w:pStyle w:val="Compact"/>
              <w:jc w:val="left"/>
            </w:pPr>
            <w:r>
              <w:t xml:space="preserve">PLS-SEM interaction, two-stage; </w:t>
            </w:r>
            <w:r>
              <w:rPr>
                <w:bCs/>
                <w:b/>
              </w:rPr>
              <w:t xml:space="preserve">β_M2</w:t>
            </w:r>
            <w:r>
              <w:t xml:space="preserve">, BCa CI 10,000, individual f²</w:t>
            </w:r>
          </w:p>
        </w:tc>
        <w:tc>
          <w:tcPr/>
          <w:p>
            <w:pPr>
              <w:pStyle w:val="Compact"/>
              <w:jc w:val="left"/>
            </w:pPr>
            <w:r>
              <w:t xml:space="preserve">SmartPLS 4 · 07</w:t>
            </w:r>
          </w:p>
        </w:tc>
      </w:tr>
      <w:tr>
        <w:tc>
          <w:tcPr/>
          <w:p>
            <w:pPr>
              <w:pStyle w:val="Compact"/>
              <w:jc w:val="left"/>
            </w:pPr>
            <w:r>
              <w:t xml:space="preserve">E1 TRU → ENG</w:t>
            </w:r>
          </w:p>
        </w:tc>
        <w:tc>
          <w:tcPr/>
          <w:p>
            <w:pPr>
              <w:pStyle w:val="Compact"/>
              <w:jc w:val="left"/>
            </w:pPr>
            <w:r>
              <w:t xml:space="preserve">TRU, ENG items</w:t>
            </w:r>
          </w:p>
        </w:tc>
        <w:tc>
          <w:tcPr/>
          <w:p>
            <w:pPr>
              <w:pStyle w:val="Compact"/>
              <w:jc w:val="left"/>
            </w:pPr>
            <w:r>
              <w:t xml:space="preserve">PLS-SEM path (reported, not hypothesised)</w:t>
            </w:r>
          </w:p>
        </w:tc>
        <w:tc>
          <w:tcPr/>
          <w:p>
            <w:pPr>
              <w:pStyle w:val="Compact"/>
              <w:jc w:val="left"/>
            </w:pPr>
            <w:r>
              <w:t xml:space="preserve">SmartPLS 4 · 07</w:t>
            </w:r>
          </w:p>
        </w:tc>
      </w:tr>
      <w:tr>
        <w:tc>
          <w:tcPr/>
          <w:p>
            <w:pPr>
              <w:pStyle w:val="Compact"/>
              <w:jc w:val="left"/>
            </w:pPr>
            <w:r>
              <w:t xml:space="preserve">E2 ENG → PI</w:t>
            </w:r>
          </w:p>
        </w:tc>
        <w:tc>
          <w:tcPr/>
          <w:p>
            <w:pPr>
              <w:pStyle w:val="Compact"/>
              <w:jc w:val="left"/>
            </w:pPr>
            <w:r>
              <w:t xml:space="preserve">ENG, PI items</w:t>
            </w:r>
          </w:p>
        </w:tc>
        <w:tc>
          <w:tcPr/>
          <w:p>
            <w:pPr>
              <w:pStyle w:val="Compact"/>
              <w:jc w:val="left"/>
            </w:pPr>
            <w:r>
              <w:t xml:space="preserve">PLS-SEM path (reported, not hypothesised)</w:t>
            </w:r>
          </w:p>
        </w:tc>
        <w:tc>
          <w:tcPr/>
          <w:p>
            <w:pPr>
              <w:pStyle w:val="Compact"/>
              <w:jc w:val="left"/>
            </w:pPr>
            <w:r>
              <w:t xml:space="preserve">SmartPLS 4 · 07</w:t>
            </w:r>
          </w:p>
        </w:tc>
      </w:tr>
      <w:tr>
        <w:tc>
          <w:tcPr/>
          <w:p>
            <w:pPr>
              <w:pStyle w:val="Compact"/>
              <w:jc w:val="left"/>
            </w:pPr>
            <w:r>
              <w:t xml:space="preserve">H1/H2 experimental replication</w:t>
            </w:r>
          </w:p>
        </w:tc>
        <w:tc>
          <w:tcPr/>
          <w:p>
            <w:pPr>
              <w:pStyle w:val="Compact"/>
              <w:jc w:val="left"/>
            </w:pPr>
            <w:r>
              <w:t xml:space="preserve">AIP_COND → INT_mean, REL_mean</w:t>
            </w:r>
          </w:p>
        </w:tc>
        <w:tc>
          <w:tcPr/>
          <w:p>
            <w:pPr>
              <w:pStyle w:val="Compact"/>
              <w:jc w:val="left"/>
            </w:pPr>
            <w:r>
              <w:t xml:space="preserve">ANOVA main effect (not H-numbered)</w:t>
            </w:r>
          </w:p>
        </w:tc>
        <w:tc>
          <w:tcPr/>
          <w:p>
            <w:pPr>
              <w:pStyle w:val="Compact"/>
              <w:jc w:val="left"/>
            </w:pPr>
            <w:r>
              <w:t xml:space="preserve">05_anova_h3.py</w:t>
            </w:r>
          </w:p>
        </w:tc>
      </w:tr>
      <w:tr>
        <w:tc>
          <w:tcPr/>
          <w:p>
            <w:pPr>
              <w:pStyle w:val="Compact"/>
              <w:jc w:val="left"/>
            </w:pPr>
            <w:r>
              <w:t xml:space="preserve">AIP × DISC on INT</w:t>
            </w:r>
          </w:p>
        </w:tc>
        <w:tc>
          <w:tcPr/>
          <w:p>
            <w:pPr>
              <w:pStyle w:val="Compact"/>
              <w:jc w:val="left"/>
            </w:pPr>
            <w:r>
              <w:t xml:space="preserve">both factors</w:t>
            </w:r>
          </w:p>
        </w:tc>
        <w:tc>
          <w:tcPr/>
          <w:p>
            <w:pPr>
              <w:pStyle w:val="Compact"/>
              <w:jc w:val="left"/>
            </w:pPr>
            <w:r>
              <w:rPr>
                <w:bCs/>
                <w:b/>
              </w:rPr>
              <w:t xml:space="preserve">Exploratory only</w:t>
            </w:r>
            <w:r>
              <w:t xml:space="preserve"> — must not be H-numbered</w:t>
            </w:r>
          </w:p>
        </w:tc>
        <w:tc>
          <w:tcPr/>
          <w:p>
            <w:pPr>
              <w:pStyle w:val="Compact"/>
              <w:jc w:val="left"/>
            </w:pPr>
            <w:r>
              <w:t xml:space="preserve">05_anova_h3.py</w:t>
            </w:r>
          </w:p>
        </w:tc>
      </w:tr>
      <w:tr>
        <w:tc>
          <w:tcPr/>
          <w:p>
            <w:pPr>
              <w:pStyle w:val="Compact"/>
              <w:jc w:val="left"/>
            </w:pPr>
            <w:r>
              <w:t xml:space="preserve">Manipulation checks</w:t>
            </w:r>
          </w:p>
        </w:tc>
        <w:tc>
          <w:tcPr/>
          <w:p>
            <w:pPr>
              <w:pStyle w:val="Compact"/>
              <w:jc w:val="left"/>
            </w:pPr>
            <w:r>
              <w:t xml:space="preserve">MC_AIP, MC_DISC</w:t>
            </w:r>
          </w:p>
        </w:tc>
        <w:tc>
          <w:tcPr/>
          <w:p>
            <w:pPr>
              <w:pStyle w:val="Compact"/>
              <w:jc w:val="left"/>
            </w:pPr>
            <w:r>
              <w:rPr>
                <w:iCs/>
                <w:i/>
              </w:rPr>
              <w:t xml:space="preserve">t</w:t>
            </w:r>
            <w:r>
              <w:t xml:space="preserve">-test, Cohen’s d, gate ≥ 0.50</w:t>
            </w:r>
          </w:p>
        </w:tc>
        <w:tc>
          <w:tcPr/>
          <w:p>
            <w:pPr>
              <w:pStyle w:val="Compact"/>
              <w:jc w:val="left"/>
            </w:pPr>
            <w:r>
              <w:t xml:space="preserve">04_manipulation_check.py</w:t>
            </w:r>
          </w:p>
        </w:tc>
      </w:tr>
      <w:tr>
        <w:tc>
          <w:tcPr/>
          <w:p>
            <w:pPr>
              <w:pStyle w:val="Compact"/>
              <w:jc w:val="left"/>
            </w:pPr>
            <w:r>
              <w:t xml:space="preserve">Reliability / EFA (pilot)</w:t>
            </w:r>
          </w:p>
        </w:tc>
        <w:tc>
          <w:tcPr/>
          <w:p>
            <w:pPr>
              <w:pStyle w:val="Compact"/>
              <w:jc w:val="left"/>
            </w:pPr>
            <w:r>
              <w:t xml:space="preserve">analysed items only</w:t>
            </w:r>
          </w:p>
        </w:tc>
        <w:tc>
          <w:tcPr/>
          <w:p>
            <w:pPr>
              <w:pStyle w:val="Compact"/>
              <w:jc w:val="left"/>
            </w:pPr>
            <w:r>
              <w:t xml:space="preserve">α, 2-factor EFA on AIP + REL</w:t>
            </w:r>
          </w:p>
        </w:tc>
        <w:tc>
          <w:tcPr/>
          <w:p>
            <w:pPr>
              <w:pStyle w:val="Compact"/>
              <w:jc w:val="left"/>
            </w:pPr>
            <w:r>
              <w:t xml:space="preserve">03_reliability_efa.py</w:t>
            </w:r>
          </w:p>
        </w:tc>
      </w:tr>
      <w:tr>
        <w:tc>
          <w:tcPr/>
          <w:p>
            <w:pPr>
              <w:pStyle w:val="Compact"/>
              <w:jc w:val="left"/>
            </w:pPr>
            <w:r>
              <w:rPr>
                <w:bCs/>
                <w:b/>
              </w:rPr>
              <w:t xml:space="preserve">ENG within-dimension reliability (diagnostic)</w:t>
            </w:r>
          </w:p>
        </w:tc>
        <w:tc>
          <w:tcPr/>
          <w:p>
            <w:pPr>
              <w:pStyle w:val="Compact"/>
              <w:jc w:val="left"/>
            </w:pPr>
            <w:r>
              <w:t xml:space="preserve">ENG_cog_mean, ENG_aff_mean, ENG_act_mean</w:t>
            </w:r>
          </w:p>
        </w:tc>
        <w:tc>
          <w:tcPr/>
          <w:p>
            <w:pPr>
              <w:pStyle w:val="Compact"/>
              <w:jc w:val="left"/>
            </w:pPr>
            <w:r>
              <w:t xml:space="preserve">α per dimension (Cognitive/Affection/Activation) — </w:t>
            </w:r>
            <w:r>
              <w:rPr>
                <w:bCs/>
                <w:b/>
              </w:rPr>
              <w:t xml:space="preserve">not pooled</w:t>
            </w:r>
            <w:r>
              <w:t xml:space="preserve">; item-retention basis for ENG4 (Amendment A-12)</w:t>
            </w:r>
          </w:p>
        </w:tc>
        <w:tc>
          <w:tcPr/>
          <w:p>
            <w:pPr>
              <w:pStyle w:val="Compact"/>
              <w:jc w:val="left"/>
            </w:pPr>
            <w:r>
              <w:t xml:space="preserve">03_reliability_efa.py (add-on, §9)</w:t>
            </w:r>
          </w:p>
        </w:tc>
      </w:tr>
      <w:tr>
        <w:tc>
          <w:tcPr/>
          <w:p>
            <w:pPr>
              <w:pStyle w:val="Compact"/>
              <w:jc w:val="left"/>
            </w:pPr>
            <w:r>
              <w:t xml:space="preserve">Competing model TRU → PI</w:t>
            </w:r>
          </w:p>
        </w:tc>
        <w:tc>
          <w:tcPr/>
          <w:p>
            <w:pPr>
              <w:pStyle w:val="Compact"/>
              <w:jc w:val="left"/>
            </w:pPr>
            <w:r>
              <w:t xml:space="preserve">TRU, PI items</w:t>
            </w:r>
          </w:p>
        </w:tc>
        <w:tc>
          <w:tcPr/>
          <w:p>
            <w:pPr>
              <w:pStyle w:val="Compact"/>
              <w:jc w:val="left"/>
            </w:pPr>
            <w:r>
              <w:t xml:space="preserve">Separate run, Discussion only; no H-number, no E-label</w:t>
            </w:r>
          </w:p>
        </w:tc>
        <w:tc>
          <w:tcPr/>
          <w:p>
            <w:pPr>
              <w:pStyle w:val="Compact"/>
              <w:jc w:val="left"/>
            </w:pPr>
            <w:r>
              <w:t xml:space="preserve">SmartPLS 4</w:t>
            </w:r>
          </w:p>
        </w:tc>
      </w:tr>
    </w:tbl>
    <w:bookmarkEnd w:id="46"/>
    <w:bookmarkStart w:id="47" w:name="standing-prohibitions"/>
    <w:p>
      <w:pPr>
        <w:pStyle w:val="Heading1"/>
      </w:pPr>
      <w:r>
        <w:t xml:space="preserve">8. Standing prohibitions</w:t>
      </w:r>
    </w:p>
    <w:p>
      <w:pPr>
        <w:pStyle w:val="FirstParagraph"/>
      </w:pPr>
      <w:r>
        <w:t xml:space="preserve">These are the errors that have actually occurred or been narrowly avoided on this project. Each is cheap to prevent and expensive to discover late.</w:t>
      </w:r>
    </w:p>
    <w:p>
      <w:pPr>
        <w:numPr>
          <w:ilvl w:val="0"/>
          <w:numId w:val="1001"/>
        </w:numPr>
      </w:pPr>
      <w:r>
        <w:rPr>
          <w:bCs/>
          <w:b/>
        </w:rPr>
        <w:t xml:space="preserve">No DISC measurement model.</w:t>
      </w:r>
      <w:r>
        <w:t xml:space="preserve"> No α, loadings, AVE, CR or HTMT for DISC, ever. No DISC1/DISC2 column may be created.</w:t>
      </w:r>
    </w:p>
    <w:p>
      <w:pPr>
        <w:numPr>
          <w:ilvl w:val="0"/>
          <w:numId w:val="1001"/>
        </w:numPr>
      </w:pPr>
      <w:r>
        <w:rPr>
          <w:bCs/>
          <w:b/>
        </w:rPr>
        <w:t xml:space="preserve">No three-way interaction.</w:t>
      </w:r>
      <w:r>
        <w:t xml:space="preserve"> β_M3 and β_M4 do not exist. Retired by A-8.</w:t>
      </w:r>
    </w:p>
    <w:p>
      <w:pPr>
        <w:numPr>
          <w:ilvl w:val="0"/>
          <w:numId w:val="1001"/>
        </w:numPr>
      </w:pPr>
      <w:r>
        <w:rPr>
          <w:bCs/>
          <w:b/>
        </w:rPr>
        <w:t xml:space="preserve">RETIRED RULE — no longer applies.</w:t>
      </w:r>
      <w:r>
        <w:t xml:space="preserve"> This rule (“REL4 excluded from the measurement model”) applied only to the earlier REL4 item (Tam &amp; Ho, 2006 wording), which has since been removed from the instrument entirely. The current REL4 (Yin, Qiu &amp; Wang, 2025) is a different item and </w:t>
      </w:r>
      <w:r>
        <w:rPr>
          <w:bCs/>
          <w:b/>
        </w:rPr>
        <w:t xml:space="preserve">is fully included</w:t>
      </w:r>
      <w:r>
        <w:t xml:space="preserve"> in α, AVE, HTMT, loadings and REL_mean, alongside REL1–REL3. Do not exclude it.</w:t>
      </w:r>
    </w:p>
    <w:p>
      <w:pPr>
        <w:numPr>
          <w:ilvl w:val="0"/>
          <w:numId w:val="1001"/>
        </w:numPr>
      </w:pPr>
      <w:r>
        <w:rPr>
          <w:bCs/>
          <w:b/>
        </w:rPr>
        <w:t xml:space="preserve">No pooled reliability across all six ENG items.</w:t>
      </w:r>
      <w:r>
        <w:t xml:space="preserve"> Cronbach’s alpha, item-rest correlation, and loading diagnostics for ENG must be computed </w:t>
      </w:r>
      <w:r>
        <w:rPr>
          <w:iCs/>
          <w:i/>
        </w:rPr>
        <w:t xml:space="preserve">within</w:t>
      </w:r>
      <w:r>
        <w:t xml:space="preserve"> dimension (Cognitive Processing: ENG1,ENG2; Affection: ENG3,ENG6; Activation: ENG4,ENG5) — pooling across dimensions compares items with genuinely different content and produces misleading item-retention decisions. Retired by A-12.</w:t>
      </w:r>
    </w:p>
    <w:p>
      <w:pPr>
        <w:numPr>
          <w:ilvl w:val="0"/>
          <w:numId w:val="1001"/>
        </w:numPr>
      </w:pPr>
      <w:r>
        <w:rPr>
          <w:bCs/>
          <w:b/>
        </w:rPr>
        <w:t xml:space="preserve">No dropping ENG4.</w:t>
      </w:r>
      <w:r>
        <w:t xml:space="preserve"> Its within-dimension partner is ENG5 (Activation); dropping ENG4 leaves Activation as an unassessable single-item facet. Weak Activation reliability is reported in Limitations, not resolved by item deletion. Retired by A-12.</w:t>
      </w:r>
    </w:p>
    <w:p>
      <w:pPr>
        <w:numPr>
          <w:ilvl w:val="0"/>
          <w:numId w:val="1001"/>
        </w:numPr>
      </w:pPr>
      <w:r>
        <w:rPr>
          <w:bCs/>
          <w:b/>
        </w:rPr>
        <w:t xml:space="preserve">No “PDPD” and no “Decree 13/2023/NĐ-CP”</w:t>
      </w:r>
      <w:r>
        <w:t xml:space="preserve"> as the operative instrument, in any code, comment, variable name, output label, figure or manuscript text. The anchor is </w:t>
      </w:r>
      <w:r>
        <w:rPr>
          <w:bCs/>
          <w:b/>
        </w:rPr>
        <w:t xml:space="preserve">Law 91/2025/QH15</w:t>
      </w:r>
      <w:r>
        <w:t xml:space="preserve">.</w:t>
      </w:r>
    </w:p>
    <w:p>
      <w:pPr>
        <w:numPr>
          <w:ilvl w:val="0"/>
          <w:numId w:val="1001"/>
        </w:numPr>
      </w:pPr>
      <w:r>
        <w:rPr>
          <w:bCs/>
          <w:b/>
        </w:rPr>
        <w:t xml:space="preserve">No second test of H3.</w:t>
      </w:r>
      <w:r>
        <w:t xml:space="preserve"> The ANOVA main effect is the confirmatory test; the SEM’s DISC → INT path is descriptive.</w:t>
      </w:r>
    </w:p>
    <w:p>
      <w:pPr>
        <w:numPr>
          <w:ilvl w:val="0"/>
          <w:numId w:val="1001"/>
        </w:numPr>
      </w:pPr>
      <w:r>
        <w:rPr>
          <w:bCs/>
          <w:b/>
        </w:rPr>
        <w:t xml:space="preserve">No Study 2 metrics in Study 1.</w:t>
      </w:r>
      <w:r>
        <w:t xml:space="preserve"> Precision@10, NDCG@10 and Green Exposure Rate belong to the DSR artifact evaluation and never appear in Study 1 reporting. Study 2 carries no H-numbered hypothesis.</w:t>
      </w:r>
    </w:p>
    <w:p>
      <w:pPr>
        <w:numPr>
          <w:ilvl w:val="0"/>
          <w:numId w:val="1001"/>
        </w:numPr>
      </w:pPr>
      <w:r>
        <w:rPr>
          <w:bCs/>
          <w:b/>
        </w:rPr>
        <w:t xml:space="preserve">No ASCII-stripped Vietnamese anchors.</w:t>
      </w:r>
      <w:r>
        <w:t xml:space="preserve"> Consent and screener anchors must retain full diacritics; an ASCII anchor matches zero real responses and silently drops the whole sample.</w:t>
      </w:r>
    </w:p>
    <w:p>
      <w:pPr>
        <w:numPr>
          <w:ilvl w:val="0"/>
          <w:numId w:val="1001"/>
        </w:numPr>
      </w:pPr>
      <w:r>
        <w:rPr>
          <w:bCs/>
          <w:b/>
        </w:rPr>
        <w:t xml:space="preserve">No confirmatory PLS-SEM on pilot data.</w:t>
      </w:r>
      <w:r>
        <w:t xml:space="preserve"> The pilot is reliability, EFA and manipulation checks only.</w:t>
      </w:r>
    </w:p>
    <w:p>
      <w:pPr>
        <w:numPr>
          <w:ilvl w:val="0"/>
          <w:numId w:val="1001"/>
        </w:numPr>
      </w:pPr>
      <w:r>
        <w:rPr>
          <w:bCs/>
          <w:b/>
        </w:rPr>
        <w:t xml:space="preserve">No −98 in a computed statistic.</w:t>
      </w:r>
      <w:r>
        <w:t xml:space="preserve"> Recode “prefer not to say” to missing before any demographic summary.</w:t>
      </w:r>
    </w:p>
    <w:p>
      <w:pPr>
        <w:numPr>
          <w:ilvl w:val="0"/>
          <w:numId w:val="1001"/>
        </w:numPr>
      </w:pPr>
      <w:r>
        <w:rPr>
          <w:bCs/>
          <w:b/>
        </w:rPr>
        <w:t xml:space="preserve">No silent item-count drift.</w:t>
      </w:r>
      <w:r>
        <w:t xml:space="preserve"> Any change to the item set is an amendment to TF first, then this codebook, then _config.py — in that order.</w:t>
      </w:r>
    </w:p>
    <w:bookmarkEnd w:id="47"/>
    <w:bookmarkStart w:id="48" w:name="open-items-affecting-this-codebook"/>
    <w:p>
      <w:pPr>
        <w:pStyle w:val="Heading1"/>
      </w:pPr>
      <w:r>
        <w:t xml:space="preserve">9. Open items affecting this codebook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Item</w:t>
            </w:r>
          </w:p>
        </w:tc>
        <w:tc>
          <w:tcPr/>
          <w:p>
            <w:pPr>
              <w:pStyle w:val="Compact"/>
              <w:jc w:val="left"/>
            </w:pPr>
            <w:r>
              <w:rPr>
                <w:bCs/>
                <w:b/>
              </w:rPr>
              <w:t xml:space="preserve">Owner</w:t>
            </w:r>
          </w:p>
        </w:tc>
      </w:tr>
      <w:tr>
        <w:tc>
          <w:tcPr/>
          <w:p>
            <w:pPr>
              <w:pStyle w:val="Compact"/>
              <w:jc w:val="left"/>
            </w:pPr>
            <w:r>
              <w:rPr>
                <w:bCs/>
                <w:b/>
              </w:rPr>
              <w:t xml:space="preserve">OD-9</w:t>
            </w:r>
          </w:p>
        </w:tc>
        <w:tc>
          <w:tcPr/>
          <w:p>
            <w:pPr>
              <w:pStyle w:val="Compact"/>
              <w:jc w:val="left"/>
            </w:pPr>
            <w:r>
              <w:t xml:space="preserve">Third novelty statement in TF §B.6 — withdraw or replace. Does not affect variables, but affects how H7a/H7b results are framed.</w:t>
            </w:r>
          </w:p>
        </w:tc>
        <w:tc>
          <w:tcPr/>
          <w:p>
            <w:pPr>
              <w:pStyle w:val="Compact"/>
              <w:jc w:val="left"/>
            </w:pPr>
            <w:r>
              <w:t xml:space="preserve">Khải</w:t>
            </w:r>
          </w:p>
        </w:tc>
      </w:tr>
      <w:tr>
        <w:tc>
          <w:tcPr/>
          <w:p>
            <w:pPr>
              <w:pStyle w:val="Compact"/>
              <w:jc w:val="left"/>
            </w:pPr>
            <w:r>
              <w:rPr>
                <w:bCs/>
                <w:b/>
              </w:rPr>
              <w:t xml:space="preserve">OD-10</w:t>
            </w:r>
          </w:p>
        </w:tc>
        <w:tc>
          <w:tcPr/>
          <w:p>
            <w:pPr>
              <w:pStyle w:val="Compact"/>
              <w:jc w:val="left"/>
            </w:pPr>
            <w:r>
              <w:t xml:space="preserve">Whether REL4 remains in the fielded instrument. </w:t>
            </w:r>
            <w:r>
              <w:rPr>
                <w:bCs/>
                <w:b/>
              </w:rPr>
              <w:t xml:space="preserve">Default: keep fielding, exclude from the model.</w:t>
            </w:r>
            <w:r>
              <w:t xml:space="preserve"> Confirm or reverse before main collection opens. If reversed, this codebook changes and the pilot loses comparability with main collection. </w:t>
            </w:r>
            <w:r>
              <w:rPr>
                <w:bCs/>
                <w:b/>
              </w:rPr>
              <w:t xml:space="preserve">MOOT / SUPERSEDED (post-B1.5 correction pass):</w:t>
            </w:r>
            <w:r>
              <w:t xml:space="preserve"> the REL4 this decision referred to (Tam &amp; Ho, 2006, decision-usefulness wording) has since been removed from the instrument entirely, not merely excluded. REL now fields a different, unrelated REL4 (Yin, Qiu &amp; Wang, 2025), which is fully included in the measurement model. This OD is closed as moot; it should not be read as approving inclusion/exclusion of the current REL4, which was a separate, independent sourcing decision made outside this OD.</w:t>
            </w:r>
          </w:p>
        </w:tc>
        <w:tc>
          <w:tcPr/>
          <w:p>
            <w:pPr>
              <w:pStyle w:val="Compact"/>
              <w:jc w:val="left"/>
            </w:pPr>
            <w:r>
              <w:t xml:space="preserve">Khải</w:t>
            </w:r>
          </w:p>
        </w:tc>
      </w:tr>
      <w:tr>
        <w:tc>
          <w:tcPr/>
          <w:p>
            <w:pPr>
              <w:pStyle w:val="Compact"/>
              <w:jc w:val="left"/>
            </w:pPr>
            <w:r>
              <w:rPr>
                <w:bCs/>
                <w:b/>
              </w:rPr>
              <w:t xml:space="preserve">OD-11</w:t>
            </w:r>
          </w:p>
        </w:tc>
        <w:tc>
          <w:tcPr/>
          <w:p>
            <w:pPr>
              <w:pStyle w:val="Compact"/>
              <w:jc w:val="left"/>
            </w:pPr>
            <w:r>
              <w:t xml:space="preserve">PDPL1–PDPL4 stems do not name Law 91/2025/QH15.</w:t>
            </w:r>
          </w:p>
        </w:tc>
        <w:tc>
          <w:tcPr/>
          <w:p>
            <w:pPr>
              <w:pStyle w:val="Compact"/>
              <w:jc w:val="left"/>
            </w:pPr>
            <w:r>
              <w:rPr>
                <w:bCs/>
                <w:b/>
              </w:rPr>
              <w:t xml:space="preserve">Closed (A-17, 8 Sep 2026, supersedes same-day A-16).</w:t>
            </w:r>
            <w:r>
              <w:t xml:space="preserve"> Stems and preamble both remain generic; no in-instrument feature names the statute. Statute documented in Chapter 2 and Method only (§4.7a). Ratified by Khải; raised by Thiện, confirmed and finalized by faculty advisor.</w:t>
            </w:r>
          </w:p>
        </w:tc>
      </w:tr>
      <w:tr>
        <w:tc>
          <w:tcPr/>
          <w:p>
            <w:pPr>
              <w:pStyle w:val="Compact"/>
              <w:jc w:val="left"/>
            </w:pPr>
            <w:r>
              <w:rPr>
                <w:bCs/>
                <w:b/>
              </w:rPr>
              <w:t xml:space="preserve">OD-4</w:t>
            </w:r>
          </w:p>
        </w:tc>
        <w:tc>
          <w:tcPr/>
          <w:p>
            <w:pPr>
              <w:pStyle w:val="Compact"/>
              <w:jc w:val="left"/>
            </w:pPr>
            <w:r>
              <w:t xml:space="preserve">Article-level citations to Law 91/2025/QH15 pending OCR verification — </w:t>
            </w:r>
            <w:r>
              <w:rPr>
                <w:bCs/>
                <w:b/>
              </w:rPr>
              <w:t xml:space="preserve">CLOSED by Amendment A-11</w:t>
            </w:r>
            <w:r>
              <w:t xml:space="preserve">, 26 Aug 2026. All citations verified accurate against the full statute text; no correction required.</w:t>
            </w:r>
          </w:p>
        </w:tc>
        <w:tc>
          <w:tcPr/>
          <w:p>
            <w:pPr>
              <w:pStyle w:val="Compact"/>
              <w:jc w:val="left"/>
            </w:pPr>
            <w:r>
              <w:t xml:space="preserve">Khải</w:t>
            </w:r>
          </w:p>
        </w:tc>
      </w:tr>
      <w:tr>
        <w:tc>
          <w:tcPr/>
          <w:p>
            <w:pPr>
              <w:pStyle w:val="Compact"/>
              <w:jc w:val="left"/>
            </w:pPr>
            <w:r>
              <w:rPr>
                <w:bCs/>
                <w:b/>
              </w:rPr>
              <w:t xml:space="preserve">—</w:t>
            </w:r>
          </w:p>
        </w:tc>
        <w:tc>
          <w:tcPr/>
          <w:p>
            <w:pPr>
              <w:pStyle w:val="Compact"/>
              <w:jc w:val="left"/>
            </w:pPr>
            <w:r>
              <w:t xml:space="preserve">ENG dimension-label mapping against Brodie et al. FP4 — </w:t>
            </w:r>
            <w:r>
              <w:rPr>
                <w:bCs/>
                <w:b/>
              </w:rPr>
              <w:t xml:space="preserve">RESOLVED by Amendment A-12</w:t>
            </w:r>
            <w:r>
              <w:t xml:space="preserve">: Cognitive Processing (ENG1,ENG2), Affection (ENG3,ENG6), Activation (ENG4,ENG5); citation corrected to Hollebeek et al. (2014). See §4.7.</w:t>
            </w:r>
          </w:p>
        </w:tc>
        <w:tc>
          <w:tcPr/>
          <w:p>
            <w:pPr>
              <w:pStyle w:val="Compact"/>
              <w:jc w:val="left"/>
            </w:pPr>
            <w:r>
              <w:t xml:space="preserve">—</w:t>
            </w:r>
          </w:p>
        </w:tc>
      </w:tr>
      <w:tr>
        <w:tc>
          <w:tcPr/>
          <w:p>
            <w:pPr>
              <w:pStyle w:val="Compact"/>
              <w:jc w:val="left"/>
            </w:pPr>
            <w:r>
              <w:rPr>
                <w:bCs/>
                <w:b/>
              </w:rPr>
              <w:t xml:space="preserve">—</w:t>
            </w:r>
          </w:p>
        </w:tc>
        <w:tc>
          <w:tcPr/>
          <w:p>
            <w:pPr>
              <w:pStyle w:val="Compact"/>
              <w:jc w:val="left"/>
            </w:pPr>
            <w:r>
              <w:t xml:space="preserve">Within-dimension ENG reliability was assessed on pilot data only (n=46, Activation α=0.345). Re-run ENG_cog_mean/ENG_aff_mean/ENG_act_mean diagnostics once main collection (n≥400) closes, to see whether Activation reliability improves at scale before deciding how to frame it in Limitations.</w:t>
            </w:r>
          </w:p>
        </w:tc>
        <w:tc>
          <w:tcPr/>
          <w:p>
            <w:pPr>
              <w:pStyle w:val="Compact"/>
              <w:jc w:val="left"/>
            </w:pPr>
            <w:r>
              <w:t xml:space="preserve">Phúc</w:t>
            </w:r>
          </w:p>
        </w:tc>
      </w:tr>
      <w:tr>
        <w:tc>
          <w:tcPr/>
          <w:p>
            <w:pPr>
              <w:pStyle w:val="Compact"/>
              <w:jc w:val="left"/>
            </w:pPr>
            <w:r>
              <w:rPr>
                <w:bCs/>
                <w:b/>
              </w:rPr>
              <w:t xml:space="preserve">—</w:t>
            </w:r>
          </w:p>
        </w:tc>
        <w:tc>
          <w:tcPr/>
          <w:p>
            <w:pPr>
              <w:pStyle w:val="Compact"/>
              <w:jc w:val="left"/>
            </w:pPr>
            <w:r>
              <w:t xml:space="preserve">Speeding and straightlining thresholds are reasoned priors, not measured facts. Revisit against real pilot duration data and log the change.</w:t>
            </w:r>
          </w:p>
        </w:tc>
        <w:tc>
          <w:tcPr/>
          <w:p>
            <w:pPr>
              <w:pStyle w:val="Compact"/>
              <w:jc w:val="left"/>
            </w:pPr>
            <w:r>
              <w:t xml:space="preserve">Phúc</w:t>
            </w:r>
          </w:p>
        </w:tc>
      </w:tr>
    </w:tbl>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2026-09-08T07:02:48Z</dcterms:created>
  <dcterms:modified xsi:type="dcterms:W3CDTF">2026-09-08T07:02:48Z</dcterms:modified>
</cp:coreProperties>
</file>

<file path=docProps/custom.xml><?xml version="1.0" encoding="utf-8"?>
<Properties xmlns="http://schemas.openxmlformats.org/officeDocument/2006/custom-properties" xmlns:vt="http://schemas.openxmlformats.org/officeDocument/2006/docPropsVTypes"/>
</file>