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THEORETICAL FOUNDATIONS AND REGULATORY COMPARISON</w:t>
      </w:r>
    </w:p>
    <w:p>
      <w:pPr>
        <w:pStyle w:val="BodyText"/>
      </w:pPr>
      <w:r>
        <w:rPr>
          <w:iCs/>
          <w:i/>
        </w:rPr>
        <w:t xml:space="preserve">Foundational Base Document — Version 2.9</w:t>
      </w:r>
    </w:p>
    <w:p>
      <w:pPr>
        <w:pStyle w:val="BodyText"/>
      </w:pPr>
      <w:r>
        <w:rPr>
          <w:bCs/>
          <w:b/>
        </w:rPr>
        <w:t xml:space="preserve">How AI-Driven Personalization Shapes Customer Engagement in Omnichannel Retail: A Privacy-Aware AI Agent Approach</w:t>
      </w:r>
    </w:p>
    <w:p>
      <w:pPr>
        <w:pStyle w:val="BodyText"/>
      </w:pPr>
      <w:r>
        <w:t xml:space="preserve">Consolidates: Literature Review (52 entries) · Conceptual Review (Trust Theory) · Novelty &amp; Regulatory Comparison</w:t>
      </w:r>
    </w:p>
    <w:p>
      <w:pPr>
        <w:pStyle w:val="BodyText"/>
      </w:pPr>
      <w:r>
        <w:t xml:space="preserve">Status: Team reference — single source of truth for theory, constructs, hypothesis numbering, measurement register, and regulatory framing</w:t>
      </w:r>
    </w:p>
    <w:p>
      <w:pPr>
        <w:pStyle w:val="BodyText"/>
      </w:pPr>
      <w:r>
        <w:rPr>
          <w:bCs/>
          <w:b/>
        </w:rPr>
        <w:t xml:space="preserve">Supersedes Versions 1.0, 2.0, 2.1, 2.2, 2.3, 2.4, 2.5, 2.6, 2.7 and 2.8, and absorbs Amendments A-7 through A-17 in full.</w:t>
      </w:r>
      <w:r>
        <w:t xml:space="preserve"> Teams should work from this document alone; the separate amendment files are retained for audit trail only.</w:t>
      </w:r>
    </w:p>
    <w:p>
      <w:pPr>
        <w:pStyle w:val="BodyText"/>
      </w:pPr>
      <w:r>
        <w:t xml:space="preserve">8 September 2026 (same-day reissue)</w:t>
      </w:r>
    </w:p>
    <w:bookmarkStart w:id="20" w:name="how-to-read-this-document"/>
    <w:p>
      <w:pPr>
        <w:pStyle w:val="Heading1"/>
      </w:pPr>
      <w:r>
        <w:t xml:space="preserve">How to read this document</w:t>
      </w:r>
    </w:p>
    <w:p>
      <w:pPr>
        <w:pStyle w:val="FirstParagraph"/>
      </w:pPr>
      <w:r>
        <w:t xml:space="preserve">This is a </w:t>
      </w:r>
      <w:r>
        <w:rPr>
          <w:bCs/>
          <w:b/>
        </w:rPr>
        <w:t xml:space="preserve">consolidated reissue</w:t>
      </w:r>
      <w:r>
        <w:t xml:space="preserve">, not an amendment. Every ratified change from Version 1.0 forward has been folded into the running text, so no section requires cross-reference to an amendment file to be read correctly. The change log below records what changed and why; the audit trail matters for the manuscript’s methods transparency and for the competition submission, but the operative specification is always the running text.</w:t>
      </w:r>
    </w:p>
    <w:p>
      <w:pPr>
        <w:pStyle w:val="BodyText"/>
      </w:pPr>
      <w:r>
        <w:t xml:space="preserve">Three things changed since Version 2.1, and they are the reason the v2.4 reissue existed:</w:t>
      </w:r>
    </w:p>
    <w:p>
      <w:pPr>
        <w:numPr>
          <w:ilvl w:val="0"/>
          <w:numId w:val="1001"/>
        </w:numPr>
      </w:pPr>
      <w:r>
        <w:rPr>
          <w:bCs/>
          <w:b/>
        </w:rPr>
        <w:t xml:space="preserve">Study allocation</w:t>
      </w:r>
      <w:r>
        <w:t xml:space="preserve"> was realigned to the approved plan (Amendment &gt; A-7). Study 1 is the behavioural study — the 2 × 2 &gt; survey-experiment analysed </w:t>
      </w:r>
      <w:r>
        <w:rPr>
          <w:iCs/>
          <w:i/>
        </w:rPr>
        <w:t xml:space="preserve">both</w:t>
      </w:r>
      <w:r>
        <w:t xml:space="preserve"> by PLS-SEM and by ANOVA. Study 2 &gt; is the DSR artifact only.</w:t>
      </w:r>
    </w:p>
    <w:p>
      <w:pPr>
        <w:numPr>
          <w:ilvl w:val="0"/>
          <w:numId w:val="1001"/>
        </w:numPr>
      </w:pPr>
      <w:r>
        <w:rPr>
          <w:bCs/>
          <w:b/>
        </w:rPr>
        <w:t xml:space="preserve">H7 was respecified from a third-order to two second-order &gt; interactions</w:t>
      </w:r>
      <w:r>
        <w:t xml:space="preserve"> (Amendment A-8). H7a and H7b replace the single H7. &gt; The three-way product term is retired.</w:t>
      </w:r>
    </w:p>
    <w:p>
      <w:pPr>
        <w:numPr>
          <w:ilvl w:val="0"/>
          <w:numId w:val="1001"/>
        </w:numPr>
      </w:pPr>
      <w:r>
        <w:rPr>
          <w:bCs/>
          <w:b/>
        </w:rPr>
        <w:t xml:space="preserve">The measurement register was corrected against the fielded &gt; instrument</w:t>
      </w:r>
      <w:r>
        <w:t xml:space="preserve"> (Amendments A-9 and A-10): REL4 is excluded from the &gt; Perceived Relevance construct, and the TRU/ENG item counts are &gt; reconciled to what was actually fielded.</w:t>
      </w:r>
    </w:p>
    <w:p>
      <w:pPr>
        <w:pStyle w:val="FirstParagraph"/>
      </w:pPr>
      <w:r>
        <w:t xml:space="preserve">Three further things changed since Version 2.4, and are the reason for this reissue:</w:t>
      </w:r>
    </w:p>
    <w:p>
      <w:pPr>
        <w:numPr>
          <w:ilvl w:val="0"/>
          <w:numId w:val="1002"/>
        </w:numPr>
      </w:pPr>
      <w:r>
        <w:rPr>
          <w:bCs/>
          <w:b/>
        </w:rPr>
        <w:t xml:space="preserve">OD-4 was closed</w:t>
      </w:r>
      <w:r>
        <w:t xml:space="preserve"> (Amendment A-11). A machine-readable full-text &gt; copy of Law 91/2025/QH15 (luat_PDPL.pdf, replacing the unreadable &gt; scanned 91qh.signed.pdf in the project files) was read directly &gt; and checked article-by-article against every Art. n citation in &gt; Part B and §A.5.1. All citations verified accurate; no correction &gt; to Part B was required.</w:t>
      </w:r>
    </w:p>
    <w:p>
      <w:pPr>
        <w:numPr>
          <w:ilvl w:val="0"/>
          <w:numId w:val="1002"/>
        </w:numPr>
      </w:pPr>
      <w:r>
        <w:rPr>
          <w:bCs/>
          <w:b/>
        </w:rPr>
        <w:t xml:space="preserve">ENG was given an explicit three-dimension item structure and its &gt; measurement citation was corrected</w:t>
      </w:r>
      <w:r>
        <w:t xml:space="preserve"> (Amendment A-12): Cognitive &gt; Processing (ENG1–ENG2), Affection (ENG3, ENG6), and Activation &gt; (ENG4–ENG5), sourced to Hollebeek, Glynn, &amp; Brodie (2014) rather &gt; than Brodie et al. (2011). Reliability and item-retention &gt; diagnostics for ENG must be computed within dimension, not pooled &gt; across all six items — this reverses the provisional plan to &gt; exclude ENG4. ENG remains a single first-order composite in the &gt; structural model; see §A.4.1.</w:t>
      </w:r>
    </w:p>
    <w:p>
      <w:pPr>
        <w:numPr>
          <w:ilvl w:val="0"/>
          <w:numId w:val="1002"/>
        </w:numPr>
      </w:pPr>
      <w:r>
        <w:rPr>
          <w:bCs/>
          <w:b/>
        </w:rPr>
        <w:t xml:space="preserve">Item wording was finalized for main collection</w:t>
      </w:r>
      <w:r>
        <w:t xml:space="preserve"> (Amendment &gt; A-13): twelve constructs’ items (AIP, INT, TRU, PDPL, PI, plus &gt; minor EN-only wording elsewhere) were revised for clarity after &gt; pilot; a double-barreled TRU2 item is corrected back to a &gt; single claim. Pilot (n = 46) reliability statistics were computed &gt; on the pre-A-13 wording and are indicative, not confirmatory, for &gt; the finalized text — main collection is the authoritative test.</w:t>
      </w:r>
    </w:p>
    <w:p>
      <w:pPr>
        <w:pStyle w:val="FirstParagraph"/>
      </w:pPr>
      <w:r>
        <w:t xml:space="preserve">One thing changed since Version 2.7 and was issued as Version 2.8, then withdrawn the same day:</w:t>
      </w:r>
    </w:p>
    <w:p>
      <w:pPr>
        <w:numPr>
          <w:ilvl w:val="0"/>
          <w:numId w:val="1003"/>
        </w:numPr>
        <w:pStyle w:val="Compact"/>
      </w:pPr>
      <w:r>
        <w:rPr>
          <w:bCs/>
          <w:b/>
        </w:rPr>
        <w:t xml:space="preserve">[WITHDRAWN — SEE A-17 BELOW.]</w:t>
      </w:r>
      <w:r>
        <w:t xml:space="preserve"> Amendment A-16 had closed OD-11 by splitting block M_PDPL’s preamble into a generic segment before PDPL1 and a second segment naming Law 91/2025/QH15 after PDPL1, before PDPL2. That fix is superseded by Amendment A-17 below: further faculty-advisor clarification established that the statute name should not appear anywhere in the fielded survey administration – neither in the items (already true) nor in the preamble (A-16’s change). A-16 is retained in Table 0e for audit trail only and is not operative.</w:t>
      </w:r>
    </w:p>
    <w:p>
      <w:pPr>
        <w:pStyle w:val="FirstParagraph"/>
      </w:pPr>
      <w:r>
        <w:t xml:space="preserve">One further thing changed since Version 2.8, and is the reason for this reissue:</w:t>
      </w:r>
    </w:p>
    <w:p>
      <w:pPr>
        <w:numPr>
          <w:ilvl w:val="0"/>
          <w:numId w:val="1004"/>
        </w:numPr>
        <w:pStyle w:val="Compact"/>
      </w:pPr>
      <w:r>
        <w:rPr>
          <w:bCs/>
          <w:b/>
        </w:rPr>
        <w:t xml:space="preserve">OD-11 is re-closed via the Method/Limitations route</w:t>
      </w:r>
      <w:r>
        <w:t xml:space="preserve"> (Amendment A-17, superseding A-16). PDPL1-PDPL4 item stems remain generic, as they always have been. Block M_PDPL’s fielded preamble reverts to the single generic segment used before A-16 – no segment naming Law 91/2025/QH15 is added anywhere in survey administration. The statute’s name, effective date, and its relationship to the four items are documented only in the literature review (Chapter 2) and the instrument-development narrative of the Method section – the faculty advisor’s original point (confirmed again on inspection of the A-16 draft): naming the statute in-instrument is unnecessary because all four items are already anchored to specific articles (Table 5, Section C.4), and leaving items and preamble generic is standard practice for scales built on established constructs. See Section A.5.2 (revised) and Section C.4, Table 5.</w:t>
      </w:r>
    </w:p>
    <w:bookmarkEnd w:id="20"/>
    <w:bookmarkStart w:id="27" w:name="change-log"/>
    <w:p>
      <w:pPr>
        <w:pStyle w:val="Heading1"/>
      </w:pPr>
      <w:r>
        <w:t xml:space="preserve">Change Log</w:t>
      </w:r>
    </w:p>
    <w:bookmarkStart w:id="21" w:name="Xa969c465f673a207c97496ae4f69a2aaffd6918"/>
    <w:p>
      <w:pPr>
        <w:pStyle w:val="Heading2"/>
      </w:pPr>
      <w:r>
        <w:t xml:space="preserve">Table 0a. Ratified revisions, Version 1.0 → Version 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Change</w:t>
            </w:r>
          </w:p>
        </w:tc>
        <w:tc>
          <w:tcPr/>
          <w:p>
            <w:pPr>
              <w:pStyle w:val="Compact"/>
              <w:jc w:val="left"/>
            </w:pPr>
            <w:r>
              <w:rPr>
                <w:bCs/>
                <w:b/>
              </w:rPr>
              <w:t xml:space="preserve">Rationale and authority</w:t>
            </w:r>
          </w:p>
        </w:tc>
      </w:tr>
      <w:tr>
        <w:tc>
          <w:tcPr/>
          <w:p>
            <w:pPr>
              <w:pStyle w:val="Compact"/>
              <w:jc w:val="left"/>
            </w:pPr>
            <w:r>
              <w:t xml:space="preserve">C-1</w:t>
            </w:r>
          </w:p>
        </w:tc>
        <w:tc>
          <w:tcPr/>
          <w:p>
            <w:pPr>
              <w:pStyle w:val="Compact"/>
              <w:jc w:val="left"/>
            </w:pPr>
            <w:r>
              <w:t xml:space="preserve">Hypothesis numbering realigned to the approved planning doczument: </w:t>
            </w:r>
            <w:r>
              <w:rPr>
                <w:bCs/>
                <w:b/>
              </w:rPr>
              <w:t xml:space="preserve">H3 = DISC → INT (−)</w:t>
            </w:r>
            <w:r>
              <w:t xml:space="preserve"> and </w:t>
            </w:r>
            <w:r>
              <w:rPr>
                <w:bCs/>
                <w:b/>
              </w:rPr>
              <w:t xml:space="preserve">H5 = REL → ENG (+)</w:t>
            </w:r>
            <w:r>
              <w:t xml:space="preserve">.</w:t>
            </w:r>
          </w:p>
        </w:tc>
        <w:tc>
          <w:tcPr/>
          <w:p>
            <w:pPr>
              <w:pStyle w:val="Compact"/>
              <w:jc w:val="left"/>
            </w:pPr>
            <w:r>
              <w:t xml:space="preserve">v1.0 had independently renumbered (H3 = REL → ENG; H5 = TRU → PI), so the governance document and the approved plan disagreed on what “H3” denotes. Planning numbering prevails; all downstream artefacts must be renumbered, not the plan.</w:t>
            </w:r>
          </w:p>
        </w:tc>
      </w:tr>
      <w:tr>
        <w:tc>
          <w:tcPr/>
          <w:p>
            <w:pPr>
              <w:pStyle w:val="Compact"/>
              <w:jc w:val="left"/>
            </w:pPr>
            <w:r>
              <w:t xml:space="preserve">C-2</w:t>
            </w:r>
          </w:p>
        </w:tc>
        <w:tc>
          <w:tcPr/>
          <w:p>
            <w:pPr>
              <w:pStyle w:val="Compact"/>
              <w:jc w:val="left"/>
            </w:pPr>
            <w:r>
              <w:rPr>
                <w:bCs/>
                <w:b/>
              </w:rPr>
              <w:t xml:space="preserve">H6 reduced to H6a and H6b.</w:t>
            </w:r>
            <w:r>
              <w:t xml:space="preserve"> INT → PI demoted to established path E4. </w:t>
            </w:r>
            <w:r>
              <w:rPr>
                <w:bCs/>
                <w:b/>
              </w:rPr>
              <w:t xml:space="preserve">[REVERSED in v2.1 — see A-1.]</w:t>
            </w:r>
          </w:p>
        </w:tc>
        <w:tc>
          <w:tcPr/>
          <w:p>
            <w:pPr>
              <w:pStyle w:val="Compact"/>
              <w:jc w:val="left"/>
            </w:pPr>
            <w:r>
              <w:t xml:space="preserve">Team decision, 30 July 2026; reversed the same day on inspection of the ratified research model figure, in which INT → PI is drawn as a solid hypothesised path.</w:t>
            </w:r>
          </w:p>
        </w:tc>
      </w:tr>
      <w:tr>
        <w:tc>
          <w:tcPr/>
          <w:p>
            <w:pPr>
              <w:pStyle w:val="Compact"/>
              <w:jc w:val="left"/>
            </w:pPr>
            <w:r>
              <w:t xml:space="preserve">C-3</w:t>
            </w:r>
          </w:p>
        </w:tc>
        <w:tc>
          <w:tcPr/>
          <w:p>
            <w:pPr>
              <w:pStyle w:val="Compact"/>
              <w:jc w:val="left"/>
            </w:pPr>
            <w:r>
              <w:rPr>
                <w:bCs/>
                <w:b/>
              </w:rPr>
              <w:t xml:space="preserve">TRU → PI demoted</w:t>
            </w:r>
            <w:r>
              <w:t xml:space="preserve"> from hypothesis to established path E3. </w:t>
            </w:r>
            <w:r>
              <w:rPr>
                <w:bCs/>
                <w:b/>
              </w:rPr>
              <w:t xml:space="preserve">[SUPERSEDED in v2.1 — see A-2.]</w:t>
            </w:r>
          </w:p>
        </w:tc>
        <w:tc>
          <w:tcPr/>
          <w:p>
            <w:pPr>
              <w:pStyle w:val="Compact"/>
              <w:jc w:val="left"/>
            </w:pPr>
            <w:r>
              <w:t xml:space="preserve">The approved plan does not number this path. v2.1 goes further: the path is removed from the estimated model altogether and reported as a competing-model robustness check.</w:t>
            </w:r>
          </w:p>
        </w:tc>
      </w:tr>
      <w:tr>
        <w:tc>
          <w:tcPr/>
          <w:p>
            <w:pPr>
              <w:pStyle w:val="Compact"/>
              <w:jc w:val="left"/>
            </w:pPr>
            <w:r>
              <w:t xml:space="preserve">C-4</w:t>
            </w:r>
          </w:p>
        </w:tc>
        <w:tc>
          <w:tcPr/>
          <w:p>
            <w:pPr>
              <w:pStyle w:val="Compact"/>
              <w:jc w:val="left"/>
            </w:pPr>
            <w:r>
              <w:rPr>
                <w:bCs/>
                <w:b/>
              </w:rPr>
              <w:t xml:space="preserve">H7 respecified as a moderated moderation.</w:t>
            </w:r>
            <w:r>
              <w:t xml:space="preserve"> </w:t>
            </w:r>
            <w:r>
              <w:rPr>
                <w:bCs/>
                <w:b/>
              </w:rPr>
              <w:t xml:space="preserve">[SUPERSEDED in v2.3 — see A-8.]</w:t>
            </w:r>
          </w:p>
        </w:tc>
        <w:tc>
          <w:tcPr/>
          <w:p>
            <w:pPr>
              <w:pStyle w:val="Compact"/>
              <w:jc w:val="left"/>
            </w:pPr>
            <w:r>
              <w:t xml:space="preserve">Restored the planning wording “PDPD awareness × Disclosure level → mod(Intrusiveness→Trust)” as a three-way product term. That reading is withdrawn by A-8; see Table 0c.</w:t>
            </w:r>
          </w:p>
        </w:tc>
      </w:tr>
      <w:tr>
        <w:tc>
          <w:tcPr/>
          <w:p>
            <w:pPr>
              <w:pStyle w:val="Compact"/>
              <w:jc w:val="left"/>
            </w:pPr>
            <w:r>
              <w:t xml:space="preserve">C-5</w:t>
            </w:r>
          </w:p>
        </w:tc>
        <w:tc>
          <w:tcPr/>
          <w:p>
            <w:pPr>
              <w:pStyle w:val="Compact"/>
              <w:jc w:val="left"/>
            </w:pPr>
            <w:r>
              <w:rPr>
                <w:bCs/>
                <w:b/>
              </w:rPr>
              <w:t xml:space="preserve">Governance rule on DISC amended.</w:t>
            </w:r>
            <w:r>
              <w:t xml:space="preserve"> DISC remains never a Likert construct, but enters the Study 1 structural model as a dummy-coded (0/1) experimental variable.</w:t>
            </w:r>
          </w:p>
        </w:tc>
        <w:tc>
          <w:tcPr/>
          <w:p>
            <w:pPr>
              <w:pStyle w:val="Compact"/>
              <w:jc w:val="left"/>
            </w:pPr>
            <w:r>
              <w:t xml:space="preserve">Mechanically required by C-1 and C-4. v1.0’s statement that “DISC does not enter Study 1” is incompatible with both and is withdrawn. Unaffected by A-8: DISC is still in the structural model, now as the H7b moderator.</w:t>
            </w:r>
          </w:p>
        </w:tc>
      </w:tr>
      <w:tr>
        <w:tc>
          <w:tcPr/>
          <w:p>
            <w:pPr>
              <w:pStyle w:val="Compact"/>
              <w:jc w:val="left"/>
            </w:pPr>
            <w:r>
              <w:t xml:space="preserve">C-6</w:t>
            </w:r>
          </w:p>
        </w:tc>
        <w:tc>
          <w:tcPr/>
          <w:p>
            <w:pPr>
              <w:pStyle w:val="Compact"/>
              <w:jc w:val="left"/>
            </w:pPr>
            <w:r>
              <w:t xml:space="preserve">Established paths formalized as a labelled register </w:t>
            </w:r>
            <w:r>
              <w:rPr>
                <w:bCs/>
                <w:b/>
              </w:rPr>
              <w:t xml:space="preserve">E1–E4</w:t>
            </w:r>
            <w:r>
              <w:t xml:space="preserve"> (§C.1.1), replacing the unlabelled prose list of v1.0.</w:t>
            </w:r>
          </w:p>
        </w:tc>
        <w:tc>
          <w:tcPr/>
          <w:p>
            <w:pPr>
              <w:pStyle w:val="Compact"/>
              <w:jc w:val="left"/>
            </w:pPr>
            <w:r>
              <w:t xml:space="preserve">Prevents demoted paths from being silently re-promoted to hypotheses in downstream drafts. Reduced to E1–E2 by A-3.</w:t>
            </w:r>
          </w:p>
        </w:tc>
      </w:tr>
      <w:tr>
        <w:tc>
          <w:tcPr/>
          <w:p>
            <w:pPr>
              <w:pStyle w:val="Compact"/>
              <w:jc w:val="left"/>
            </w:pPr>
            <w:r>
              <w:t xml:space="preserve">C-7</w:t>
            </w:r>
          </w:p>
        </w:tc>
        <w:tc>
          <w:tcPr/>
          <w:p>
            <w:pPr>
              <w:pStyle w:val="Compact"/>
              <w:jc w:val="left"/>
            </w:pPr>
            <w:r>
              <w:rPr>
                <w:bCs/>
                <w:b/>
              </w:rPr>
              <w:t xml:space="preserve">Measurement register added</w:t>
            </w:r>
            <w:r>
              <w:t xml:space="preserve"> (§C.4), reproducing the planning-designated scale origins with an explicit verification status for each construct.</w:t>
            </w:r>
          </w:p>
        </w:tc>
        <w:tc>
          <w:tcPr/>
          <w:p>
            <w:pPr>
              <w:pStyle w:val="Compact"/>
              <w:jc w:val="left"/>
            </w:pPr>
            <w:r>
              <w:t xml:space="preserve">Implements the citation-sourcing rule: every item traced to its Scopus-indexed primary source, never through a secondary adaptation.</w:t>
            </w:r>
          </w:p>
        </w:tc>
      </w:tr>
      <w:tr>
        <w:tc>
          <w:tcPr/>
          <w:p>
            <w:pPr>
              <w:pStyle w:val="Compact"/>
              <w:jc w:val="left"/>
            </w:pPr>
            <w:r>
              <w:t xml:space="preserve">C-8</w:t>
            </w:r>
          </w:p>
        </w:tc>
        <w:tc>
          <w:tcPr/>
          <w:p>
            <w:pPr>
              <w:pStyle w:val="Compact"/>
              <w:jc w:val="left"/>
            </w:pPr>
            <w:r>
              <w:rPr>
                <w:bCs/>
                <w:b/>
              </w:rPr>
              <w:t xml:space="preserve">Open-decision and residual-risk register added</w:t>
            </w:r>
            <w:r>
              <w:t xml:space="preserve"> (§C.6).</w:t>
            </w:r>
          </w:p>
        </w:tc>
        <w:tc>
          <w:tcPr/>
          <w:p>
            <w:pPr>
              <w:pStyle w:val="Compact"/>
              <w:jc w:val="left"/>
            </w:pPr>
            <w:r>
              <w:t xml:space="preserve">Records, rather than conceals, the consequences the team must accept or revisit.</w:t>
            </w:r>
          </w:p>
        </w:tc>
      </w:tr>
    </w:tbl>
    <w:p>
      <w:pPr>
        <w:pStyle w:val="BodyText"/>
      </w:pPr>
      <w:r>
        <w:t xml:space="preserve">Rows marked [REVERSED] or [SUPERSEDED] are retained for audit trail and are not operative.</w:t>
      </w:r>
    </w:p>
    <w:bookmarkEnd w:id="21"/>
    <w:bookmarkStart w:id="22" w:name="X3e59f96bdcf940d00025c03d480763d6272fe99"/>
    <w:p>
      <w:pPr>
        <w:pStyle w:val="Heading2"/>
      </w:pPr>
      <w:r>
        <w:t xml:space="preserve">Table 0b. Amendments, Version 2.0 → Version 2.2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w:t>
            </w:r>
          </w:p>
        </w:tc>
        <w:tc>
          <w:tcPr/>
          <w:p>
            <w:pPr>
              <w:pStyle w:val="Compact"/>
              <w:jc w:val="left"/>
            </w:pPr>
            <w:r>
              <w:rPr>
                <w:bCs/>
                <w:b/>
              </w:rPr>
              <w:t xml:space="preserve">INT → PI restored as H6c</w:t>
            </w:r>
            <w:r>
              <w:t xml:space="preserve">, a tested hypothesis. C-2 reversed; E4 withdrawn.</w:t>
            </w:r>
          </w:p>
        </w:tc>
        <w:tc>
          <w:tcPr/>
          <w:p>
            <w:pPr>
              <w:pStyle w:val="Compact"/>
              <w:jc w:val="left"/>
            </w:pPr>
            <w:r>
              <w:t xml:space="preserve">The ratified figure draws INT → PI as a solid arrow labelled “H6c −”, and B1.4 v3.0 develops it as a full hypothesis on Pavlou (2003) and Featherman &amp; Pavlou (2003). Closes OD-1.</w:t>
            </w:r>
          </w:p>
        </w:tc>
      </w:tr>
      <w:tr>
        <w:tc>
          <w:tcPr/>
          <w:p>
            <w:pPr>
              <w:pStyle w:val="Compact"/>
              <w:jc w:val="left"/>
            </w:pPr>
            <w:r>
              <w:t xml:space="preserve">A-2</w:t>
            </w:r>
          </w:p>
        </w:tc>
        <w:tc>
          <w:tcPr/>
          <w:p>
            <w:pPr>
              <w:pStyle w:val="Compact"/>
              <w:jc w:val="left"/>
            </w:pPr>
            <w:r>
              <w:rPr>
                <w:bCs/>
                <w:b/>
              </w:rPr>
              <w:t xml:space="preserve">TRU → PI is not estimated in the main model.</w:t>
            </w:r>
            <w:r>
              <w:t xml:space="preserve"> Reported as a competing-model robustness check in the Discussion, without a hypothesis number and without an E-label. C-3 superseded; E3 withdrawn.</w:t>
            </w:r>
          </w:p>
        </w:tc>
        <w:tc>
          <w:tcPr/>
          <w:p>
            <w:pPr>
              <w:pStyle w:val="Compact"/>
              <w:jc w:val="left"/>
            </w:pPr>
            <w:r>
              <w:t xml:space="preserve">The ratified figure contains no TRU → PI arrow. Answers the anticipated reviewer question without adding an unplanned hypothesis.</w:t>
            </w:r>
          </w:p>
        </w:tc>
      </w:tr>
      <w:tr>
        <w:tc>
          <w:tcPr/>
          <w:p>
            <w:pPr>
              <w:pStyle w:val="Compact"/>
              <w:jc w:val="left"/>
            </w:pPr>
            <w:r>
              <w:t xml:space="preserve">A-3</w:t>
            </w:r>
          </w:p>
        </w:tc>
        <w:tc>
          <w:tcPr/>
          <w:p>
            <w:pPr>
              <w:pStyle w:val="Compact"/>
              <w:jc w:val="left"/>
            </w:pPr>
            <w:r>
              <w:rPr>
                <w:bCs/>
                <w:b/>
              </w:rPr>
              <w:t xml:space="preserve">Established-path register returns to E1 and E2 only</w:t>
            </w:r>
            <w:r>
              <w:t xml:space="preserve"> (TRU → ENG; ENG → PI).</w:t>
            </w:r>
          </w:p>
        </w:tc>
        <w:tc>
          <w:tcPr/>
          <w:p>
            <w:pPr>
              <w:pStyle w:val="Compact"/>
              <w:jc w:val="left"/>
            </w:pPr>
            <w:r>
              <w:t xml:space="preserve">Direct consequence of A-1 and A-2.</w:t>
            </w:r>
          </w:p>
        </w:tc>
      </w:tr>
      <w:tr>
        <w:tc>
          <w:tcPr/>
          <w:p>
            <w:pPr>
              <w:pStyle w:val="Compact"/>
              <w:jc w:val="left"/>
            </w:pPr>
            <w:r>
              <w:t xml:space="preserve">A-4</w:t>
            </w:r>
          </w:p>
        </w:tc>
        <w:tc>
          <w:tcPr/>
          <w:p>
            <w:pPr>
              <w:pStyle w:val="Compact"/>
              <w:jc w:val="left"/>
            </w:pPr>
            <w:r>
              <w:rPr>
                <w:bCs/>
                <w:b/>
              </w:rPr>
              <w:t xml:space="preserve">Moderation terms receive a separate symbol family: β_M1 … β_M4.</w:t>
            </w:r>
            <w:r>
              <w:t xml:space="preserve"> </w:t>
            </w:r>
            <w:r>
              <w:rPr>
                <w:bCs/>
                <w:b/>
              </w:rPr>
              <w:t xml:space="preserve">[AMENDED in v2.3 — see A-8.]</w:t>
            </w:r>
          </w:p>
        </w:tc>
        <w:tc>
          <w:tcPr/>
          <w:p>
            <w:pPr>
              <w:pStyle w:val="Compact"/>
              <w:jc w:val="left"/>
            </w:pPr>
            <w:r>
              <w:t xml:space="preserve">v2.0 wrote the three-way coefficient as β₇ while B1.4 v3.0 uses β₇ for TRU → ENG. Separating the families removed the collision. A-8 retires β_M3 and β_M4; the family is now β_M1 and β_M2 only.</w:t>
            </w:r>
          </w:p>
        </w:tc>
      </w:tr>
      <w:tr>
        <w:tc>
          <w:tcPr/>
          <w:p>
            <w:pPr>
              <w:pStyle w:val="Compact"/>
              <w:jc w:val="left"/>
            </w:pPr>
            <w:r>
              <w:t xml:space="preserve">A-5</w:t>
            </w:r>
          </w:p>
        </w:tc>
        <w:tc>
          <w:tcPr/>
          <w:p>
            <w:pPr>
              <w:pStyle w:val="Compact"/>
              <w:jc w:val="left"/>
            </w:pPr>
            <w:r>
              <w:rPr>
                <w:bCs/>
                <w:b/>
              </w:rPr>
              <w:t xml:space="preserve">H3 has exactly one confirmatory test</w:t>
            </w:r>
            <w:r>
              <w:t xml:space="preserve"> — the two-way ANOVA main effect of Disclosure on INT. The DISC → INT path in the SEM is a specification requirement (Aiken &amp; West, 1991), reported descriptively and never as a second test of H3.</w:t>
            </w:r>
          </w:p>
        </w:tc>
        <w:tc>
          <w:tcPr/>
          <w:p>
            <w:pPr>
              <w:pStyle w:val="Compact"/>
              <w:jc w:val="left"/>
            </w:pPr>
            <w:r>
              <w:t xml:space="preserve">Prevents one hypothesis carrying two test statistics with no rule on which is authoritative. Substance unaffected by A-7; only the study label attached to the ANOVA changed.</w:t>
            </w:r>
          </w:p>
        </w:tc>
      </w:tr>
      <w:tr>
        <w:tc>
          <w:tcPr/>
          <w:p>
            <w:pPr>
              <w:pStyle w:val="Compact"/>
              <w:jc w:val="left"/>
            </w:pPr>
            <w:r>
              <w:t xml:space="preserve">A-6</w:t>
            </w:r>
          </w:p>
        </w:tc>
        <w:tc>
          <w:tcPr/>
          <w:p>
            <w:pPr>
              <w:pStyle w:val="Compact"/>
              <w:jc w:val="left"/>
            </w:pPr>
            <w:r>
              <w:rPr>
                <w:bCs/>
                <w:b/>
              </w:rPr>
              <w:t xml:space="preserve">DISC enters the Study 1 structural model as a dummy (0/1) but never the measurement model.</w:t>
            </w:r>
            <w:r>
              <w:t xml:space="preserve"> No outer loadings, no AVE, no CR, no HTMT row.</w:t>
            </w:r>
          </w:p>
        </w:tc>
        <w:tc>
          <w:tcPr/>
          <w:p>
            <w:pPr>
              <w:pStyle w:val="Compact"/>
              <w:jc w:val="left"/>
            </w:pPr>
            <w:r>
              <w:t xml:space="preserve">Required by the H7 specification. The prohibition on treating DISC as a reflective construct is unchanged and remains governance rule 4.</w:t>
            </w:r>
          </w:p>
        </w:tc>
      </w:tr>
      <w:tr>
        <w:tc>
          <w:tcPr/>
          <w:p>
            <w:pPr>
              <w:pStyle w:val="Compact"/>
              <w:jc w:val="left"/>
            </w:pPr>
            <w:r>
              <w:t xml:space="preserve">A-7</w:t>
            </w:r>
          </w:p>
        </w:tc>
        <w:tc>
          <w:tcPr/>
          <w:p>
            <w:pPr>
              <w:pStyle w:val="Compact"/>
              <w:jc w:val="left"/>
            </w:pPr>
            <w:r>
              <w:rPr>
                <w:bCs/>
                <w:b/>
              </w:rPr>
              <w:t xml:space="preserve">Study allocation realigned to the approved plan.</w:t>
            </w:r>
            <w:r>
              <w:t xml:space="preserve"> Study 1 is the behavioural study: the single integrated 2 × 2 Qualtrics survey-experiment, analysed both by PLS-SEM and by two-way ANOVA, carrying all hypotheses including H3. Study 2 is the DSR component only and carries no H-numbered hypothesis.</w:t>
            </w:r>
          </w:p>
        </w:tc>
        <w:tc>
          <w:tcPr/>
          <w:p>
            <w:pPr>
              <w:pStyle w:val="Compact"/>
              <w:jc w:val="left"/>
            </w:pPr>
            <w:r>
              <w:t xml:space="preserve">Planning §1.1 and §5.1 read with governance rule 2. TF v2.1 §C.3 had placed the vignette ANOVA in Study 2, conflicting with the plan’s “Study 1 (PLS-SEM + 2×2 experiment)”. A relabelling amendment: no hypothesis, path, sign, symbol, scale item, vignette or Qualtrics element changed.</w:t>
            </w:r>
          </w:p>
        </w:tc>
      </w:tr>
    </w:tbl>
    <w:bookmarkEnd w:id="22"/>
    <w:bookmarkStart w:id="23" w:name="Xfecaf103cd472c3f851e08667f2681a2471a4a4"/>
    <w:p>
      <w:pPr>
        <w:pStyle w:val="Heading2"/>
      </w:pPr>
      <w:r>
        <w:t xml:space="preserve">Table 0c. Amendments, Version 2.2 → Version 2.4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A-8</w:t>
            </w:r>
          </w:p>
        </w:tc>
        <w:tc>
          <w:tcPr/>
          <w:p>
            <w:pPr>
              <w:pStyle w:val="Compact"/>
              <w:jc w:val="left"/>
            </w:pPr>
            <w:r>
              <w:rPr>
                <w:bCs/>
                <w:b/>
              </w:rPr>
              <w:t xml:space="preserve">H7 respecified from a third-order to two second-order interactions.</w:t>
            </w:r>
            <w:r>
              <w:t xml:space="preserve"> H7 is replaced by </w:t>
            </w:r>
            <w:r>
              <w:rPr>
                <w:bCs/>
                <w:b/>
              </w:rPr>
              <w:t xml:space="preserve">H7a</w:t>
            </w:r>
            <w:r>
              <w:t xml:space="preserve"> (PDPL × INT → mod(INT→TRU), β_M1) and </w:t>
            </w:r>
            <w:r>
              <w:rPr>
                <w:bCs/>
                <w:b/>
              </w:rPr>
              <w:t xml:space="preserve">H7b</w:t>
            </w:r>
            <w:r>
              <w:t xml:space="preserve"> (DISC × INT → mod(INT→TRU), β_M2), estimated as two independent two-way terms in one model. The product term INT × PDPL × DISC is removed from the estimated model, the hypothesis register and the symbol family. </w:t>
            </w:r>
            <w:r>
              <w:rPr>
                <w:bCs/>
                <w:b/>
              </w:rPr>
              <w:t xml:space="preserve">β_M3 and β_M4 are retired.</w:t>
            </w:r>
          </w:p>
        </w:tc>
        <w:tc>
          <w:tcPr/>
          <w:p>
            <w:pPr>
              <w:pStyle w:val="Compact"/>
              <w:jc w:val="left"/>
            </w:pPr>
            <w:r>
              <w:t xml:space="preserve">Planning §1.1 states H7 as “PDPL awareness × Disclosure level → mod(Intrusiveness→Trust)”. That line names two moderators; it does not compel a three-way multiplicative form. The v2.0 conjunctive reading made the study’s least-powered term carry its most distinctive claim (OD-2: f² ≈ 0.02 undetectable at n = 400; the Aguinis et al. 2005 empirical median f² ≈ 0.009 would require n ≈ 881). Ratified by project lead, 24 August 2026. Closes OD-2.</w:t>
            </w:r>
          </w:p>
        </w:tc>
      </w:tr>
      <w:tr>
        <w:tc>
          <w:tcPr/>
          <w:p>
            <w:pPr>
              <w:pStyle w:val="Compact"/>
              <w:jc w:val="left"/>
            </w:pPr>
            <w:r>
              <w:t xml:space="preserve">A-9</w:t>
            </w:r>
          </w:p>
        </w:tc>
        <w:tc>
          <w:tcPr/>
          <w:p>
            <w:pPr>
              <w:pStyle w:val="Compact"/>
              <w:jc w:val="left"/>
            </w:pPr>
            <w:r>
              <w:rPr>
                <w:bCs/>
                <w:b/>
              </w:rPr>
              <w:t xml:space="preserve">RETIRED RULE. REL4 is no longer excluded from the Perceived Relevance construct — the REL4 this rule applied to (Tam &amp; Ho, 2006, decision-usefulness wording) has been removed from the instrument entirely.</w:t>
            </w:r>
            <w:r>
              <w:t xml:space="preserve"> REL is measured by </w:t>
            </w:r>
            <w:r>
              <w:rPr>
                <w:bCs/>
                <w:b/>
              </w:rPr>
              <w:t xml:space="preserve">REL1–REL4</w:t>
            </w:r>
            <w:r>
              <w:t xml:space="preserve"> (the current REL4 is a different, unrelated item from Yin, Qiu &amp; Wang, 2025). All four items enter the measurement model, the reliability statistics, the AVE/HTMT computation, and the construct score.</w:t>
            </w:r>
          </w:p>
        </w:tc>
        <w:tc>
          <w:tcPr/>
          <w:p>
            <w:pPr>
              <w:pStyle w:val="Compact"/>
              <w:jc w:val="left"/>
            </w:pPr>
            <w:r>
              <w:t xml:space="preserve">Two independent grounds, recorded in that order of weight. </w:t>
            </w:r>
            <w:r>
              <w:rPr>
                <w:bCs/>
                <w:b/>
              </w:rPr>
              <w:t xml:space="preserve">(i) Content validity:</w:t>
            </w:r>
            <w:r>
              <w:t xml:space="preserve"> REL1–REL3 all measure </w:t>
            </w:r>
            <w:r>
              <w:rPr>
                <w:iCs/>
                <w:i/>
              </w:rPr>
              <w:t xml:space="preserve">fit</w:t>
            </w:r>
            <w:r>
              <w:t xml:space="preserve"> (matches my needs / my preferences / relevant and suitable to me). REL4 measures </w:t>
            </w:r>
            <w:r>
              <w:rPr>
                <w:iCs/>
                <w:i/>
              </w:rPr>
              <w:t xml:space="preserve">decision</w:t>
            </w:r>
            <w:r>
              <w:rPr>
                <w:bCs/>
                <w:b/>
                <w:iCs/>
                <w:i/>
              </w:rPr>
              <w:t xml:space="preserve"> </w:t>
            </w:r>
            <w:r>
              <w:rPr>
                <w:iCs/>
                <w:i/>
              </w:rPr>
              <w:t xml:space="preserve">usefulness</w:t>
            </w:r>
            <w:r>
              <w:t xml:space="preserve"> — whether recommendations make it easy to find suitable products for a purchase decision — which is a search-effort-reduction facet closer to perceived usefulness than to relevance, and therefore a second dimension inside a construct specified as unidimensional. </w:t>
            </w:r>
            <w:r>
              <w:rPr>
                <w:bCs/>
                <w:b/>
              </w:rPr>
              <w:t xml:space="preserve">(ii) Empirical corroboration:</w:t>
            </w:r>
            <w:r>
              <w:t xml:space="preserve"> the pilot (n = 35) two-factor AIP–REL EFA flagged REL4 with a primary loading below 0.60 and a narrow primary-to-secondary gap, which is the pattern a misplaced facet produces. Ratified by project lead, 26 August 2026.</w:t>
            </w:r>
          </w:p>
        </w:tc>
      </w:tr>
      <w:tr>
        <w:tc>
          <w:tcPr/>
          <w:p>
            <w:pPr>
              <w:pStyle w:val="Compact"/>
              <w:jc w:val="left"/>
            </w:pPr>
            <w:r>
              <w:t xml:space="preserve">A-10</w:t>
            </w:r>
          </w:p>
        </w:tc>
        <w:tc>
          <w:tcPr/>
          <w:p>
            <w:pPr>
              <w:pStyle w:val="Compact"/>
              <w:jc w:val="left"/>
            </w:pPr>
            <w:r>
              <w:rPr>
                <w:bCs/>
                <w:b/>
              </w:rPr>
              <w:t xml:space="preserve">Measurement register reconciled to the fielded instrument: TRU = 5 items (TRU1–TRU5), ENG = 6 items (ENG1–ENG6).</w:t>
            </w:r>
            <w:r>
              <w:t xml:space="preserve"> Table 5 of v2.1 recorded TRU = 6 and ENG = 5, which does not match PROJ_MAIN. Every prose reference to “TRU4–TRU6” and “ENG1–ENG5” is corrected accordingly.</w:t>
            </w:r>
          </w:p>
        </w:tc>
        <w:tc>
          <w:tcPr/>
          <w:p>
            <w:pPr>
              <w:pStyle w:val="Compact"/>
              <w:jc w:val="left"/>
            </w:pPr>
            <w:r>
              <w:t xml:space="preserve">The discrepancy was a register error, not an instrument error: the totals reconcile to 33 either way (6+4+5+6+5+3+4 = 6+4+5+5+6+3+4), which is why it survived earlier audits. The instrument has been fielded and the pilot has run on TRU1–TRU5 / ENG1–ENG6; there is no version of this project in which the register’s counts are the operative ones. The register is corrected to the fielded reality rather than the instrument re-fielded to the register. Ratified by project lead, 26 August 2026.</w:t>
            </w:r>
          </w:p>
          <w:p>
            <w:pPr>
              <w:pStyle w:val="Compact"/>
              <w:jc w:val="left"/>
            </w:pPr>
            <w:r>
              <w:rPr>
                <w:bCs/>
                <w:b/>
              </w:rPr>
              <w:t xml:space="preserve">SUPERSEDED (post-B1.5 correction pass) for TRU only:</w:t>
            </w:r>
            <w:r>
              <w:t xml:space="preserve"> the team and faculty advisor confirmed the current, correct standard is TRU = 6 items (TRU1–TRU6: TRU1–3 cognitive; TRU4–6 affective — secure, comfortable, content — Komiak &amp; Benbasat, 2006), as fielded in B1.5. This reverses A-10’s 5-item reconciliation for TRU specifically; A-10’s ENG reconciliation (6 items, ENG1–ENG6) is unaffected and still stands. All current-state references elsewhere in this document have been updated to TRU1–TRU6; this table row is retained unmodified as the historical record of A-10 itself.</w:t>
            </w:r>
          </w:p>
        </w:tc>
      </w:tr>
    </w:tbl>
    <w:bookmarkEnd w:id="23"/>
    <w:bookmarkStart w:id="24" w:name="X10689e47c4cd569bb7ed17714af2d6d31d2b514"/>
    <w:p>
      <w:pPr>
        <w:pStyle w:val="Heading2"/>
      </w:pPr>
      <w:r>
        <w:t xml:space="preserve">Table 0d. Amendments, Version 2.4 → Version 2.7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A-11</w:t>
            </w:r>
          </w:p>
        </w:tc>
        <w:tc>
          <w:tcPr/>
          <w:p>
            <w:pPr>
              <w:pStyle w:val="Compact"/>
              <w:jc w:val="left"/>
            </w:pPr>
            <w:r>
              <w:rPr>
                <w:bCs/>
                <w:b/>
              </w:rPr>
              <w:t xml:space="preserve">OD-4 closed: article-level citations to Law 91/2025/QH15 verified against the full statute text.</w:t>
            </w:r>
            <w:r>
              <w:t xml:space="preserve"> A machine-readable copy (luat_PDPL.pdf) was obtained and read directly — the earlier scanned copy (91qh.signed.pdf) had no usable text layer and blocked verification. Every Art. n citation in Part B (Tables 2a–2d, §B.5) and §A.5.1 was checked article-by-article against the statute. Result: </w:t>
            </w:r>
            <w:r>
              <w:rPr>
                <w:bCs/>
                <w:b/>
              </w:rPr>
              <w:t xml:space="preserve">all citations verified accurate; no correction required.</w:t>
            </w:r>
            <w:r>
              <w:t xml:space="preserve"> Two findings strengthen, rather than change, the existing framing: (i) Art. 28(8) explicitly names </w:t>
            </w:r>
            <w:r>
              <w:rPr>
                <w:iCs/>
                <w:i/>
              </w:rPr>
              <w:t xml:space="preserve">cá nhân hóa quảng cáo</w:t>
            </w:r>
            <w:r>
              <w:t xml:space="preserve"> (“personalized advertising”) as its own regulated sub-case — the most precise available statutory anchor for the Study 2 Disclosure Optimizer, more specific than the general Art. 28 framing used until now; (ii) Art. 30(4)’s risk-based-classification duty for AI processing is a direct statutory anchor for the Intelligence Layer’s Privacy Scorer, not previously cited at the sub-article level. Minor completeness note: Table 2b cites “Art. 19(1)(a)–(d)”; the statute’s point đ) — a generic “other cases per law” catch-all — is omitted as low-content and does not require a table correction.</w:t>
            </w:r>
          </w:p>
        </w:tc>
        <w:tc>
          <w:tcPr/>
          <w:p>
            <w:pPr>
              <w:pStyle w:val="Compact"/>
              <w:jc w:val="left"/>
            </w:pPr>
            <w:r>
              <w:t xml:space="preserve">Ratified by project lead, 26 August 2026. Closes OD-4.</w:t>
            </w:r>
          </w:p>
        </w:tc>
      </w:tr>
      <w:tr>
        <w:tc>
          <w:tcPr/>
          <w:p>
            <w:pPr>
              <w:pStyle w:val="Compact"/>
              <w:jc w:val="left"/>
            </w:pPr>
            <w:r>
              <w:t xml:space="preserve">A-12</w:t>
            </w:r>
          </w:p>
        </w:tc>
        <w:tc>
          <w:tcPr/>
          <w:p>
            <w:pPr>
              <w:pStyle w:val="Compact"/>
              <w:jc w:val="left"/>
            </w:pPr>
            <w:r>
              <w:rPr>
                <w:bCs/>
                <w:b/>
              </w:rPr>
              <w:t xml:space="preserve">ENG respecified with an explicit three-dimension item structure (Cognitive Processing, Affection, Activation) and its measurement citation corrected.</w:t>
            </w:r>
            <w:r>
              <w:t xml:space="preserve"> ENG1–ENG6 are adapted from Hollebeek, Glynn, &amp; Brodie (2014)’s Consumer Brand Engagement scale, not from Brodie et al. (2011), which is conceptual/definitional and supplies no item battery. Reliability and item-retention diagnostics for ENG must be computed within each dimension (Cognitive: ENG1–ENG2; Affection: ENG3, ENG6; Activation: ENG4–ENG5), never pooled across all six items. This reverses the provisional plan to exclude ENG4 (which had been evaluated the same way as REL4 under Amendment A-9): within-dimension reanalysis (pilot n = 46) shows Activation-facet reliability is weak (alpha = 0.345) but ENG4 is retained, since dropping it would leave Activation as an unassessable single-item facet. ENG remains a single first-order reflective composite in the structural model (H5, H6b, E1, E2) — this amendment does not introduce a second-order specification, for the same parsimony reason TRU (§A.3.2) is not modeled as second-order despite an equally multidimensional source theory.</w:t>
            </w:r>
          </w:p>
        </w:tc>
        <w:tc>
          <w:tcPr/>
          <w:p>
            <w:pPr>
              <w:pStyle w:val="Compact"/>
              <w:jc w:val="left"/>
            </w:pPr>
            <w:r>
              <w:t xml:space="preserve">Raised by faculty advisor (methodological review of pooled vs. within-dimension reliability computation), 26 August 2026. Ratified by project lead the same day. See §A.4.1 for full development.</w:t>
            </w:r>
          </w:p>
        </w:tc>
      </w:tr>
      <w:tr>
        <w:tc>
          <w:tcPr/>
          <w:p>
            <w:pPr>
              <w:pStyle w:val="Compact"/>
              <w:jc w:val="left"/>
            </w:pPr>
            <w:r>
              <w:rPr>
                <w:bCs/>
                <w:b/>
              </w:rPr>
              <w:t xml:space="preserve">A-13</w:t>
            </w:r>
          </w:p>
        </w:tc>
        <w:tc>
          <w:tcPr/>
          <w:p>
            <w:pPr>
              <w:pStyle w:val="Compact"/>
              <w:jc w:val="left"/>
            </w:pPr>
            <w:r>
              <w:rPr>
                <w:bCs/>
                <w:b/>
              </w:rPr>
              <w:t xml:space="preserve">Item wording finalized for main collection (PROJ_MAIN_final_v2), superseding the pilot-stage wording recorded in Master Codebook v2.0/2.1.</w:t>
            </w:r>
            <w:r>
              <w:t xml:space="preserve"> Twelve constructs’ items received editorial revision after pilot (AIP1–6, INT1–5, TRU1, TRU3, PDPL1–4, PI1–2, plus minor EN-only wording on ENG2–3/5–6 and REL4) — mostly clause additions/rewording for clarity, not construct redefinition. </w:t>
            </w:r>
            <w:r>
              <w:rPr>
                <w:bCs/>
                <w:b/>
              </w:rPr>
              <w:t xml:space="preserve">One substantive correction is included:</w:t>
            </w:r>
            <w:r>
              <w:t xml:space="preserve"> TRU2 was fielded to the pilot as a double-barreled item (“…trung thực và đáng tin cậy </w:t>
            </w:r>
            <w:r>
              <w:rPr>
                <w:bCs/>
                <w:b/>
              </w:rPr>
              <w:t xml:space="preserve">/ luôn giữ đúng những gì họ cam kết với khách hàng</w:t>
            </w:r>
            <w:r>
              <w:t xml:space="preserve">” — conflating honesty/reliability with commitment-keeping in one item under a “/”). This is reverted to the original single-barrel wording (“…trung thực và đáng tin cậy.”) in PROJ_MAIN_final_v2 — not carried forward as finalized. </w:t>
            </w:r>
            <w:r>
              <w:rPr>
                <w:bCs/>
                <w:b/>
              </w:rPr>
              <w:t xml:space="preserve">Governance consequence:</w:t>
            </w:r>
            <w:r>
              <w:t xml:space="preserve"> the pilot (n = 46) reliability, EFA, and HTMT statistics reported in this document and in 03_reliability_efa.py output were computed against the </w:t>
            </w:r>
            <w:r>
              <w:rPr>
                <w:iCs/>
                <w:i/>
              </w:rPr>
              <w:t xml:space="preserve">pre-A-13</w:t>
            </w:r>
            <w:r>
              <w:t xml:space="preserve"> item wording. They remain valid evidence that the underlying constructs behave as reflective, unidimensional (or, for ENG, dimension-structured per A-12) scales, but they are </w:t>
            </w:r>
            <w:r>
              <w:rPr>
                <w:bCs/>
                <w:b/>
              </w:rPr>
              <w:t xml:space="preserve">not confirmatory of the exact finalized wording</w:t>
            </w:r>
            <w:r>
              <w:t xml:space="preserve"> for the twelve revised constructs. Main collection (n ≥ 400) is the authoritative reliability/validity test for the finalized item set; do not cite pilot alpha/loadings as validating PROJ_MAIN_final_v2 wording verbatim without this caveat in the Method section.</w:t>
            </w:r>
          </w:p>
        </w:tc>
        <w:tc>
          <w:tcPr/>
          <w:p>
            <w:pPr>
              <w:pStyle w:val="Compact"/>
              <w:jc w:val="left"/>
            </w:pPr>
            <w:r>
              <w:t xml:space="preserve">Ratified by project lead, 1 September 2026, on review of PROJ_MAIN_fixed.docx. TRU2 correction identified during this review; item-wording diff verified item-by-item against Master Codebook v2.1.</w:t>
            </w:r>
          </w:p>
        </w:tc>
      </w:tr>
    </w:tbl>
    <w:bookmarkEnd w:id="24"/>
    <w:bookmarkStart w:id="25" w:name="Xcc6379478559644b4ba07e76a611a4c4e7b35f6"/>
    <w:p>
      <w:pPr>
        <w:pStyle w:val="Heading2"/>
      </w:pPr>
      <w:r>
        <w:t xml:space="preserve">Table 0e. Amendment, Version 2.7 → Version 2.8 [SUPERSEDED — see Table 0f]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t xml:space="preserve">A-16 [SUPERSEDED, A-17]</w:t>
            </w:r>
          </w:p>
        </w:tc>
        <w:tc>
          <w:tcPr/>
          <w:p>
            <w:pPr>
              <w:pStyle w:val="Compact"/>
              <w:jc w:val="left"/>
            </w:pPr>
            <w:r>
              <w:rPr>
                <w:bCs/>
                <w:b/>
              </w:rPr>
              <w:t xml:space="preserve">OD-11 closed: PDPL1–PDPL4 item stems remain generic (no statute name); the statutory anchor is relocated to a split administration preamble instead.</w:t>
            </w:r>
            <w:r>
              <w:t xml:space="preserve"> (i) </w:t>
            </w:r>
            <w:r>
              <w:rPr>
                <w:bCs/>
                <w:b/>
              </w:rPr>
              <w:t xml:space="preserve">Item stems unchanged from PROJ_MAIN_final_v2</w:t>
            </w:r>
            <w:r>
              <w:t xml:space="preserve"> — PDPL1–PDPL4 do not name Law 91/2025/QH15 and are not revised under this amendment; this closes OD-11 by adopting the “state the limitation via design, not by editing the items” branch, refined into an active design decision rather than a passive disclosure. (ii) </w:t>
            </w:r>
            <w:r>
              <w:rPr>
                <w:bCs/>
                <w:b/>
              </w:rPr>
              <w:t xml:space="preserve">Block M_PDPL’s single preamble is split into two administration segments.</w:t>
            </w:r>
            <w:r>
              <w:t xml:space="preserve"> Segment 1 (generic, no statute name — “Các câu hỏi sau đây liên quan đến quyền và nghĩa vụ theo quy định pháp luật Việt Nam về bảo vệ dữ liệu cá nhân.”) precedes PDPL1. Segment 2 (names Law 91/2025/QH15, effective 1 January 2026) is inserted immediately after PDPL1 and before PDPL2. (iii) </w:t>
            </w:r>
            <w:r>
              <w:rPr>
                <w:bCs/>
                <w:b/>
              </w:rPr>
              <w:t xml:space="preserve">Measurement-register note added</w:t>
            </w:r>
            <w:r>
              <w:t xml:space="preserve"> (Table 5, § C.4): PDPL1 is the sole </w:t>
            </w:r>
            <w:r>
              <w:rPr>
                <w:iCs/>
                <w:i/>
              </w:rPr>
              <w:t xml:space="preserve">pre-anchor</w:t>
            </w:r>
            <w:r>
              <w:t xml:space="preserve"> item (spontaneous/baseline awareness of the regime’s existence, uncontaminated by information given in the same block); PDPL2–PDPL4 are </w:t>
            </w:r>
            <w:r>
              <w:rPr>
                <w:iCs/>
                <w:i/>
              </w:rPr>
              <w:t xml:space="preserve">post-anchor</w:t>
            </w:r>
            <w:r>
              <w:t xml:space="preserve"> items (awareness of specific entitlements under the now-named statute, not generic privacy belief). This distinction must be carried into the Method section’s instrument-development narrative and must not be collapsed into a single “PDPL Awareness, 4 items” description without the pre-/post-anchor qualifier.</w:t>
            </w:r>
          </w:p>
        </w:tc>
        <w:tc>
          <w:tcPr/>
          <w:p>
            <w:pPr>
              <w:pStyle w:val="Compact"/>
              <w:jc w:val="left"/>
            </w:pPr>
            <w:r>
              <w:t xml:space="preserve">Raised by Thiện Phan Đức on inspection of the fielded preamble (7 September 2026): a preamble naming the statute </w:t>
            </w:r>
            <w:r>
              <w:rPr>
                <w:iCs/>
                <w:i/>
              </w:rPr>
              <w:t xml:space="preserve">before</w:t>
            </w:r>
            <w:r>
              <w:t xml:space="preserve"> PDPL1 primes the bare-awareness item with the very fact it tests, converting it into a near-manipulation-check and risking a ceiling effect. Faculty advisor confirmed (8 September 2026) that the four item stems themselves should not name the statute — that anchor belongs in context (preamble / Chapter 2 / Method), not in item text — which rules out the alternative fix of naming the law inside PDPL1’s stem. Ratified by project lead, 8 September 2026. Closes OD-11 (Table 6, prior status “open, non-blocking for the pilot”). Supersedes the interim fix of adding “(Law No. 91/2025/QH15)” directly to the PDPL1 stem, which was drafted and then reverted before fielding — that wording is never valid and must not reappear in PROJ_MAIN.</w:t>
            </w:r>
          </w:p>
        </w:tc>
      </w:tr>
    </w:tbl>
    <w:bookmarkEnd w:id="25"/>
    <w:bookmarkStart w:id="26" w:name="X9cb7143e2d02becded0c54e64e4443c05b8be24"/>
    <w:p>
      <w:pPr>
        <w:pStyle w:val="Heading2"/>
      </w:pPr>
      <w:r>
        <w:t xml:space="preserve">Table 0f. Amendment, Version 2.8 -&gt; Version 2.9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Amendment</w:t>
            </w:r>
          </w:p>
        </w:tc>
        <w:tc>
          <w:tcPr/>
          <w:p>
            <w:pPr>
              <w:pStyle w:val="Compact"/>
              <w:jc w:val="left"/>
            </w:pPr>
            <w:r>
              <w:rPr>
                <w:bCs/>
                <w:b/>
              </w:rPr>
              <w:t xml:space="preserve">Rationale and authority</w:t>
            </w:r>
          </w:p>
        </w:tc>
      </w:tr>
      <w:tr>
        <w:tc>
          <w:tcPr/>
          <w:p>
            <w:pPr>
              <w:pStyle w:val="Compact"/>
              <w:jc w:val="left"/>
            </w:pPr>
            <w:r>
              <w:rPr>
                <w:bCs/>
                <w:b/>
              </w:rPr>
              <w:t xml:space="preserve">A-17</w:t>
            </w:r>
          </w:p>
        </w:tc>
        <w:tc>
          <w:tcPr/>
          <w:p>
            <w:pPr>
              <w:pStyle w:val="Compact"/>
              <w:jc w:val="left"/>
            </w:pPr>
            <w:r>
              <w:rPr>
                <w:bCs/>
                <w:b/>
              </w:rPr>
              <w:t xml:space="preserve">Supersedes A-16 in full. OD-11 is re-closed via the “state the limitation, do not alter the instrument” branch, not the instrument-design branch.</w:t>
            </w:r>
            <w:r>
              <w:t xml:space="preserve"> (i) </w:t>
            </w:r>
            <w:r>
              <w:rPr>
                <w:bCs/>
                <w:b/>
              </w:rPr>
              <w:t xml:space="preserve">PDPL1-PDPL4 item stems are unchanged</w:t>
            </w:r>
            <w:r>
              <w:t xml:space="preserve"> and remain generic – no statute name, as under A-13 and A-16 alike. (ii) </w:t>
            </w:r>
            <w:r>
              <w:rPr>
                <w:bCs/>
                <w:b/>
              </w:rPr>
              <w:t xml:space="preserve">Block M_PDPL’s preamble reverts to a single generic segment before PDPL1.</w:t>
            </w:r>
            <w:r>
              <w:t xml:space="preserve"> The second, statute-naming segment introduced by A-16 (to be inserted after PDPL1, before PDPL2) is withdrawn; it is not administered in PROJ_MAIN. (iii) </w:t>
            </w:r>
            <w:r>
              <w:rPr>
                <w:bCs/>
                <w:b/>
              </w:rPr>
              <w:t xml:space="preserve">The pre-anchor / post-anchor distinction introduced by A-16 is withdrawn along with it</w:t>
            </w:r>
            <w:r>
              <w:t xml:space="preserve"> – with no segment naming the statute anywhere in the block, PDPL1-PDPL4 are administered identically (all under the single generic preamble), and the Master Codebook’s “Anchor status” column is removed. (iv) </w:t>
            </w:r>
            <w:r>
              <w:rPr>
                <w:bCs/>
                <w:b/>
              </w:rPr>
              <w:t xml:space="preserve">The statutory anchor for PDPL Awareness is documented exclusively outside the fielded instrument:</w:t>
            </w:r>
            <w:r>
              <w:t xml:space="preserve"> in the literature review (Chapter 2, construct operationalization), and in the instrument-development narrative of the Method section, which must state plainly that PDPL1-PDPL4 are generic by design and name Law 91/2025/QH15 only in surrounding text, not in administration.</w:t>
            </w:r>
          </w:p>
        </w:tc>
        <w:tc>
          <w:tcPr/>
          <w:p>
            <w:pPr>
              <w:pStyle w:val="Compact"/>
              <w:jc w:val="left"/>
            </w:pPr>
            <w:r>
              <w:t xml:space="preserve">Faculty advisor’s guidance, re-confirmed 8 September 2026 on inspection of the A-16 preamble-split draft: no part of the fielded instrument – items or preamble – needs to name the statute, because all four items already trace to specific articles (Table 5, Section C.4) and this is standard practice for scales built on an established construct; the statute belongs in the manuscript’s own context sections only. Ratified by project lead, 8 September 2026, the same day A-16 was ratified and superseded. Re-closes OD-11 (Table 6): status changes from “Closed by A-16” to “Closed by A-17”; the underlying resolution (generic items, limitation stated in Method/Limitations) had in fact been the team’s working option since the original OD-11 entry – A-16 and A-17 together are the record of a same-day exploration and correction, not two independent substantive changes.</w:t>
            </w:r>
          </w:p>
        </w:tc>
      </w:tr>
    </w:tbl>
    <w:p>
      <w:pPr>
        <w:pStyle w:val="BodyText"/>
      </w:pPr>
      <w:r>
        <w:rPr>
          <w:bCs/>
          <w:b/>
        </w:rPr>
        <w:t xml:space="preserve">Item-count consequence of A-9 and A-10 — RETIRED, see below.</w:t>
      </w:r>
      <w:r>
        <w:t xml:space="preserve"> A-9’s REL4-exclusion and A-10’s TRU reduction have both been reversed in the post-B1.5 correction pass. The instrument now fields </w:t>
      </w:r>
      <w:r>
        <w:rPr>
          <w:bCs/>
          <w:b/>
        </w:rPr>
        <w:t xml:space="preserve">34 reflective items</w:t>
      </w:r>
      <w:r>
        <w:t xml:space="preserve">, and the measurement model analyses all </w:t>
      </w:r>
      <w:r>
        <w:rPr>
          <w:bCs/>
          <w:b/>
        </w:rPr>
        <w:t xml:space="preserve">34</w:t>
      </w:r>
      <w:r>
        <w:t xml:space="preserve">: fielded and analysed counts are identical, with no fielded-but-excluded item. Downstream code constants keyed to “33 items” or “32 items” (missing-data proportion, straightlining SD) must be updated to 34 — see §C.4.1.</w:t>
      </w:r>
    </w:p>
    <w:bookmarkEnd w:id="26"/>
    <w:bookmarkEnd w:id="27"/>
    <w:bookmarkStart w:id="28" w:name="purpose-and-governance-of-this-document"/>
    <w:p>
      <w:pPr>
        <w:pStyle w:val="Heading1"/>
      </w:pPr>
      <w:r>
        <w:t xml:space="preserve">Purpose and Governance of This Document</w:t>
      </w:r>
    </w:p>
    <w:p>
      <w:pPr>
        <w:pStyle w:val="FirstParagraph"/>
      </w:pPr>
      <w:r>
        <w:t xml:space="preserve">This document consolidates the project’s three source components — the </w:t>
      </w:r>
      <w:r>
        <w:rPr>
          <w:bCs/>
          <w:b/>
        </w:rPr>
        <w:t xml:space="preserve">literature review</w:t>
      </w:r>
      <w:r>
        <w:t xml:space="preserve"> (52 catalogued papers), the </w:t>
      </w:r>
      <w:r>
        <w:rPr>
          <w:bCs/>
          <w:b/>
        </w:rPr>
        <w:t xml:space="preserve">conceptual review of Trust Theory</w:t>
      </w:r>
      <w:r>
        <w:t xml:space="preserve">, and the </w:t>
      </w:r>
      <w:r>
        <w:rPr>
          <w:bCs/>
          <w:b/>
        </w:rPr>
        <w:t xml:space="preserve">novelty and regulatory comparison analysis</w:t>
      </w:r>
      <w:r>
        <w:t xml:space="preserve"> — into a single, internally consistent theoretical and regulatory base. Its function is prescriptive as well as descriptive: every subsequent deliverable (measurement instrument, vignette design, PLS-SEM specification, AI-agent evaluation protocol, and manuscript sections) must align with the definitions, path specifications, and framing decisions recorded here. Where a downstream document deviates, this document prevails unless the team formally revises it.</w:t>
      </w:r>
    </w:p>
    <w:p>
      <w:pPr>
        <w:pStyle w:val="BodyText"/>
      </w:pPr>
      <w:r>
        <w:t xml:space="preserve">Four governance rules apply.</w:t>
      </w:r>
    </w:p>
    <w:p>
      <w:pPr>
        <w:numPr>
          <w:ilvl w:val="0"/>
          <w:numId w:val="1005"/>
        </w:numPr>
      </w:pPr>
      <w:r>
        <w:rPr>
          <w:bCs/>
          <w:b/>
        </w:rPr>
        <w:t xml:space="preserve">(1) Construct naming is locked</w:t>
      </w:r>
      <w:r>
        <w:t xml:space="preserve"> to the labels in Table 1. In &gt; particular, the regulatory-awareness moderator is standardized as &gt; </w:t>
      </w:r>
      <w:r>
        <w:rPr>
          <w:bCs/>
          <w:b/>
        </w:rPr>
        <w:t xml:space="preserve">PDPL Awareness</w:t>
      </w:r>
      <w:r>
        <w:t xml:space="preserve"> (Personal Data Protection Law Awareness), &gt; superseding earlier drafts that used “PDPD Awareness”, because Law &gt; 91/2025/QH15 replaced Decree 13/2023/NĐ-CP as the operative &gt; instrument from 1 January 2026. Any deliverable, project brief, or &gt; instruction file still reading “PDPD”, “PDP Law Awareness”, or &gt; “Decree 13” is out of date and must be corrected before &gt; distribution.</w:t>
      </w:r>
    </w:p>
    <w:p>
      <w:pPr>
        <w:numPr>
          <w:ilvl w:val="0"/>
          <w:numId w:val="1005"/>
        </w:numPr>
      </w:pPr>
      <w:r>
        <w:rPr>
          <w:bCs/>
          <w:b/>
        </w:rPr>
        <w:t xml:space="preserve">(2) Hypothesis numbering is bound to the approved planning &gt; document</w:t>
      </w:r>
      <w:r>
        <w:t xml:space="preserve"> and is fixed by Table 3 (§C.1). The locked set is </w:t>
      </w:r>
      <w:r>
        <w:rPr>
          <w:bCs/>
          <w:b/>
        </w:rPr>
        <w:t xml:space="preserve">H1, &gt; H2, H3, H4, H5, H6a, H6b, H6c, H7a, H7b</w:t>
      </w:r>
      <w:r>
        <w:t xml:space="preserve">. No downstream &gt; deliverable may renumber them for local convenience; if a &gt; renumbering is genuinely required, this document is revised first &gt; and the version number is incremented.</w:t>
      </w:r>
    </w:p>
    <w:p>
      <w:pPr>
        <w:numPr>
          <w:ilvl w:val="0"/>
          <w:numId w:val="1005"/>
        </w:numPr>
      </w:pPr>
      <w:r>
        <w:rPr>
          <w:bCs/>
          <w:b/>
        </w:rPr>
        <w:t xml:space="preserve">(3) Tested hypotheses are visually and analytically distinguished &gt; from established paths (E1, E2).</w:t>
      </w:r>
      <w:r>
        <w:t xml:space="preserve"> Established paths are estimated &gt; and reported but are justified by prior theory rather than framed &gt; as novel contributions. In every model figure: solid arrows denote &gt; the hypothesised direct paths H1–H6c; </w:t>
      </w:r>
      <w:r>
        <w:rPr>
          <w:bCs/>
          <w:b/>
        </w:rPr>
        <w:t xml:space="preserve">two separate dashed &gt; arrows</w:t>
      </w:r>
      <w:r>
        <w:t xml:space="preserve"> denote the H7a and H7b moderations; dotted arrows denote &gt; E1 and E2. Non-hypothesised lower-order specification terms are &gt; not drawn as arrows — they are declared in a figure note.</w:t>
      </w:r>
    </w:p>
    <w:p>
      <w:pPr>
        <w:numPr>
          <w:ilvl w:val="0"/>
          <w:numId w:val="1005"/>
        </w:numPr>
      </w:pPr>
      <w:r>
        <w:rPr>
          <w:bCs/>
          <w:b/>
        </w:rPr>
        <w:t xml:space="preserve">(4) Disclosure Level (DISC) is never measured as a Likert-scale &gt; construct</w:t>
      </w:r>
      <w:r>
        <w:t xml:space="preserve"> — it is a manipulated factor, dummy-coded 0 = No &gt; Disclosure / 1 = With Disclosure. It nonetheless </w:t>
      </w:r>
      <w:r>
        <w:rPr>
          <w:bCs/>
          <w:b/>
        </w:rPr>
        <w:t xml:space="preserve">does enter the &gt; Study 1 structural model</w:t>
      </w:r>
      <w:r>
        <w:t xml:space="preserve">, as the predictor in H3 and as the &gt; moderator in H7b. This amends the v1.0 rule that “DISC does not &gt; enter Study 1”, which is incompatible with the ratified H3 and H7 &gt; specifications.</w:t>
      </w:r>
    </w:p>
    <w:p>
      <w:pPr>
        <w:pStyle w:val="FirstParagraph"/>
      </w:pPr>
      <w:r>
        <w:rPr>
          <w:iCs/>
          <w:i/>
        </w:rPr>
        <w:t xml:space="preserve">Fielding consequence of rule 4.</w:t>
      </w:r>
      <w:r>
        <w:t xml:space="preserve"> Because every respondent must carry a DISC value for the H7b interaction to be estimable, the survey and the experiment cannot be fielded as two separate collections. They must be a single integrated Qualtrics instrument in which respondents are randomly assigned to one of the four 2 × 2 cells and then complete the full item battery — the design already specified in the planning document (Month 1, Week 4).</w:t>
      </w:r>
    </w:p>
    <w:bookmarkEnd w:id="28"/>
    <w:bookmarkStart w:id="43" w:name="part-a.-theoretical-foundations"/>
    <w:p>
      <w:pPr>
        <w:pStyle w:val="Heading1"/>
      </w:pPr>
      <w:r>
        <w:t xml:space="preserve">Part A. Theoretical Foundations</w:t>
      </w:r>
    </w:p>
    <w:bookmarkStart w:id="29" w:name="X772e2c0c299e527f1fb008ac7b23dc777e0137f"/>
    <w:p>
      <w:pPr>
        <w:pStyle w:val="Heading2"/>
      </w:pPr>
      <w:r>
        <w:t xml:space="preserve">A.1 Meta-Framework: The Stimulus–Organism–Response (SOR) Architecture</w:t>
      </w:r>
    </w:p>
    <w:p>
      <w:pPr>
        <w:pStyle w:val="FirstParagraph"/>
      </w:pPr>
      <w:r>
        <w:t xml:space="preserve">The research model is organized by the SOR paradigm (Mehrabian &amp; Russell, 1974; applied to AI personalization by Teepapal, 2025, </w:t>
      </w:r>
      <w:r>
        <w:rPr>
          <w:iCs/>
          <w:i/>
        </w:rPr>
        <w:t xml:space="preserve">Computers in Human Behavior</w:t>
      </w:r>
      <w:r>
        <w:t xml:space="preserve">). SOR supplies the causal ordering into which the three theoretical pillars are slotted: environmental stimuli trigger internal organismic states, which in turn drive behavioral responses. In the present model:</w:t>
      </w:r>
    </w:p>
    <w:p>
      <w:pPr>
        <w:numPr>
          <w:ilvl w:val="0"/>
          <w:numId w:val="1006"/>
        </w:numPr>
      </w:pPr>
      <w:r>
        <w:rPr>
          <w:bCs/>
          <w:b/>
        </w:rPr>
        <w:t xml:space="preserve">Stimulus (S):</w:t>
      </w:r>
      <w:r>
        <w:t xml:space="preserve"> AI Personalization Intensity (AIP) — the degree &gt; to which the omnichannel retail environment deploys AI-driven, &gt; individually tailored recommendations, offers, and communications &gt; across touchpoints. </w:t>
      </w:r>
      <w:r>
        <w:rPr>
          <w:bCs/>
          <w:b/>
        </w:rPr>
        <w:t xml:space="preserve">Disclosure Level (DISC)</w:t>
      </w:r>
      <w:r>
        <w:t xml:space="preserve"> is a second, &gt; experimentally manipulated stimulus (No Disclosure vs. With &gt; Disclosure). DISC is not merely a background factor: it carries &gt; its own hypothesized effect on the organism layer (H3) and &gt; independently conditions the intrusiveness–trust relationship &gt; (H7b).</w:t>
      </w:r>
    </w:p>
    <w:p>
      <w:pPr>
        <w:numPr>
          <w:ilvl w:val="0"/>
          <w:numId w:val="1006"/>
        </w:numPr>
      </w:pPr>
      <w:r>
        <w:rPr>
          <w:bCs/>
          <w:b/>
        </w:rPr>
        <w:t xml:space="preserve">Organism (O):</w:t>
      </w:r>
      <w:r>
        <w:t xml:space="preserve"> the consumer’s internal evaluative states — &gt; Perceived Relevance (REL), Perceived Intrusiveness (INT), and &gt; Consumer Trust (TRU, cognitive + affective). The organism layer is &gt; where Privacy Calculus Theory and Trust Theory operate.</w:t>
      </w:r>
    </w:p>
    <w:p>
      <w:pPr>
        <w:numPr>
          <w:ilvl w:val="0"/>
          <w:numId w:val="1006"/>
        </w:numPr>
      </w:pPr>
      <w:r>
        <w:rPr>
          <w:bCs/>
          <w:b/>
        </w:rPr>
        <w:t xml:space="preserve">Response (R):</w:t>
      </w:r>
      <w:r>
        <w:t xml:space="preserve"> Customer Engagement (ENG) and Purchase Intention &gt; (PI) — the attitudinal-behavioral outcomes. PI is predicted from &gt; two sources: the direct residual cost path INT → PI (H6c) and the &gt; engagement route (H5, H6b, then E2). It is therefore a &gt; hypothesis-bearing outcome, not merely a distal criterion.</w:t>
      </w:r>
    </w:p>
    <w:p>
      <w:pPr>
        <w:pStyle w:val="FirstParagraph"/>
      </w:pPr>
      <w:r>
        <w:t xml:space="preserve">SOR is deliberately used as a </w:t>
      </w:r>
      <w:r>
        <w:rPr>
          <w:iCs/>
          <w:i/>
        </w:rPr>
        <w:t xml:space="preserve">meta-framework</w:t>
      </w:r>
      <w:r>
        <w:t xml:space="preserve"> rather than a substantive theory: it structures the model but does not by itself explain why relevance and intrusiveness arise from the same stimulus, why trust mediates, or why regulatory awareness moderates. Those explanatory burdens are carried by the three pillars below. This division of labor mirrors the dominant practice in the corpus (e.g., Teepapal, 2025 grounds SOR; Aydin, 2026 supplies the relevance–intrusiveness duality via Privacy Calculus — CAUTION: two papers under the “Aydin (2026)” name were found during item-sourcing verification to attribute fabricated item text to a third-party source (Shanahan et al., 2019); this project no longer cites Aydin (2026) for instrument items, and its theoretical claims cited here have not been independently verified and should be treated with caution pending that review).</w:t>
      </w:r>
    </w:p>
    <w:bookmarkEnd w:id="29"/>
    <w:bookmarkStart w:id="30" w:name="X4fd5343d21cf0dfaff75e29ed90608dfe5d87d2"/>
    <w:p>
      <w:pPr>
        <w:pStyle w:val="Heading2"/>
      </w:pPr>
      <w:r>
        <w:t xml:space="preserve">A.2 Pillar 1 — Privacy Calculus Theory (Dinev &amp; Hart, 2006)</w:t>
      </w:r>
    </w:p>
    <w:p>
      <w:pPr>
        <w:pStyle w:val="FirstParagraph"/>
      </w:pPr>
      <w:r>
        <w:t xml:space="preserve">Privacy Calculus Theory (Dinev &amp; Hart, 2006, </w:t>
      </w:r>
      <w:r>
        <w:rPr>
          <w:iCs/>
          <w:i/>
        </w:rPr>
        <w:t xml:space="preserve">Information Systems</w:t>
      </w:r>
      <w:r>
        <w:rPr>
          <w:bCs/>
          <w:b/>
          <w:iCs/>
          <w:i/>
        </w:rPr>
        <w:t xml:space="preserve"> </w:t>
      </w:r>
      <w:r>
        <w:rPr>
          <w:iCs/>
          <w:i/>
        </w:rPr>
        <w:t xml:space="preserve">Research</w:t>
      </w:r>
      <w:r>
        <w:t xml:space="preserve">) models the consumer as a boundedly rational actor who weighs the expected benefits of information disclosure against its perceived privacy risks before (and while) engaging with data-intensive services. Applied to AI-driven personalization, the calculus produces the model’s core tension: the same personalization stimulus (AIP) simultaneously generates a </w:t>
      </w:r>
      <w:r>
        <w:rPr>
          <w:bCs/>
          <w:b/>
        </w:rPr>
        <w:t xml:space="preserve">benefit-side perception — Perceived Relevance (REL)</w:t>
      </w:r>
      <w:r>
        <w:t xml:space="preserve"> — and a </w:t>
      </w:r>
      <w:r>
        <w:rPr>
          <w:bCs/>
          <w:b/>
        </w:rPr>
        <w:t xml:space="preserve">cost-side perception — Perceived Intrusiveness (INT)</w:t>
      </w:r>
      <w:r>
        <w:t xml:space="preserve">. This duality is the personalization–privacy paradox documented repeatedly in the reviewed corpus (Sutanto et al.’s paradox framing in Canhoto et al., 2024; Aydin, 2026; Teepapal, 2025; social-exchange variants in entries 18, 33, 34 of the literature review).</w:t>
      </w:r>
    </w:p>
    <w:p>
      <w:pPr>
        <w:pStyle w:val="BodyText"/>
      </w:pPr>
      <w:r>
        <w:rPr>
          <w:bCs/>
          <w:b/>
        </w:rPr>
        <w:t xml:space="preserve">Perceived Relevance (REL)</w:t>
      </w:r>
      <w:r>
        <w:t xml:space="preserve"> captures the consumer’s judgment that AI-personalized content matches their needs, preferences, and situational context — the utility term of the calculus. REL is measured by REL1–REL4, all of which are </w:t>
      </w:r>
      <w:r>
        <w:rPr>
          <w:iCs/>
          <w:i/>
        </w:rPr>
        <w:t xml:space="preserve">fit/consistency/usefulness</w:t>
      </w:r>
      <w:r>
        <w:t xml:space="preserve"> judgements about the output, deliberately worded to avoid the mechanism vocabulary (“tailor,” “customize,” “analyze”) reserved for AIP. Amendment A-9’s exclusion logic, which applied to an earlier REL4 item (search-effort/decision-usefulness wording, Tam &amp; Ho, 2006) is retired — that item was removed from the instrument entirely, not merely excluded, and the current REL4 is a different, fully-included item. </w:t>
      </w:r>
      <w:r>
        <w:rPr>
          <w:bCs/>
          <w:b/>
        </w:rPr>
        <w:t xml:space="preserve">Perceived Intrusiveness (INT)</w:t>
      </w:r>
      <w:r>
        <w:t xml:space="preserve"> captures the felt violation of psychological and informational boundaries — the sense of being excessively observed, profiled, or targeted — the risk term of the calculus. Both are organism-level appraisals of the identical stimulus, which is why the model specifies parallel paths AIP → REL (H1, positive) and AIP → INT (H2, positive): higher personalization intensity raises both the perceived benefit and the perceived cost, and the downstream consequences (H4, H5, H6a, H6b, H6c) determine which side of the calculus prevails.</w:t>
      </w:r>
    </w:p>
    <w:p>
      <w:pPr>
        <w:pStyle w:val="BodyText"/>
      </w:pPr>
      <w:r>
        <w:t xml:space="preserve">The model adds a second, design-controllable input to the cost side. The calculus is not a fixed property of the stimulus: the cost term is itself a function of what the consumer is told about the data practice generating the recommendation. H3 formalizes this — explicit disclosure is predicted to reduce INT at constant AIP — which is what makes the cost term a managerial and regulatory lever rather than an inevitability, and what licenses the Study 2 artifact to intervene on it.</w:t>
      </w:r>
    </w:p>
    <w:p>
      <w:pPr>
        <w:pStyle w:val="BodyText"/>
      </w:pPr>
      <w:r>
        <w:rPr>
          <w:iCs/>
          <w:i/>
        </w:rPr>
        <w:t xml:space="preserve">Positioning against the corpus.</w:t>
      </w:r>
      <w:r>
        <w:t xml:space="preserve"> Of the 34 Topic #1 papers, Privacy Calculus appears (alone or in combination) in at least eight; however, most treat the calculus outcome as disclosure intention or continued use. The present model advances the calculus by routing both terms through a multidimensional trust construct and by conditioning the cost-side path on two independent institutional carriers — regulatory awareness and firm-level disclosure (H7a, H7b) — a combination absent from every catalogued paper.</w:t>
      </w:r>
    </w:p>
    <w:bookmarkEnd w:id="30"/>
    <w:bookmarkStart w:id="35" w:name="X6faa8b1ce723aba97182a2dd19ca6586f15dff7"/>
    <w:p>
      <w:pPr>
        <w:pStyle w:val="Heading2"/>
      </w:pPr>
      <w:r>
        <w:t xml:space="preserve">A.3 Pillar 2 — Trust Theory (McKnight, Choudhury, &amp; Kacmar, 2002)</w:t>
      </w:r>
    </w:p>
    <w:p>
      <w:pPr>
        <w:pStyle w:val="FirstParagraph"/>
      </w:pPr>
      <w:r>
        <w:t xml:space="preserve">McKnight et al. (2002, </w:t>
      </w:r>
      <w:r>
        <w:rPr>
          <w:iCs/>
          <w:i/>
        </w:rPr>
        <w:t xml:space="preserve">Information Systems Research</w:t>
      </w:r>
      <w:r>
        <w:t xml:space="preserve">, 13(3), 334–359) provide the multidimensional trust typology from which the model’s Consumer Trust construct is drawn. Three of their dimensions are mobilized, each with a distinct role.</w:t>
      </w:r>
    </w:p>
    <w:bookmarkStart w:id="31" w:name="a.3.1-cognitive-trust-trusting-beliefs"/>
    <w:p>
      <w:pPr>
        <w:pStyle w:val="Heading3"/>
      </w:pPr>
      <w:r>
        <w:t xml:space="preserve">A.3.1 Cognitive trust — trusting beliefs</w:t>
      </w:r>
    </w:p>
    <w:p>
      <w:pPr>
        <w:pStyle w:val="FirstParagraph"/>
      </w:pPr>
      <w:r>
        <w:t xml:space="preserve">Cognitive trust corresponds to McKnight et al.’s </w:t>
      </w:r>
      <w:r>
        <w:rPr>
          <w:iCs/>
          <w:i/>
        </w:rPr>
        <w:t xml:space="preserve">trusting beliefs</w:t>
      </w:r>
      <w:r>
        <w:t xml:space="preserve">: a rational, evidence-based assessment that a specific trustee possesses four qualities — </w:t>
      </w:r>
      <w:r>
        <w:rPr>
          <w:bCs/>
          <w:b/>
        </w:rPr>
        <w:t xml:space="preserve">competence</w:t>
      </w:r>
      <w:r>
        <w:t xml:space="preserve"> (ability to deliver on functional promises, e.g., accurate AI recommendations), </w:t>
      </w:r>
      <w:r>
        <w:rPr>
          <w:bCs/>
          <w:b/>
        </w:rPr>
        <w:t xml:space="preserve">benevolence</w:t>
      </w:r>
      <w:r>
        <w:t xml:space="preserve"> (genuine care for the customer’s interests), </w:t>
      </w:r>
      <w:r>
        <w:rPr>
          <w:bCs/>
          <w:b/>
        </w:rPr>
        <w:t xml:space="preserve">integrity</w:t>
      </w:r>
      <w:r>
        <w:t xml:space="preserve"> (honesty and adherence to disclosed principles, e.g., using data only as stated), and </w:t>
      </w:r>
      <w:r>
        <w:rPr>
          <w:bCs/>
          <w:b/>
        </w:rPr>
        <w:t xml:space="preserve">predictability</w:t>
      </w:r>
      <w:r>
        <w:t xml:space="preserve"> (behavioral consistency across interactions). Trusting beliefs are trustee-specific: they concern the consumer’s evaluation of a particular AI agent or retailer, not the marketplace at large. In the measurement model, items </w:t>
      </w:r>
      <w:r>
        <w:rPr>
          <w:bCs/>
          <w:b/>
        </w:rPr>
        <w:t xml:space="preserve">TRU1–TRU3</w:t>
      </w:r>
      <w:r>
        <w:t xml:space="preserve"> operationalize this facet. Cognitive trust is the natural downstream target of Perceived Relevance (relevance signals competence) and the natural point of erosion from Perceived Intrusiveness (intrusiveness damages benevolence and integrity).</w:t>
      </w:r>
    </w:p>
    <w:bookmarkEnd w:id="31"/>
    <w:bookmarkStart w:id="32" w:name="X5fe4fed7c35ab8b35e6ba9667b68fc91fd32c1c"/>
    <w:p>
      <w:pPr>
        <w:pStyle w:val="Heading3"/>
      </w:pPr>
      <w:r>
        <w:t xml:space="preserve">A.3.2 Affective trust — trusting intentions</w:t>
      </w:r>
    </w:p>
    <w:p>
      <w:pPr>
        <w:pStyle w:val="FirstParagraph"/>
      </w:pPr>
      <w:r>
        <w:t xml:space="preserve">McKnight et al.’s </w:t>
      </w:r>
      <w:r>
        <w:rPr>
          <w:iCs/>
          <w:i/>
        </w:rPr>
        <w:t xml:space="preserve">trusting intentions</w:t>
      </w:r>
      <w:r>
        <w:t xml:space="preserve"> — the willingness to depend on the trustee under risk — carry an affective, volitional quality (“I feel willing to rely on the agent”) that is distinct from cognitive assessment (“I think the agent is competent”). This maps onto the cognitive–affective duality specified for Consumer Trust. The affective dimension is not a separate construct in McKnight et al.’s measurement model but the downstream consequence of trusting beliefs interacting with disposition to trust and perceived structural assurance. Items </w:t>
      </w:r>
      <w:r>
        <w:rPr>
          <w:bCs/>
          <w:b/>
        </w:rPr>
        <w:t xml:space="preserve">TRU4–TRU6</w:t>
      </w:r>
      <w:r>
        <w:t xml:space="preserve"> capture this affective sense of security, comfort, and overall confidence (Komiak &amp; Benbasat, 2006; Amendment A-10’s prior 5-item reconciliation for TRU has been reversed — see the superseding note under Amendment A-10 in the amendment log). For PLS-SEM, Consumer Trust is modeled as a single reflective construct with both facets represented among its indicators; the cognitive–affective distinction is theoretical scaffolding for hypothesis rationale, not a higher-order measurement claim — this avoids an unjustified second-order specification that reviewers would probe.</w:t>
      </w:r>
    </w:p>
    <w:bookmarkEnd w:id="32"/>
    <w:bookmarkStart w:id="33" w:name="X029b6072f2de78c2a7dcd6a96e0bdf3f8342d9a"/>
    <w:p>
      <w:pPr>
        <w:pStyle w:val="Heading3"/>
      </w:pPr>
      <w:r>
        <w:t xml:space="preserve">A.3.3 Institution-based trust — the ancestor of PDPL Awareness</w:t>
      </w:r>
    </w:p>
    <w:p>
      <w:pPr>
        <w:pStyle w:val="FirstParagraph"/>
      </w:pPr>
      <w:r>
        <w:t xml:space="preserve">Institution-based trust is the belief that impersonal structures — not any specific vendor’s character — make successful transactions likely. It decomposes into </w:t>
      </w:r>
      <w:r>
        <w:rPr>
          <w:bCs/>
          <w:b/>
        </w:rPr>
        <w:t xml:space="preserve">structural assurance</w:t>
      </w:r>
      <w:r>
        <w:t xml:space="preserve"> (confidence that legal, technological, or regulatory safety nets exist) and </w:t>
      </w:r>
      <w:r>
        <w:rPr>
          <w:bCs/>
          <w:b/>
        </w:rPr>
        <w:t xml:space="preserve">situational normality</w:t>
      </w:r>
      <w:r>
        <w:t xml:space="preserve"> (perception that the transaction context is properly ordered). Critically, McKnight et al. model institution-based trust as an </w:t>
      </w:r>
      <w:r>
        <w:rPr>
          <w:iCs/>
          <w:i/>
        </w:rPr>
        <w:t xml:space="preserve">antecedent that shapes the formation of trusting beliefs</w:t>
      </w:r>
      <w:r>
        <w:t xml:space="preserve">, not as a co-equal indicator of the same latent construct — a sequencing grounded in institutional sociology (Zucker, 1986; Shapiro, 1987). This dimension is the direct conceptual ancestor of Scott’s (1995) regulative pillar and, through it, of the PDPL Awareness moderator (§A.5). It is also the source of the two-carrier logic on which H7a and H7b rest: structural assurance reaches the consumer through distinct channels, and the model tests each channel’s buffering capacity separately (§A.5.1).</w:t>
      </w:r>
    </w:p>
    <w:bookmarkEnd w:id="33"/>
    <w:bookmarkStart w:id="34" w:name="Xf452b619afe652bd0d4d2651c40937def0ae56f"/>
    <w:p>
      <w:pPr>
        <w:pStyle w:val="Heading3"/>
      </w:pPr>
      <w:r>
        <w:t xml:space="preserve">A.3.4 Supporting empirical evidence — Bart et al. (2005)</w:t>
      </w:r>
    </w:p>
    <w:p>
      <w:pPr>
        <w:pStyle w:val="FirstParagraph"/>
      </w:pPr>
      <w:r>
        <w:t xml:space="preserve">Bart, Shankar, Sultan, and Urban (2005, </w:t>
      </w:r>
      <w:r>
        <w:rPr>
          <w:iCs/>
          <w:i/>
        </w:rPr>
        <w:t xml:space="preserve">Journal of Marketing</w:t>
      </w:r>
      <w:r>
        <w:t xml:space="preserve">, 69(4), 133–152) provide large-scale empirical confirmation that privacy and security cues are among the strongest drivers of online trust, particularly when information risk and involvement are high — a context closely analogous to AI-driven personalization in omnichannel retail. Their finding that trust partially mediates the relationship between site characteristics and behavioral intent reinforces the positioning of Consumer Trust as mediating between perceptions (REL, INT) and outcomes (ENG, PI). </w:t>
      </w:r>
      <w:r>
        <w:rPr>
          <w:bCs/>
          <w:b/>
        </w:rPr>
        <w:t xml:space="preserve">Framing rule:</w:t>
      </w:r>
      <w:r>
        <w:t xml:space="preserve"> Bart et al. are cited as empirical validation of trust drivers, not as a separate theoretical pillar — the theoretical architecture remains McKnight et al.’s typology. The manuscript must maintain this distinction to avoid the appearance of theory-stacking.</w:t>
      </w:r>
    </w:p>
    <w:bookmarkEnd w:id="34"/>
    <w:bookmarkEnd w:id="35"/>
    <w:bookmarkStart w:id="37" w:name="X179f5751b56e8a83b1b20f4ad8bc1efd00e2873"/>
    <w:p>
      <w:pPr>
        <w:pStyle w:val="Heading2"/>
      </w:pPr>
      <w:r>
        <w:t xml:space="preserve">A.4 The Trust → Engagement Bridge (Brodie et al., 2011; Hollebeek, Glynn, &amp; Brodie, 2014)</w:t>
      </w:r>
    </w:p>
    <w:p>
      <w:pPr>
        <w:pStyle w:val="FirstParagraph"/>
      </w:pPr>
      <w:r>
        <w:t xml:space="preserve">Brodie, Hollebeek, Juríc, and Ilić (2011, </w:t>
      </w:r>
      <w:r>
        <w:rPr>
          <w:iCs/>
          <w:i/>
        </w:rPr>
        <w:t xml:space="preserve">Journal of Service Research</w:t>
      </w:r>
      <w:r>
        <w:t xml:space="preserve">, 14(3), 252–271) ground Customer Engagement in relationship marketing and service-dominant logic. Two fundamental propositions matter here: </w:t>
      </w:r>
      <w:r>
        <w:rPr>
          <w:bCs/>
          <w:b/>
        </w:rPr>
        <w:t xml:space="preserve">FP1</w:t>
      </w:r>
      <w:r>
        <w:t xml:space="preserve"> — engagement arises from interactive, co-creative experiences with a focal object (here, the AI agent / omnichannel platform); and </w:t>
      </w:r>
      <w:r>
        <w:rPr>
          <w:bCs/>
          <w:b/>
        </w:rPr>
        <w:t xml:space="preserve">FP4</w:t>
      </w:r>
      <w:r>
        <w:t xml:space="preserve"> — engagement is multidimensional, expressed simultaneously through cognitive, affective, and behavioral (activation) dimensions. FP1 is the rationale for H5 (REL → ENG): relevant content </w:t>
      </w:r>
      <w:r>
        <w:rPr>
          <w:iCs/>
          <w:i/>
        </w:rPr>
        <w:t xml:space="preserve">is</w:t>
      </w:r>
      <w:r>
        <w:t xml:space="preserve"> the interactive, value-co-creating experience from which engagement arises. FP4 is the rationale for H6b: felt surveillance suppresses cognitive and affective engagement specifically, which is why intrusiveness registers as engagement withdrawal and not merely as distrust.</w:t>
      </w:r>
    </w:p>
    <w:p>
      <w:pPr>
        <w:pStyle w:val="BodyText"/>
      </w:pPr>
      <w:r>
        <w:rPr>
          <w:bCs/>
          <w:b/>
        </w:rPr>
        <w:t xml:space="preserve">Citation correction (Amendment A-12).</w:t>
      </w:r>
      <w:r>
        <w:t xml:space="preserve"> Brodie et al. (2011) is a conceptual/definitional paper: it proposes FP4’s three-dimensional structure but does not supply a validated item battery. The concrete measurement instrument operationalizing that structure — Consumer Brand Engagement (CBE), with three named first-order dimensions (</w:t>
      </w:r>
      <w:r>
        <w:rPr>
          <w:bCs/>
          <w:b/>
        </w:rPr>
        <w:t xml:space="preserve">Cognitive Processing</w:t>
      </w:r>
      <w:r>
        <w:t xml:space="preserve">, </w:t>
      </w:r>
      <w:r>
        <w:rPr>
          <w:bCs/>
          <w:b/>
        </w:rPr>
        <w:t xml:space="preserve">Affection</w:t>
      </w:r>
      <w:r>
        <w:t xml:space="preserve">, </w:t>
      </w:r>
      <w:r>
        <w:rPr>
          <w:bCs/>
          <w:b/>
        </w:rPr>
        <w:t xml:space="preserve">Activation</w:t>
      </w:r>
      <w:r>
        <w:t xml:space="preserve">), three items per dimension in the original scale — was developed by Hollebeek, Glynn, &amp; Brodie (2014, </w:t>
      </w:r>
      <w:r>
        <w:rPr>
          <w:iCs/>
          <w:i/>
        </w:rPr>
        <w:t xml:space="preserve">Journal</w:t>
      </w:r>
      <w:r>
        <w:rPr>
          <w:bCs/>
          <w:b/>
          <w:iCs/>
          <w:i/>
        </w:rPr>
        <w:t xml:space="preserve"> </w:t>
      </w:r>
      <w:r>
        <w:rPr>
          <w:iCs/>
          <w:i/>
        </w:rPr>
        <w:t xml:space="preserve">of Interactive Marketing</w:t>
      </w:r>
      <w:r>
        <w:t xml:space="preserve">, 28(2), 149–165). ENG1–ENG6 are adapted from the Hollebeek et al. (2014) CBE scale, abbreviated to two items per dimension. Every downstream artefact citing “Brodie et al. (2011)” as the </w:t>
      </w:r>
      <w:r>
        <w:rPr>
          <w:iCs/>
          <w:i/>
        </w:rPr>
        <w:t xml:space="preserve">measurement</w:t>
      </w:r>
      <w:r>
        <w:t xml:space="preserve"> source for ENG1–ENG6 is corrected to cite Hollebeek et al. (2014) for the items, retaining Brodie et al. (2011) for the FP1/FP4 conceptual grounding of the hypotheses. This mirrors the citation discipline already applied elsewhere in this document (governance rule “items traced to the Scopus-indexed primary source, never adopted through a secondary adaptation,” §C.4).</w:t>
      </w:r>
    </w:p>
    <w:bookmarkStart w:id="36" w:name="X52d45b4b4704b7596cf26f6c480dea6a2bf5c8c"/>
    <w:p>
      <w:pPr>
        <w:pStyle w:val="Heading3"/>
      </w:pPr>
      <w:r>
        <w:t xml:space="preserve">A.4.1 ENG dimension structure (Amendment A-12): Cognitive, Affection, Activation</w:t>
      </w:r>
    </w:p>
    <w:p>
      <w:pPr>
        <w:pStyle w:val="FirstParagraph"/>
      </w:pPr>
      <w:r>
        <w:t xml:space="preserve">ENG1–ENG6 map onto Hollebeek et al.’s (2014) three first-order CBE dimensions as follows: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Dimension</w:t>
            </w:r>
          </w:p>
        </w:tc>
        <w:tc>
          <w:tcPr/>
          <w:p>
            <w:pPr>
              <w:pStyle w:val="Compact"/>
              <w:jc w:val="left"/>
            </w:pPr>
            <w:r>
              <w:rPr>
                <w:bCs/>
                <w:b/>
              </w:rPr>
              <w:t xml:space="preserve">Items</w:t>
            </w:r>
          </w:p>
        </w:tc>
        <w:tc>
          <w:tcPr/>
          <w:p>
            <w:pPr>
              <w:pStyle w:val="Compact"/>
              <w:jc w:val="left"/>
            </w:pPr>
            <w:r>
              <w:rPr>
                <w:bCs/>
                <w:b/>
              </w:rPr>
              <w:t xml:space="preserve">Content</w:t>
            </w:r>
          </w:p>
        </w:tc>
      </w:tr>
      <w:tr>
        <w:tc>
          <w:tcPr/>
          <w:p>
            <w:pPr>
              <w:pStyle w:val="Compact"/>
              <w:jc w:val="left"/>
            </w:pPr>
            <w:r>
              <w:rPr>
                <w:bCs/>
                <w:b/>
              </w:rPr>
              <w:t xml:space="preserve">Cognitive Processing</w:t>
            </w:r>
          </w:p>
        </w:tc>
        <w:tc>
          <w:tcPr/>
          <w:p>
            <w:pPr>
              <w:pStyle w:val="Compact"/>
              <w:jc w:val="left"/>
            </w:pPr>
            <w:r>
              <w:t xml:space="preserve">ENG1, ENG2</w:t>
            </w:r>
          </w:p>
        </w:tc>
        <w:tc>
          <w:tcPr/>
          <w:p>
            <w:pPr>
              <w:pStyle w:val="Compact"/>
              <w:jc w:val="left"/>
            </w:pPr>
            <w:r>
              <w:t xml:space="preserve">Brand-related thought and attentional focus (“I would often think of ShopWave”; “I would pay close attention to ShopWave’s recommendations”).</w:t>
            </w:r>
          </w:p>
        </w:tc>
      </w:tr>
      <w:tr>
        <w:tc>
          <w:tcPr/>
          <w:p>
            <w:pPr>
              <w:pStyle w:val="Compact"/>
              <w:jc w:val="left"/>
            </w:pPr>
            <w:r>
              <w:rPr>
                <w:bCs/>
                <w:b/>
              </w:rPr>
              <w:t xml:space="preserve">Affection</w:t>
            </w:r>
          </w:p>
        </w:tc>
        <w:tc>
          <w:tcPr/>
          <w:p>
            <w:pPr>
              <w:pStyle w:val="Compact"/>
              <w:jc w:val="left"/>
            </w:pPr>
            <w:r>
              <w:t xml:space="preserve">ENG3, ENG6</w:t>
            </w:r>
          </w:p>
        </w:tc>
        <w:tc>
          <w:tcPr/>
          <w:p>
            <w:pPr>
              <w:pStyle w:val="Compact"/>
              <w:jc w:val="left"/>
            </w:pPr>
            <w:r>
              <w:t xml:space="preserve">Positive affect toward the brand (“I feel positive emotions…”; “I feel enthusiastic…”).</w:t>
            </w:r>
          </w:p>
        </w:tc>
      </w:tr>
      <w:tr>
        <w:tc>
          <w:tcPr/>
          <w:p>
            <w:pPr>
              <w:pStyle w:val="Compact"/>
              <w:jc w:val="left"/>
            </w:pPr>
            <w:r>
              <w:rPr>
                <w:bCs/>
                <w:b/>
              </w:rPr>
              <w:t xml:space="preserve">Activation</w:t>
            </w:r>
          </w:p>
        </w:tc>
        <w:tc>
          <w:tcPr/>
          <w:p>
            <w:pPr>
              <w:pStyle w:val="Compact"/>
              <w:jc w:val="left"/>
            </w:pPr>
            <w:r>
              <w:t xml:space="preserve">ENG4, ENG5</w:t>
            </w:r>
          </w:p>
        </w:tc>
        <w:tc>
          <w:tcPr/>
          <w:p>
            <w:pPr>
              <w:pStyle w:val="Compact"/>
              <w:jc w:val="left"/>
            </w:pPr>
            <w:r>
              <w:t xml:space="preserve">Behavioral effort and usage intensity directed at the brand (“I would actively use and explore…”; “I would spend more time using ShopWave than other platforms”).</w:t>
            </w:r>
          </w:p>
        </w:tc>
      </w:tr>
    </w:tbl>
    <w:p>
      <w:pPr>
        <w:pStyle w:val="BodyText"/>
      </w:pPr>
      <w:r>
        <w:rPr>
          <w:bCs/>
          <w:b/>
        </w:rPr>
        <w:t xml:space="preserve">Scope of this specification — measurement diagnostics only, not a structural-model change.</w:t>
      </w:r>
      <w:r>
        <w:t xml:space="preserve"> This dimension structure governs how reliability, item retention, and discriminant validity are assessed and reported for ENG (§C.4, §C.5): Cronbach’s alpha, item-rest correlation, and cross-loading checks for ENG items must be computed </w:t>
      </w:r>
      <w:r>
        <w:rPr>
          <w:iCs/>
          <w:i/>
        </w:rPr>
        <w:t xml:space="preserve">within</w:t>
      </w:r>
      <w:r>
        <w:t xml:space="preserve"> each dimension, never pooled across all six items as if ENG were a single homogeneous item set. Pooling across dimensions with genuinely different content (a “cognitive” item against an “activation” item) is not a valid basis for judging any individual item’s adequacy — an item’s true peer group is its own dimension, not the full six-item pool.</w:t>
      </w:r>
    </w:p>
    <w:p>
      <w:pPr>
        <w:pStyle w:val="BodyText"/>
      </w:pPr>
      <w:r>
        <w:t xml:space="preserve">This is deliberately </w:t>
      </w:r>
      <w:r>
        <w:rPr>
          <w:bCs/>
          <w:b/>
        </w:rPr>
        <w:t xml:space="preserve">not</w:t>
      </w:r>
      <w:r>
        <w:t xml:space="preserve"> a commitment to modeling ENG as a second-order (hierarchical component) construct in the structural model. H5, H6b, E1, and E2 continue to use ENG as a single reflective composite, for the same reason TRU is not modeled as second-order despite an equally (in fact more granularly) multidimensional source theory (McKnight et al., 2002; competence/benevolence/integrity/predictability plus trusting intentions) — see §A.3.2’s framing rule, which applies identically here: introducing a second-order structural specification for ENG without a matching one for TRU would be an inconsistent, unjustified asymmetry, and second-order estimation raises its own identification and sample-size demands this project has not budgeted for. If the team later decides a second-order ENG structural specification is warranted, that is a separate amendment with its own justification, not a corollary of this one.</w:t>
      </w:r>
    </w:p>
    <w:p>
      <w:pPr>
        <w:pStyle w:val="BodyText"/>
      </w:pPr>
      <w:r>
        <w:rPr>
          <w:bCs/>
          <w:b/>
        </w:rPr>
        <w:t xml:space="preserve">Consequence for the ENG4 item-retention question (reverses the provisional A-9-analogous plan).</w:t>
      </w:r>
      <w:r>
        <w:t xml:space="preserve"> Before this amendment, ENG4’s outer loading on a </w:t>
      </w:r>
      <w:r>
        <w:rPr>
          <w:iCs/>
          <w:i/>
        </w:rPr>
        <w:t xml:space="preserve">pooled</w:t>
      </w:r>
      <w:r>
        <w:t xml:space="preserve"> six-item single factor (−0.381, pilot n = 46) was being evaluated for exclusion, following the same logic as an earlier REL4’s exclusion under Amendment A-9 (historical note: that REL4, Tam &amp; Ho 2006 wording, has since been removed from the instrument entirely; the current REL4 is a different, fully-included item from Yin, Qiu &amp; Wang, 2025, and this A-9 comparison no longer describes REL’s present state). That comparison was, in any case, invalid at the time: REL had no dimension structure to violate (the earlier REL1–REL3 measured one thing, “fit,” and the earlier REL4 was excluded because it measured a distinct facet not shared by the other three), whereas ENG’s problem is different in kind — ENG4 is not an outlier relative to a homogeneous set; it is the item data point for the one theoretically distinct Activation dimension. Computed </w:t>
      </w:r>
      <w:r>
        <w:rPr>
          <w:iCs/>
          <w:i/>
        </w:rPr>
        <w:t xml:space="preserve">within</w:t>
      </w:r>
      <w:r>
        <w:t xml:space="preserve"> dimension on the same pilot data, ENG4’s peer correlation is r(ENG4, ENG5) = 0.212, alpha(2-item) = 0.345 — itself weak, but this is now reported as </w:t>
      </w:r>
      <w:r>
        <w:rPr>
          <w:bCs/>
          <w:b/>
        </w:rPr>
        <w:t xml:space="preserve">evidence that the Activation facet is measured with low reliability in this abbreviated adaptation</w:t>
      </w:r>
      <w:r>
        <w:t xml:space="preserve">, not as grounds to drop ENG4. Dropping ENG4 would leave Activation represented by a single item (ENG5), which cannot be assessed for internal consistency at all and would silently delete the one dimension Hollebeek et al.’s framework treats as behaviorally diagnostic. </w:t>
      </w:r>
      <w:r>
        <w:rPr>
          <w:bCs/>
          <w:b/>
        </w:rPr>
        <w:t xml:space="preserve">ENG4 is retained.</w:t>
      </w:r>
      <w:r>
        <w:t xml:space="preserve"> The weak Activation-facet reliability (Cognitive alpha = 0.768; Affection alpha = 0.532; Activation alpha = 0.345; pilot n = 46) is reported transparently in the Method/Limitations sections as a consequence of abbreviating Hollebeek et al.’s three-item-per-dimension original to two items per dimension, not concealed by item deletion.</w:t>
      </w:r>
    </w:p>
    <w:p>
      <w:pPr>
        <w:pStyle w:val="BodyText"/>
      </w:pPr>
      <w:r>
        <w:t xml:space="preserve">Because engagement is theorized within the same relationship-marketing tradition whose commitment–trust framework (Morgan &amp; Hunt, 1994) casts trust as the pivotal relational mediator, Brodie et al. treat trust as a condition that precedes and enables deep engagement. Accordingly, </w:t>
      </w:r>
      <w:r>
        <w:rPr>
          <w:bCs/>
          <w:b/>
        </w:rPr>
        <w:t xml:space="preserve">Consumer Trust → Customer Engagement</w:t>
      </w:r>
      <w:r>
        <w:t xml:space="preserve"> (E1) and </w:t>
      </w:r>
      <w:r>
        <w:rPr>
          <w:bCs/>
          <w:b/>
        </w:rPr>
        <w:t xml:space="preserve">Customer Engagement → Purchase Intention</w:t>
      </w:r>
      <w:r>
        <w:t xml:space="preserve"> (E2) enter the structural model as established paths, estimated but not framed as tested hypotheses. Van Doorn et al. (2010) supply the specific warrant for E2: engagement behaviours, including non-transactional ones, are direct antecedents of subsequent transactional outcomes. Reporting rule: the coefficients of E1 and E2 are reported for model completeness, with contribution claims reserved for the H-numbered hypotheses.</w:t>
      </w:r>
    </w:p>
    <w:p>
      <w:pPr>
        <w:pStyle w:val="BodyText"/>
      </w:pPr>
      <w:r>
        <w:rPr>
          <w:iCs/>
          <w:i/>
        </w:rPr>
        <w:t xml:space="preserve">Why there is no TRU → PI arrow.</w:t>
      </w:r>
      <w:r>
        <w:t xml:space="preserve"> A direct trust-to-intention path is standard in the trust literature and a reviewer will ask about its absence. The model routes trust to purchase intention through engagement (E1 → E2) because the study’s theoretical interest is in engagement as the mediating relational state, and because adding TRU → PI would introduce a path the design was not built to support and that the approved plan does not number. The path is therefore estimated </w:t>
      </w:r>
      <w:r>
        <w:rPr>
          <w:bCs/>
          <w:b/>
        </w:rPr>
        <w:t xml:space="preserve">as a competing-model robustness check reported in the Discussion</w:t>
      </w:r>
      <w:r>
        <w:t xml:space="preserve">, not in the main structural model, and carries neither an H-number nor an E-label.</w:t>
      </w:r>
    </w:p>
    <w:bookmarkEnd w:id="36"/>
    <w:bookmarkEnd w:id="37"/>
    <w:bookmarkStart w:id="40" w:name="X82848970fd868a48c8542f882b5a545ebe3e6d1"/>
    <w:p>
      <w:pPr>
        <w:pStyle w:val="Heading2"/>
      </w:pPr>
      <w:r>
        <w:t xml:space="preserve">A.5 Pillar 3 — Institutional Theory (Scott, 1995) and PDPL Awareness</w:t>
      </w:r>
    </w:p>
    <w:p>
      <w:pPr>
        <w:pStyle w:val="FirstParagraph"/>
      </w:pPr>
      <w:r>
        <w:t xml:space="preserve">Scott’s (1995) three-pillar institutional framework distinguishes regulative (laws, sanctions), normative (values, norms), and cultural-cognitive (shared understandings) carriers of institutional order. The present model mobilizes the </w:t>
      </w:r>
      <w:r>
        <w:rPr>
          <w:bCs/>
          <w:b/>
        </w:rPr>
        <w:t xml:space="preserve">regulative pillar</w:t>
      </w:r>
      <w:r>
        <w:t xml:space="preserve">: Vietnam’s personal-data-protection regime — Decree 13/2023/NĐ-CP, superseded by the Personal Data Protection Law No. 91/2025/QH15 (“PDP Law 2025”, effective 1 January 2026) — constitutes a newly formalized regulative institution governing AI-driven data processing.</w:t>
      </w:r>
    </w:p>
    <w:p>
      <w:pPr>
        <w:pStyle w:val="BodyText"/>
      </w:pPr>
      <w:r>
        <w:rPr>
          <w:bCs/>
          <w:b/>
        </w:rPr>
        <w:t xml:space="preserve">PDPL Awareness</w:t>
      </w:r>
      <w:r>
        <w:t xml:space="preserve"> operationalizes McKnight et al.’s institution-based trust in this specific regulative context: the consumer’s awareness of the existence, content, and protective force of Vietnam’s data-protection law (items PDPL1–PDPL4). Because Vietnam’s regime is in active transition (decree → statute in under three years), awareness varies substantially across consumers — unlike mature-market contexts (e.g., GDPR) where baseline awareness approaches saturation. This heterogeneity is precisely what makes PDPL Awareness viable as a moderator: it creates natural variance in perceived structural assurance.</w:t>
      </w:r>
    </w:p>
    <w:bookmarkStart w:id="38" w:name="X0d5d09135203eda78044e62127d1a219841c950"/>
    <w:p>
      <w:pPr>
        <w:pStyle w:val="Heading3"/>
      </w:pPr>
      <w:r>
        <w:t xml:space="preserve">A.5.1 H7a and H7b: Two Independent Carriers of Structural Assurance</w:t>
      </w:r>
    </w:p>
    <w:p>
      <w:pPr>
        <w:pStyle w:val="FirstParagraph"/>
      </w:pPr>
      <w:r>
        <w:rPr>
          <w:iCs/>
          <w:i/>
        </w:rPr>
        <w:t xml:space="preserve">This section replaces the v2.0/v2.1 moderated-moderation development in</w:t>
      </w:r>
      <w:r>
        <w:rPr>
          <w:bCs/>
          <w:b/>
          <w:iCs/>
          <w:i/>
        </w:rPr>
        <w:t xml:space="preserve"> </w:t>
      </w:r>
      <w:r>
        <w:rPr>
          <w:iCs/>
          <w:i/>
        </w:rPr>
        <w:t xml:space="preserve">full (Amendment A-8). The conjunctive argument set out there — that</w:t>
      </w:r>
      <w:r>
        <w:rPr>
          <w:bCs/>
          <w:b/>
          <w:iCs/>
          <w:i/>
        </w:rPr>
        <w:t xml:space="preserve"> </w:t>
      </w:r>
      <w:r>
        <w:rPr>
          <w:iCs/>
          <w:i/>
        </w:rPr>
        <w:t xml:space="preserve">structural assurance becomes behaviourally efficacious only when the</w:t>
      </w:r>
      <w:r>
        <w:rPr>
          <w:bCs/>
          <w:b/>
          <w:iCs/>
          <w:i/>
        </w:rPr>
        <w:t xml:space="preserve"> </w:t>
      </w:r>
      <w:r>
        <w:rPr>
          <w:iCs/>
          <w:i/>
        </w:rPr>
        <w:t xml:space="preserve">institutional entitlement and its situational instantiation co-occur —</w:t>
      </w:r>
      <w:r>
        <w:rPr>
          <w:bCs/>
          <w:b/>
          <w:iCs/>
          <w:i/>
        </w:rPr>
        <w:t xml:space="preserve"> </w:t>
      </w:r>
      <w:r>
        <w:rPr>
          <w:iCs/>
          <w:i/>
        </w:rPr>
        <w:t xml:space="preserve">required a third-order product term to test and is withdrawn along with</w:t>
      </w:r>
      <w:r>
        <w:rPr>
          <w:bCs/>
          <w:b/>
          <w:iCs/>
          <w:i/>
        </w:rPr>
        <w:t xml:space="preserve"> </w:t>
      </w:r>
      <w:r>
        <w:rPr>
          <w:iCs/>
          <w:i/>
        </w:rPr>
        <w:t xml:space="preserve">it.</w:t>
      </w:r>
    </w:p>
    <w:p>
      <w:pPr>
        <w:pStyle w:val="BodyText"/>
      </w:pPr>
      <w:r>
        <w:t xml:space="preserve">Structural assurance reaches the consumer through two carriers, which differ in locus, verifiability, and cost, and which are modelled as </w:t>
      </w:r>
      <w:r>
        <w:rPr>
          <w:bCs/>
          <w:b/>
        </w:rPr>
        <w:t xml:space="preserve">independent</w:t>
      </w:r>
      <w:r>
        <w:t xml:space="preserve"> moderators of the INT → TRU relationship rather than as a single conjunctive term:</w:t>
      </w:r>
    </w:p>
    <w:p>
      <w:pPr>
        <w:numPr>
          <w:ilvl w:val="0"/>
          <w:numId w:val="1007"/>
        </w:numPr>
      </w:pPr>
      <w:r>
        <w:rPr>
          <w:bCs/>
          <w:b/>
        </w:rPr>
        <w:t xml:space="preserve">De jure assurance — PDPL Awareness.</w:t>
      </w:r>
      <w:r>
        <w:t xml:space="preserve"> Knowledge that Law &gt; 91/2025/QH15 exists and confers enforceable entitlements (Arts. &gt; 8–10, 28). Its locus is the institutional environment; it is &gt; exogenous to the retailer and generic rather than &gt; transaction-specific. In Scott’s terms it is pure &gt; regulative-pillar content. </w:t>
      </w:r>
      <w:r>
        <w:rPr>
          <w:bCs/>
          <w:b/>
        </w:rPr>
        <w:t xml:space="preserve">H7a</w:t>
      </w:r>
      <w:r>
        <w:t xml:space="preserve"> predicts that higher PDPL &gt; Awareness attenuates the negative slope of INT → TRU: β_M1 &gt; 0.</w:t>
      </w:r>
    </w:p>
    <w:p>
      <w:pPr>
        <w:numPr>
          <w:ilvl w:val="0"/>
          <w:numId w:val="1007"/>
        </w:numPr>
      </w:pPr>
      <w:r>
        <w:rPr>
          <w:bCs/>
          <w:b/>
        </w:rPr>
        <w:t xml:space="preserve">De facto assurance — Disclosure Level.</w:t>
      </w:r>
      <w:r>
        <w:t xml:space="preserve"> The retailer’s own act &gt; of disclosing its data practices at the moment of personalization, &gt; the behaviour the statute contemplates in Art. 28(8)(a)–(b) and &gt; Art. 29. Its locus is the interface; it is endogenous to the firm, &gt; transaction-specific, and — because disclosure invites scrutiny &gt; and enables opt-out — a costly and therefore credible signal of &gt; integrity. </w:t>
      </w:r>
      <w:r>
        <w:rPr>
          <w:bCs/>
          <w:b/>
        </w:rPr>
        <w:t xml:space="preserve">H7b</w:t>
      </w:r>
      <w:r>
        <w:t xml:space="preserve"> predicts that the With-Disclosure condition &gt; attenuates the negative slope of INT → TRU relative to &gt; No-Disclosure: β_M2 &gt; 0.</w:t>
      </w:r>
    </w:p>
    <w:p>
      <w:pPr>
        <w:pStyle w:val="FirstParagraph"/>
      </w:pPr>
      <w:r>
        <w:t xml:space="preserve">H7a and H7b are </w:t>
      </w:r>
      <w:r>
        <w:rPr>
          <w:bCs/>
          <w:b/>
        </w:rPr>
        <w:t xml:space="preserve">independent, additive predictions</w:t>
      </w:r>
      <w:r>
        <w:t xml:space="preserve">: each carrier is expected to buffer trust erosion on its own, without requiring the other to be present. Part B’s institutional gaps supply the reason each carrier plausibly bites. Gap 1 establishes that the Vietnamese regime pairs high entry formality with low exit control and low algorithmic transparency, so de jure entitlement is real but procedurally distant from a live personalization episode — which is why its buffering effect is predicted but not predicted to be large. Gap 4 adds that severe paper sanctions under centralized supervision may not translate into felt enforcement salience, for the same reason. Disclosure, by contrast, operates at the interface and at the moment of the appraisal, which is why H7b is the carrier with the more direct mechanism even though it is the weaker institutional claim.</w:t>
      </w:r>
    </w:p>
    <w:p>
      <w:pPr>
        <w:pStyle w:val="BodyText"/>
      </w:pPr>
      <w:r>
        <w:t xml:space="preserve">Because both terms are estimated in one model with each carrier held constant for the other, the </w:t>
      </w:r>
      <w:r>
        <w:rPr>
          <w:bCs/>
          <w:b/>
        </w:rPr>
        <w:t xml:space="preserve">relative magnitude of β_M1 versus β_M2</w:t>
      </w:r>
      <w:r>
        <w:t xml:space="preserve"> is itself interpretable: it indicates which lever — institutional awareness or firm-level disclosure — carries more behavioural leverage. That comparison is the practical yield of the two-carrier framing and is reported in the Discussion.</w:t>
      </w:r>
    </w:p>
    <w:p>
      <w:pPr>
        <w:pStyle w:val="BodyText"/>
      </w:pPr>
      <w:r>
        <w:t xml:space="preserve">Both H7a and H7b moderate the </w:t>
      </w:r>
      <w:r>
        <w:rPr>
          <w:bCs/>
          <w:b/>
        </w:rPr>
        <w:t xml:space="preserve">H6a path only</w:t>
      </w:r>
      <w:r>
        <w:t xml:space="preserve"> (INT → TRU) — never H6b, never H6c. The specification must be stated identically in the diagram, the hypothesis table and the SmartPLS model; any inconsistency is a direct reviewer risk. Estimation is specified in §C.2.</w:t>
      </w:r>
    </w:p>
    <w:p>
      <w:pPr>
        <w:pStyle w:val="BodyText"/>
      </w:pPr>
      <w:r>
        <w:rPr>
          <w:iCs/>
          <w:i/>
        </w:rPr>
        <w:t xml:space="preserve">What was given up, and what was gained.</w:t>
      </w:r>
      <w:r>
        <w:t xml:space="preserve"> The withdrawn v2.0 specification tested a stronger and more distinctive claim: that de jure awareness is inert </w:t>
      </w:r>
      <w:r>
        <w:rPr>
          <w:iCs/>
          <w:i/>
        </w:rPr>
        <w:t xml:space="preserve">unless</w:t>
      </w:r>
      <w:r>
        <w:t xml:space="preserve"> instantiated. Two independent buffers is a more ordinary finding. What is gained is a design that can actually detect its own hypotheses at the pre-registered sample size, and a Discussion claim (relative carrier leverage) that the data can support. The honest framing in the manuscript is that the two-carrier distinction remains the institutional contribution — it is the </w:t>
      </w:r>
      <w:r>
        <w:rPr>
          <w:iCs/>
          <w:i/>
        </w:rPr>
        <w:t xml:space="preserve">conjunctive</w:t>
      </w:r>
      <w:r>
        <w:t xml:space="preserve"> mechanism, not the distinction itself, that is no longer claimed.</w:t>
      </w:r>
    </w:p>
    <w:bookmarkEnd w:id="38"/>
    <w:bookmarkStart w:id="39" w:name="X1c9244b024f38b760096b151107a8710c4c6394"/>
    <w:p>
      <w:pPr>
        <w:pStyle w:val="Heading3"/>
      </w:pPr>
      <w:r>
        <w:t xml:space="preserve">A.5.2 Administering PDPL Awareness: Generic Items, Generic Preamble, Context Elsewhere (Amendment A-17, superseding A-16)</w:t>
      </w:r>
    </w:p>
    <w:p>
      <w:pPr>
        <w:pStyle w:val="FirstParagraph"/>
      </w:pPr>
      <w:r>
        <w:t xml:space="preserve">PDPL1-PDPL4 (Section C.4, Table 5) are, and remain, generic in wording: none of the four item stems names Law 91/2025/QH15. This has been true since PROJ_MAIN_final_v2 (Amendment A-13) and is unaffected by anything in this section. What this section settles is where – if anywhere – the statute’s name belongs in the fielded instrument’s </w:t>
      </w:r>
      <w:r>
        <w:rPr>
          <w:iCs/>
          <w:i/>
        </w:rPr>
        <w:t xml:space="preserve">administration</w:t>
      </w:r>
      <w:r>
        <w:t xml:space="preserve"> (as distinct from the item text itself), which is what OD-11 was actually about.</w:t>
      </w:r>
    </w:p>
    <w:p>
      <w:pPr>
        <w:pStyle w:val="BodyText"/>
      </w:pPr>
      <w:r>
        <w:rPr>
          <w:bCs/>
          <w:b/>
        </w:rPr>
        <w:t xml:space="preserve">The final, operative answer (A-17): nowhere in the fielded instrument.</w:t>
      </w:r>
      <w:r>
        <w:t xml:space="preserve"> Block M_PDPL is administered under a single generic preamble before PDPL1 – stating only that the following questions concern rights and obligations under Vietnamese personal-data-protection law, without naming the statute – and no second segment naming Law 91/2025/QH15 is inserted anywhere in the block. PDPL1-PDPL4 are administered identically to one another; there is no pre-anchor / post-anchor distinction. The statute’s name, its effective date, and its relationship to each item’s statutory anchor are documented only in the literature review (Chapter 2, construct operationalization) and in the instrument-development narrative of the Method section. This is the faculty advisor’s guidance as originally given and as reconfirmed on 8 September 2026: naming the law is unnecessary anywhere in the instrument because all four items are already anchored to specific articles (Table 5), and generic item/preamble wording for a scale built on an established construct is standard practice, not a defect requiring a design fix.</w:t>
      </w:r>
    </w:p>
    <w:p>
      <w:pPr>
        <w:pStyle w:val="BodyText"/>
      </w:pPr>
      <w:r>
        <w:rPr>
          <w:bCs/>
          <w:b/>
        </w:rPr>
        <w:t xml:space="preserve">Audit trail: the same-day exploration this supersedes.</w:t>
      </w:r>
      <w:r>
        <w:t xml:space="preserve"> Two intermediate positions were drafted and rejected before A-17 was ratified, and are recorded here so the reasoning is not lost. First, inserting “(Law No. 91/2025/QH15)” directly into the PDPL1 item stem was drafted, then reverted before fielding: naming the statute inside an awareness item supplies, within the item text, the very fact the item is meant to test, which risks a leading item and an artificial ceiling effect on PDPL1 – this wording must never reappear in PROJ_MAIN. Second, Amendment A-16 (ratified and reissued as TF v2.8, then superseded the same day) attempted a different fix at the preamble level: splitting block M_PDPL into a generic segment before PDPL1 and a statute-naming segment after PDPL1 (before PDPL2), on the reasoning that a single preamble naming the statute before PDPL1 would prime the bare-awareness item with the fact it tests. That order-effect concern is real in the abstract, but A-16 is withdrawn because it solved a problem the faculty advisor’s guidance says should not exist in the first place: if the statute is never named in administration at all, there is no priming order to manage, and no pre-/post-anchor bookkeeping to carry into the Method section. A-17 is simpler than A-16 and answers the guidance more directly.</w:t>
      </w:r>
    </w:p>
    <w:p>
      <w:pPr>
        <w:pStyle w:val="BodyText"/>
      </w:pPr>
      <w:r>
        <w:rPr>
          <w:bCs/>
          <w:b/>
        </w:rPr>
        <w:t xml:space="preserve">Consequence for reporting.</w:t>
      </w:r>
      <w:r>
        <w:t xml:space="preserve"> The Method / instrument-development section of the manuscript must describe PDPL Awareness as a 4-item scale, generically worded and generically administered, and must state the statutory anchor and its ecological-validity limitation explicitly in prose (Method and/or Limitations) rather than by pointing to any in-instrument feature – because, after A-17, no such feature exists. This is precisely the “state the limitation” branch that OD-11 offered as an alternative to revising the instrument, now the operative one.</w:t>
      </w:r>
    </w:p>
    <w:bookmarkEnd w:id="39"/>
    <w:bookmarkEnd w:id="40"/>
    <w:bookmarkStart w:id="41" w:name="X7024f622dc5b4037bf588806c0ef495fe7de8a2"/>
    <w:p>
      <w:pPr>
        <w:pStyle w:val="Heading2"/>
      </w:pPr>
      <w:r>
        <w:t xml:space="preserve">A.6 Integrated Construct-to-Theory Map (Table 1 — Naming Locked)</w:t>
      </w:r>
    </w:p>
    <w:p>
      <w:pPr>
        <w:pStyle w:val="FirstParagraph"/>
      </w:pPr>
      <w:r>
        <w:t xml:space="preserve">Table 1 is the master reference for construct labels, abbreviations, theoretical anchors, and model roles. All instruments, diagrams, and manuscript sections must use these labels verbatim.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Construct</w:t>
            </w:r>
          </w:p>
        </w:tc>
        <w:tc>
          <w:tcPr/>
          <w:p>
            <w:pPr>
              <w:pStyle w:val="Compact"/>
              <w:jc w:val="left"/>
            </w:pPr>
            <w:r>
              <w:rPr>
                <w:bCs/>
                <w:b/>
              </w:rPr>
              <w:t xml:space="preserve">Definition (working)</w:t>
            </w:r>
          </w:p>
        </w:tc>
        <w:tc>
          <w:tcPr/>
          <w:p>
            <w:pPr>
              <w:pStyle w:val="Compact"/>
              <w:jc w:val="left"/>
            </w:pPr>
            <w:r>
              <w:rPr>
                <w:bCs/>
                <w:b/>
              </w:rPr>
              <w:t xml:space="preserve">Theoretical anchor</w:t>
            </w:r>
          </w:p>
        </w:tc>
        <w:tc>
          <w:tcPr/>
          <w:p>
            <w:pPr>
              <w:pStyle w:val="Compact"/>
              <w:jc w:val="left"/>
            </w:pPr>
            <w:r>
              <w:rPr>
                <w:bCs/>
                <w:b/>
              </w:rPr>
              <w:t xml:space="preserve">Role in model</w:t>
            </w:r>
          </w:p>
        </w:tc>
      </w:tr>
      <w:tr>
        <w:tc>
          <w:tcPr/>
          <w:p>
            <w:pPr>
              <w:pStyle w:val="Compact"/>
              <w:jc w:val="left"/>
            </w:pPr>
            <w:r>
              <w:rPr>
                <w:bCs/>
                <w:b/>
              </w:rPr>
              <w:t xml:space="preserve">AIP</w:t>
            </w:r>
          </w:p>
        </w:tc>
        <w:tc>
          <w:tcPr/>
          <w:p>
            <w:pPr>
              <w:pStyle w:val="Compact"/>
              <w:jc w:val="left"/>
            </w:pPr>
            <w:r>
              <w:t xml:space="preserve">AI Personalization Intensity</w:t>
            </w:r>
          </w:p>
        </w:tc>
        <w:tc>
          <w:tcPr/>
          <w:p>
            <w:pPr>
              <w:pStyle w:val="Compact"/>
              <w:jc w:val="left"/>
            </w:pPr>
            <w:r>
              <w:t xml:space="preserve">Degree to which the retailer deploys AI-driven, individually tailored content across omnichannel touchpoints (AIP1–AIP5).</w:t>
            </w:r>
          </w:p>
        </w:tc>
        <w:tc>
          <w:tcPr/>
          <w:p>
            <w:pPr>
              <w:pStyle w:val="Compact"/>
              <w:jc w:val="left"/>
            </w:pPr>
            <w:r>
              <w:t xml:space="preserve">SOR (stimulus); personalization literature</w:t>
            </w:r>
          </w:p>
        </w:tc>
        <w:tc>
          <w:tcPr/>
          <w:p>
            <w:pPr>
              <w:pStyle w:val="Compact"/>
              <w:jc w:val="left"/>
            </w:pPr>
            <w:r>
              <w:t xml:space="preserve">Exogenous stimulus (S); H1, H2. Manipulated Low/High in the 2 × 2.</w:t>
            </w:r>
          </w:p>
        </w:tc>
      </w:tr>
      <w:tr>
        <w:tc>
          <w:tcPr/>
          <w:p>
            <w:pPr>
              <w:pStyle w:val="Compact"/>
              <w:jc w:val="left"/>
            </w:pPr>
            <w:r>
              <w:rPr>
                <w:bCs/>
                <w:b/>
              </w:rPr>
              <w:t xml:space="preserve">REL</w:t>
            </w:r>
          </w:p>
        </w:tc>
        <w:tc>
          <w:tcPr/>
          <w:p>
            <w:pPr>
              <w:pStyle w:val="Compact"/>
              <w:jc w:val="left"/>
            </w:pPr>
            <w:r>
              <w:t xml:space="preserve">Perceived Relevance</w:t>
            </w:r>
          </w:p>
        </w:tc>
        <w:tc>
          <w:tcPr/>
          <w:p>
            <w:pPr>
              <w:pStyle w:val="Compact"/>
              <w:jc w:val="left"/>
            </w:pPr>
            <w:r>
              <w:t xml:space="preserve">Judgment that personalized content matches one’s needs, preferences, and context (</w:t>
            </w:r>
            <w:r>
              <w:rPr>
                <w:bCs/>
                <w:b/>
              </w:rPr>
              <w:t xml:space="preserve">REL1–REL4</w:t>
            </w:r>
            <w:r>
              <w:t xml:space="preserve">; no exclusion — A-9’s exclusion applied to an earlier, now-removed REL4 item and is retired).</w:t>
            </w:r>
          </w:p>
        </w:tc>
        <w:tc>
          <w:tcPr/>
          <w:p>
            <w:pPr>
              <w:pStyle w:val="Compact"/>
              <w:jc w:val="left"/>
            </w:pPr>
            <w:r>
              <w:t xml:space="preserve">Privacy Calculus — benefit term (Dinev &amp; Hart, 2006)</w:t>
            </w:r>
          </w:p>
        </w:tc>
        <w:tc>
          <w:tcPr/>
          <w:p>
            <w:pPr>
              <w:pStyle w:val="Compact"/>
              <w:jc w:val="left"/>
            </w:pPr>
            <w:r>
              <w:t xml:space="preserve">Organism; mediator (H1, H4, H5)</w:t>
            </w:r>
          </w:p>
        </w:tc>
      </w:tr>
      <w:tr>
        <w:tc>
          <w:tcPr/>
          <w:p>
            <w:pPr>
              <w:pStyle w:val="Compact"/>
              <w:jc w:val="left"/>
            </w:pPr>
            <w:r>
              <w:rPr>
                <w:bCs/>
                <w:b/>
              </w:rPr>
              <w:t xml:space="preserve">INT</w:t>
            </w:r>
          </w:p>
        </w:tc>
        <w:tc>
          <w:tcPr/>
          <w:p>
            <w:pPr>
              <w:pStyle w:val="Compact"/>
              <w:jc w:val="left"/>
            </w:pPr>
            <w:r>
              <w:t xml:space="preserve">Perceived Intrusiveness</w:t>
            </w:r>
          </w:p>
        </w:tc>
        <w:tc>
          <w:tcPr/>
          <w:p>
            <w:pPr>
              <w:pStyle w:val="Compact"/>
              <w:jc w:val="left"/>
            </w:pPr>
            <w:r>
              <w:t xml:space="preserve">Felt violation of psychological/informational boundaries by personalization (INT1–INT5).</w:t>
            </w:r>
          </w:p>
        </w:tc>
        <w:tc>
          <w:tcPr/>
          <w:p>
            <w:pPr>
              <w:pStyle w:val="Compact"/>
              <w:jc w:val="left"/>
            </w:pPr>
            <w:r>
              <w:t xml:space="preserve">Privacy Calculus — risk term (Dinev &amp; Hart, 2006)</w:t>
            </w:r>
          </w:p>
        </w:tc>
        <w:tc>
          <w:tcPr/>
          <w:p>
            <w:pPr>
              <w:pStyle w:val="Compact"/>
              <w:jc w:val="left"/>
            </w:pPr>
            <w:r>
              <w:t xml:space="preserve">Organism; mediator (H2, H3, H6a, H6b, H6c); focal path of both H7a and H7b moderations</w:t>
            </w:r>
          </w:p>
        </w:tc>
      </w:tr>
      <w:tr>
        <w:tc>
          <w:tcPr/>
          <w:p>
            <w:pPr>
              <w:pStyle w:val="Compact"/>
              <w:jc w:val="left"/>
            </w:pPr>
            <w:r>
              <w:rPr>
                <w:bCs/>
                <w:b/>
              </w:rPr>
              <w:t xml:space="preserve">TRU</w:t>
            </w:r>
          </w:p>
        </w:tc>
        <w:tc>
          <w:tcPr/>
          <w:p>
            <w:pPr>
              <w:pStyle w:val="Compact"/>
              <w:jc w:val="left"/>
            </w:pPr>
            <w:r>
              <w:t xml:space="preserve">Consumer Trust (cognitive + affective)</w:t>
            </w:r>
          </w:p>
        </w:tc>
        <w:tc>
          <w:tcPr/>
          <w:p>
            <w:pPr>
              <w:pStyle w:val="Compact"/>
              <w:jc w:val="left"/>
            </w:pPr>
            <w:r>
              <w:t xml:space="preserve">Trusting beliefs in the AI agent’s competence, benevolence, integrity (</w:t>
            </w:r>
            <w:r>
              <w:rPr>
                <w:bCs/>
                <w:b/>
              </w:rPr>
              <w:t xml:space="preserve">TRU1–TRU3</w:t>
            </w:r>
            <w:r>
              <w:t xml:space="preserve">) plus affective willingness to depend (</w:t>
            </w:r>
            <w:r>
              <w:rPr>
                <w:bCs/>
                <w:b/>
              </w:rPr>
              <w:t xml:space="preserve">TRU4–TRU6</w:t>
            </w:r>
            <w:r>
              <w:t xml:space="preserve">).</w:t>
            </w:r>
          </w:p>
        </w:tc>
        <w:tc>
          <w:tcPr/>
          <w:p>
            <w:pPr>
              <w:pStyle w:val="Compact"/>
              <w:jc w:val="left"/>
            </w:pPr>
            <w:r>
              <w:t xml:space="preserve">Trust Theory (McKnight et al., 2002); empirical support: Bart et al. (2005)</w:t>
            </w:r>
          </w:p>
        </w:tc>
        <w:tc>
          <w:tcPr/>
          <w:p>
            <w:pPr>
              <w:pStyle w:val="Compact"/>
              <w:jc w:val="left"/>
            </w:pPr>
            <w:r>
              <w:t xml:space="preserve">Organism; central mediator (H4, H6a, E1). TRU → PI is a competing-model robustness check only.</w:t>
            </w:r>
          </w:p>
        </w:tc>
      </w:tr>
      <w:tr>
        <w:tc>
          <w:tcPr/>
          <w:p>
            <w:pPr>
              <w:pStyle w:val="Compact"/>
              <w:jc w:val="left"/>
            </w:pPr>
            <w:r>
              <w:rPr>
                <w:bCs/>
                <w:b/>
              </w:rPr>
              <w:t xml:space="preserve">ENG</w:t>
            </w:r>
          </w:p>
        </w:tc>
        <w:tc>
          <w:tcPr/>
          <w:p>
            <w:pPr>
              <w:pStyle w:val="Compact"/>
              <w:jc w:val="left"/>
            </w:pPr>
            <w:r>
              <w:t xml:space="preserve">Customer Engagement</w:t>
            </w:r>
          </w:p>
        </w:tc>
        <w:tc>
          <w:tcPr/>
          <w:p>
            <w:pPr>
              <w:pStyle w:val="Compact"/>
              <w:jc w:val="left"/>
            </w:pPr>
            <w:r>
              <w:t xml:space="preserve">Three first-order dimensions — </w:t>
            </w:r>
            <w:r>
              <w:rPr>
                <w:bCs/>
                <w:b/>
              </w:rPr>
              <w:t xml:space="preserve">Cognitive Processing</w:t>
            </w:r>
            <w:r>
              <w:t xml:space="preserve"> (ENG1–ENG2), </w:t>
            </w:r>
            <w:r>
              <w:rPr>
                <w:bCs/>
                <w:b/>
              </w:rPr>
              <w:t xml:space="preserve">Affection</w:t>
            </w:r>
            <w:r>
              <w:t xml:space="preserve"> (ENG3, ENG6), </w:t>
            </w:r>
            <w:r>
              <w:rPr>
                <w:bCs/>
                <w:b/>
              </w:rPr>
              <w:t xml:space="preserve">Activation</w:t>
            </w:r>
            <w:r>
              <w:t xml:space="preserve"> (ENG4–ENG5) — modeled as indicators of one reflective composite (not a structural second-order construct; §A.4.1, Amendment A-12).</w:t>
            </w:r>
          </w:p>
        </w:tc>
        <w:tc>
          <w:tcPr/>
          <w:p>
            <w:pPr>
              <w:pStyle w:val="Compact"/>
              <w:jc w:val="left"/>
            </w:pPr>
            <w:r>
              <w:t xml:space="preserve">Hollebeek, Glynn, &amp; Brodie (2014) — CBE scale; conceptual grounding: Brodie et al. (2011) FP1/FP4</w:t>
            </w:r>
          </w:p>
        </w:tc>
        <w:tc>
          <w:tcPr/>
          <w:p>
            <w:pPr>
              <w:pStyle w:val="Compact"/>
              <w:jc w:val="left"/>
            </w:pPr>
            <w:r>
              <w:t xml:space="preserve">Response; focal outcome (H5, H6b, E1, E2)</w:t>
            </w:r>
          </w:p>
        </w:tc>
      </w:tr>
      <w:tr>
        <w:tc>
          <w:tcPr/>
          <w:p>
            <w:pPr>
              <w:pStyle w:val="Compact"/>
              <w:jc w:val="left"/>
            </w:pPr>
            <w:r>
              <w:rPr>
                <w:bCs/>
                <w:b/>
              </w:rPr>
              <w:t xml:space="preserve">PI</w:t>
            </w:r>
          </w:p>
        </w:tc>
        <w:tc>
          <w:tcPr/>
          <w:p>
            <w:pPr>
              <w:pStyle w:val="Compact"/>
              <w:jc w:val="left"/>
            </w:pPr>
            <w:r>
              <w:t xml:space="preserve">Purchase Intention</w:t>
            </w:r>
          </w:p>
        </w:tc>
        <w:tc>
          <w:tcPr/>
          <w:p>
            <w:pPr>
              <w:pStyle w:val="Compact"/>
              <w:jc w:val="left"/>
            </w:pPr>
            <w:r>
              <w:t xml:space="preserve">Intention to purchase via the AI-personalized omnichannel service (PI1–PI4).</w:t>
            </w:r>
          </w:p>
        </w:tc>
        <w:tc>
          <w:tcPr/>
          <w:p>
            <w:pPr>
              <w:pStyle w:val="Compact"/>
              <w:jc w:val="left"/>
            </w:pPr>
            <w:r>
              <w:t xml:space="preserve">Perceived transaction risk (Pavlou, 2003; Featherman &amp; Pavlou, 2003); willingness to transact under risk (McKnight et al., 2002)</w:t>
            </w:r>
          </w:p>
        </w:tc>
        <w:tc>
          <w:tcPr/>
          <w:p>
            <w:pPr>
              <w:pStyle w:val="Compact"/>
              <w:jc w:val="left"/>
            </w:pPr>
            <w:r>
              <w:t xml:space="preserve">Response; terminal outcome (H6c, E2)</w:t>
            </w:r>
          </w:p>
        </w:tc>
      </w:tr>
      <w:tr>
        <w:tc>
          <w:tcPr/>
          <w:p>
            <w:pPr>
              <w:pStyle w:val="Compact"/>
              <w:jc w:val="left"/>
            </w:pPr>
            <w:r>
              <w:rPr>
                <w:bCs/>
                <w:b/>
              </w:rPr>
              <w:t xml:space="preserve">PDPL</w:t>
            </w:r>
          </w:p>
        </w:tc>
        <w:tc>
          <w:tcPr/>
          <w:p>
            <w:pPr>
              <w:pStyle w:val="Compact"/>
              <w:jc w:val="left"/>
            </w:pPr>
            <w:r>
              <w:t xml:space="preserve">PDPL Awareness</w:t>
            </w:r>
          </w:p>
        </w:tc>
        <w:tc>
          <w:tcPr/>
          <w:p>
            <w:pPr>
              <w:pStyle w:val="Compact"/>
              <w:jc w:val="left"/>
            </w:pPr>
            <w:r>
              <w:t xml:space="preserve">Awareness of the existence, content, and protective force of PDP Law 2025 (Law 91/2025/QH15) (PDPL1–PDPL4).</w:t>
            </w:r>
          </w:p>
        </w:tc>
        <w:tc>
          <w:tcPr/>
          <w:p>
            <w:pPr>
              <w:pStyle w:val="Compact"/>
              <w:jc w:val="left"/>
            </w:pPr>
            <w:r>
              <w:t xml:space="preserve">Institution-based trust — structural assurance (McKnight et al., 2002); regulative pillar (Scott, 1995)</w:t>
            </w:r>
          </w:p>
        </w:tc>
        <w:tc>
          <w:tcPr/>
          <w:p>
            <w:pPr>
              <w:pStyle w:val="Compact"/>
              <w:jc w:val="left"/>
            </w:pPr>
            <w:r>
              <w:t xml:space="preserve">Moderator of INT → TRU in </w:t>
            </w:r>
            <w:r>
              <w:rPr>
                <w:bCs/>
                <w:b/>
              </w:rPr>
              <w:t xml:space="preserve">H7a</w:t>
            </w:r>
            <w:r>
              <w:t xml:space="preserve"> (β_M1); de jure carrier</w:t>
            </w:r>
          </w:p>
        </w:tc>
      </w:tr>
      <w:tr>
        <w:tc>
          <w:tcPr/>
          <w:p>
            <w:pPr>
              <w:pStyle w:val="Compact"/>
              <w:jc w:val="left"/>
            </w:pPr>
            <w:r>
              <w:rPr>
                <w:bCs/>
                <w:b/>
              </w:rPr>
              <w:t xml:space="preserve">DISC</w:t>
            </w:r>
          </w:p>
        </w:tc>
        <w:tc>
          <w:tcPr/>
          <w:p>
            <w:pPr>
              <w:pStyle w:val="Compact"/>
              <w:jc w:val="left"/>
            </w:pPr>
            <w:r>
              <w:t xml:space="preserve">Disclosure Level</w:t>
            </w:r>
          </w:p>
        </w:tc>
        <w:tc>
          <w:tcPr/>
          <w:p>
            <w:pPr>
              <w:pStyle w:val="Compact"/>
              <w:jc w:val="left"/>
            </w:pPr>
            <w:r>
              <w:t xml:space="preserve">Presence vs. absence of explicit data-practice disclosure in the personalization interface.</w:t>
            </w:r>
          </w:p>
        </w:tc>
        <w:tc>
          <w:tcPr/>
          <w:p>
            <w:pPr>
              <w:pStyle w:val="Compact"/>
              <w:jc w:val="left"/>
            </w:pPr>
            <w:r>
              <w:t xml:space="preserve">Transparency/disclosure literature; PDP Law 2025 Arts. 28(8), 29</w:t>
            </w:r>
          </w:p>
        </w:tc>
        <w:tc>
          <w:tcPr/>
          <w:p>
            <w:pPr>
              <w:pStyle w:val="Compact"/>
              <w:jc w:val="left"/>
            </w:pPr>
            <w:r>
              <w:t xml:space="preserve">Manipulated factor, dummy 0/1 — </w:t>
            </w:r>
            <w:r>
              <w:rPr>
                <w:bCs/>
                <w:b/>
              </w:rPr>
              <w:t xml:space="preserve">never a Likert construct</w:t>
            </w:r>
            <w:r>
              <w:t xml:space="preserve"> and never in the measurement model. Predictor in H3 (ANOVA test); moderator of INT → TRU in </w:t>
            </w:r>
            <w:r>
              <w:rPr>
                <w:bCs/>
                <w:b/>
              </w:rPr>
              <w:t xml:space="preserve">H7b</w:t>
            </w:r>
            <w:r>
              <w:t xml:space="preserve"> (β_M2); de facto carrier</w:t>
            </w:r>
          </w:p>
        </w:tc>
      </w:tr>
    </w:tbl>
    <w:p>
      <w:pPr>
        <w:pStyle w:val="BodyText"/>
      </w:pPr>
      <w:r>
        <w:t xml:space="preserve">Table 1. Construct-to-theory map. Labels are locked; downstream deliverables must reproduce them verbatim.</w:t>
      </w:r>
    </w:p>
    <w:p>
      <w:pPr>
        <w:pStyle w:val="BodyText"/>
      </w:pPr>
      <w:r>
        <w:rPr>
          <w:iCs/>
          <w:i/>
        </w:rPr>
        <w:t xml:space="preserve">Naming-consistency guardrail.</w:t>
      </w:r>
      <w:r>
        <w:t xml:space="preserve"> “PDPL Awareness” replaces “PDPD Awareness” in all documents going forward; “Disclosure Level” replaces any residual use of “Data Collection Depth”. A one-time find-and-replace pass over existing deliverables — including the project brief and the literature-review spreadsheet’s Takeaway column — is required before main collection opens.</w:t>
      </w:r>
    </w:p>
    <w:bookmarkEnd w:id="41"/>
    <w:bookmarkStart w:id="42" w:name="X8a00222154c14dd0cb6423a4efe82986f546502"/>
    <w:p>
      <w:pPr>
        <w:pStyle w:val="Heading2"/>
      </w:pPr>
      <w:r>
        <w:t xml:space="preserve">A.7 Positioning Within the Reviewed Literature (52 Catalogued Entries)</w:t>
      </w:r>
    </w:p>
    <w:p>
      <w:pPr>
        <w:pStyle w:val="FirstParagraph"/>
      </w:pPr>
      <w:r>
        <w:t xml:space="preserve">The literature review spreadsheet catalogues 52 entries across six clusters: </w:t>
      </w:r>
      <w:r>
        <w:rPr>
          <w:bCs/>
          <w:b/>
        </w:rPr>
        <w:t xml:space="preserve">Topic #1</w:t>
      </w:r>
      <w:r>
        <w:t xml:space="preserve"> — AI-driven personalization, the personalization–privacy paradox, and consumer response (34 papers); </w:t>
      </w:r>
      <w:r>
        <w:rPr>
          <w:bCs/>
          <w:b/>
        </w:rPr>
        <w:t xml:space="preserve">Topic #2</w:t>
      </w:r>
      <w:r>
        <w:t xml:space="preserve"> — omnichannel trust and channel integration (5); </w:t>
      </w:r>
      <w:r>
        <w:rPr>
          <w:bCs/>
          <w:b/>
        </w:rPr>
        <w:t xml:space="preserve">Topic #3</w:t>
      </w:r>
      <w:r>
        <w:t xml:space="preserve"> — data-protection regulation and governance (5); </w:t>
      </w:r>
      <w:r>
        <w:rPr>
          <w:bCs/>
          <w:b/>
        </w:rPr>
        <w:t xml:space="preserve">Topic 0</w:t>
      </w:r>
      <w:r>
        <w:t xml:space="preserve"> — foundational theory primers (Privacy Calculus, TRA) (3); </w:t>
      </w:r>
      <w:r>
        <w:rPr>
          <w:bCs/>
          <w:b/>
        </w:rPr>
        <w:t xml:space="preserve">DSR Methodology</w:t>
      </w:r>
      <w:r>
        <w:t xml:space="preserve"> (2, anchored in Hevner et al., 2004 and the design-science paradigm); and </w:t>
      </w:r>
      <w:r>
        <w:rPr>
          <w:bCs/>
          <w:b/>
        </w:rPr>
        <w:t xml:space="preserve">SDG 12 / green recommender systems and Vietnamese green consumption</w:t>
      </w:r>
      <w:r>
        <w:t xml:space="preserve"> (3). Theoretical coverage across the corpus is dominated by Privacy Calculus, SOR, Social Exchange Theory, TAM/TPB, ELM, and assorted trust models (trust transfer, layered trust, mind perception).</w:t>
      </w:r>
    </w:p>
    <w:p>
      <w:pPr>
        <w:pStyle w:val="BodyText"/>
      </w:pPr>
      <w:r>
        <w:t xml:space="preserve">Three observations position the present study. </w:t>
      </w:r>
      <w:r>
        <w:rPr>
          <w:bCs/>
          <w:b/>
        </w:rPr>
        <w:t xml:space="preserve">First</w:t>
      </w:r>
      <w:r>
        <w:t xml:space="preserve">, no catalogued paper combines the three-pillar architecture (Privacy Calculus + multidimensional Trust + Institutional Theory) in a single structural model; papers either examine the paradox without institutional conditioning (e.g., Canhoto et al., 2024; Teepapal, 2025) or examine regulation without consumer-level modeling (Topic #3 governance papers). </w:t>
      </w:r>
      <w:r>
        <w:rPr>
          <w:bCs/>
          <w:b/>
        </w:rPr>
        <w:t xml:space="preserve">Second</w:t>
      </w:r>
      <w:r>
        <w:t xml:space="preserve">, the closest construct-level neighbor, Aydin (2026), demonstrates the relevance/intrusiveness → trust mechanism but treats personalization as unidimensional and includes no regulatory moderator — its stated gap is precisely the entry point of H7a, and the entry point widens with H7b: neither a regulatory-awareness moderator nor a manipulated firm-disclosure moderator on the intrusiveness–trust path appears anywhere in the corpus, let alone both estimated together. </w:t>
      </w:r>
      <w:r>
        <w:rPr>
          <w:bCs/>
          <w:b/>
        </w:rPr>
        <w:t xml:space="preserve">Third</w:t>
      </w:r>
      <w:r>
        <w:t xml:space="preserve">, the DSR and SDG 12 entries establish that sustainability-aware re-ranking exists as an algorithmic literature (recommendation diversity, multi-objective ranking, rank aggregation) but has not been coupled to a behavioral privacy–trust model in an emerging-market omnichannel setting. The Study 2 artifact occupies exactly this junction, grounded methodologically in Hevner et al. (2004) and Peffers et al. (2007).</w:t>
      </w:r>
    </w:p>
    <w:bookmarkEnd w:id="42"/>
    <w:bookmarkEnd w:id="43"/>
    <w:bookmarkStart w:id="54" w:name="part-b.-regulatory-comparison"/>
    <w:p>
      <w:pPr>
        <w:pStyle w:val="Heading1"/>
      </w:pPr>
      <w:r>
        <w:t xml:space="preserve">Part B. Regulatory Comparison</w:t>
      </w:r>
    </w:p>
    <w:p>
      <w:pPr>
        <w:pStyle w:val="FirstParagraph"/>
      </w:pPr>
      <w:r>
        <w:rPr>
          <w:iCs/>
          <w:i/>
        </w:rPr>
        <w:t xml:space="preserve">Version note.</w:t>
      </w:r>
      <w:r>
        <w:t xml:space="preserve"> Part B is carried over from Version 1.0 without substantive change, except in §B.6 where the third novelty statement is affected by Amendment A-8 (see OD-9). Article-level citations to Law 91/2025/QH15 have been verified against the full statute text (Amendment A-11, §C.6, OD-4 closed 26 August 2026).</w:t>
      </w:r>
    </w:p>
    <w:p>
      <w:pPr>
        <w:pStyle w:val="BodyText"/>
      </w:pPr>
      <w:r>
        <w:t xml:space="preserve">Part B benchmarks Vietnam’s PDP Law 2025 (Law No. 91/2025/QH15, passed by the National Assembly, effective 1 January 2026; superseding Decree 13/2023/NĐ-CP) against three reference frames: the EU GDPR (Regulation (EU) 2016/679) as the hard-law gold standard; SDG 16 (esp. targets 16.6 and 16.10) as the soft-law normative frame; and ESG governance reporting (GRI 418 + OECD guidance) as the voluntary-disclosure frame. The comparison serves two functions: (i) it substantiates the institutional-transition premise underlying PDPL Awareness, and (ii) it yields four institutional gaps that constitute the study’s novelty claims (§B.6).</w:t>
      </w:r>
    </w:p>
    <w:bookmarkStart w:id="44" w:name="b.1-nature-and-scope-of-the-instruments"/>
    <w:p>
      <w:pPr>
        <w:pStyle w:val="Heading2"/>
      </w:pPr>
      <w:r>
        <w:t xml:space="preserve">B.1 Nature and Scope of the Instruments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 (Law 91/2025/QH15)</w:t>
            </w:r>
          </w:p>
        </w:tc>
        <w:tc>
          <w:tcPr/>
          <w:p>
            <w:pPr>
              <w:pStyle w:val="Compact"/>
              <w:jc w:val="left"/>
            </w:pPr>
            <w:r>
              <w:rPr>
                <w:bCs/>
                <w:b/>
              </w:rPr>
              <w:t xml:space="preserve">SDG 16</w:t>
            </w:r>
          </w:p>
        </w:tc>
        <w:tc>
          <w:tcPr/>
          <w:p>
            <w:pPr>
              <w:pStyle w:val="Compact"/>
              <w:jc w:val="left"/>
            </w:pPr>
            <w:r>
              <w:rPr>
                <w:bCs/>
                <w:b/>
              </w:rPr>
              <w:t xml:space="preserve">ESG (GRI 418 + OECD)</w:t>
            </w:r>
          </w:p>
        </w:tc>
      </w:tr>
      <w:tr>
        <w:tc>
          <w:tcPr/>
          <w:p>
            <w:pPr>
              <w:pStyle w:val="Compact"/>
              <w:jc w:val="left"/>
            </w:pPr>
            <w:r>
              <w:rPr>
                <w:bCs/>
                <w:b/>
              </w:rPr>
              <w:t xml:space="preserve">Instrument type</w:t>
            </w:r>
          </w:p>
        </w:tc>
        <w:tc>
          <w:tcPr/>
          <w:p>
            <w:pPr>
              <w:pStyle w:val="Compact"/>
              <w:jc w:val="left"/>
            </w:pPr>
            <w:r>
              <w:t xml:space="preserve">Regulation (EU) 2016/679 — directly binding hard law.</w:t>
            </w:r>
          </w:p>
        </w:tc>
        <w:tc>
          <w:tcPr/>
          <w:p>
            <w:pPr>
              <w:pStyle w:val="Compact"/>
              <w:jc w:val="left"/>
            </w:pPr>
            <w:r>
              <w:t xml:space="preserve">Statute enacted by the National Assembly — Art. 1; 5 chapters, 39 articles; hard law.</w:t>
            </w:r>
          </w:p>
        </w:tc>
        <w:tc>
          <w:tcPr/>
          <w:p>
            <w:pPr>
              <w:pStyle w:val="Compact"/>
              <w:jc w:val="left"/>
            </w:pPr>
            <w:r>
              <w:t xml:space="preserve">Soft law / norm (UN, 2015).</w:t>
            </w:r>
          </w:p>
        </w:tc>
        <w:tc>
          <w:tcPr/>
          <w:p>
            <w:pPr>
              <w:pStyle w:val="Compact"/>
              <w:jc w:val="left"/>
            </w:pPr>
            <w:r>
              <w:t xml:space="preserve">Voluntary reporting standard.</w:t>
            </w:r>
          </w:p>
        </w:tc>
      </w:tr>
      <w:tr>
        <w:tc>
          <w:tcPr/>
          <w:p>
            <w:pPr>
              <w:pStyle w:val="Compact"/>
              <w:jc w:val="left"/>
            </w:pPr>
            <w:r>
              <w:rPr>
                <w:bCs/>
                <w:b/>
              </w:rPr>
              <w:t xml:space="preserve">Enforcement body</w:t>
            </w:r>
          </w:p>
        </w:tc>
        <w:tc>
          <w:tcPr/>
          <w:p>
            <w:pPr>
              <w:pStyle w:val="Compact"/>
              <w:jc w:val="left"/>
            </w:pPr>
            <w:r>
              <w:t xml:space="preserve">EDPB plus an independent DPA in each member state (Art. 51).</w:t>
            </w:r>
          </w:p>
        </w:tc>
        <w:tc>
          <w:tcPr/>
          <w:p>
            <w:pPr>
              <w:pStyle w:val="Compact"/>
              <w:jc w:val="left"/>
            </w:pPr>
            <w:r>
              <w:t xml:space="preserve">Arts. 33, 36: Ministry of Public Security is the focal authority — no independent DPA.</w:t>
            </w:r>
          </w:p>
        </w:tc>
        <w:tc>
          <w:tcPr/>
          <w:p>
            <w:pPr>
              <w:pStyle w:val="Compact"/>
              <w:jc w:val="left"/>
            </w:pPr>
            <w:r>
              <w:t xml:space="preserve">None (national indicators only).</w:t>
            </w:r>
          </w:p>
        </w:tc>
        <w:tc>
          <w:tcPr/>
          <w:p>
            <w:pPr>
              <w:pStyle w:val="Compact"/>
              <w:jc w:val="left"/>
            </w:pPr>
            <w:r>
              <w:t xml:space="preserve">None; affects ESG ratings only.</w:t>
            </w:r>
          </w:p>
        </w:tc>
      </w:tr>
      <w:tr>
        <w:tc>
          <w:tcPr/>
          <w:p>
            <w:pPr>
              <w:pStyle w:val="Compact"/>
              <w:jc w:val="left"/>
            </w:pPr>
            <w:r>
              <w:rPr>
                <w:bCs/>
                <w:b/>
              </w:rPr>
              <w:t xml:space="preserve">Extraterritorial scope</w:t>
            </w:r>
          </w:p>
        </w:tc>
        <w:tc>
          <w:tcPr/>
          <w:p>
            <w:pPr>
              <w:pStyle w:val="Compact"/>
              <w:jc w:val="left"/>
            </w:pPr>
            <w:r>
              <w:t xml:space="preserve">Art. 3: applies to non-EU organizations processing EU residents’ data.</w:t>
            </w:r>
          </w:p>
        </w:tc>
        <w:tc>
          <w:tcPr/>
          <w:p>
            <w:pPr>
              <w:pStyle w:val="Compact"/>
              <w:jc w:val="left"/>
            </w:pPr>
            <w:r>
              <w:t xml:space="preserve">Art. 1(2)(c): applies to foreign organizations “directly participating in or related to” processing of Vietnamese citizens’ data.</w:t>
            </w:r>
          </w:p>
        </w:tc>
        <w:tc>
          <w:tcPr/>
          <w:p>
            <w:pPr>
              <w:pStyle w:val="Compact"/>
              <w:jc w:val="left"/>
            </w:pPr>
            <w:r>
              <w:t xml:space="preserve">Not applicable.</w:t>
            </w:r>
          </w:p>
        </w:tc>
        <w:tc>
          <w:tcPr/>
          <w:p>
            <w:pPr>
              <w:pStyle w:val="Compact"/>
              <w:jc w:val="left"/>
            </w:pPr>
            <w:r>
              <w:t xml:space="preserve">Not applicable.</w:t>
            </w:r>
          </w:p>
        </w:tc>
      </w:tr>
    </w:tbl>
    <w:p>
      <w:pPr>
        <w:pStyle w:val="BodyText"/>
      </w:pPr>
      <w:r>
        <w:t xml:space="preserve">Table 2a. Instrument type, enforcement architecture, and territorial reach.</w:t>
      </w:r>
    </w:p>
    <w:bookmarkEnd w:id="44"/>
    <w:bookmarkStart w:id="45" w:name="b.2-consent-requirements"/>
    <w:p>
      <w:pPr>
        <w:pStyle w:val="Heading2"/>
      </w:pPr>
      <w:r>
        <w:t xml:space="preserve">B.2 Consent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Consent standard</w:t>
            </w:r>
          </w:p>
        </w:tc>
        <w:tc>
          <w:tcPr/>
          <w:p>
            <w:pPr>
              <w:pStyle w:val="Compact"/>
              <w:jc w:val="left"/>
            </w:pPr>
            <w:r>
              <w:t xml:space="preserve">Art. 4(11): freely given, specific, informed, unambiguous; pre-ticked boxes invalid (CJEU Planet49, 2019).</w:t>
            </w:r>
          </w:p>
        </w:tc>
        <w:tc>
          <w:tcPr/>
          <w:p>
            <w:pPr>
              <w:pStyle w:val="Compact"/>
              <w:jc w:val="left"/>
            </w:pPr>
            <w:r>
              <w:t xml:space="preserve">Art. 9(2)–(3): voluntary; data subject must know data types, purposes, controller, rights/obligations; expressed in a clear, reproducible, verifiable format (incl. electronic). Art. 9(4)(d): silence or non-response is expressly not consent.</w:t>
            </w:r>
          </w:p>
        </w:tc>
      </w:tr>
      <w:tr>
        <w:tc>
          <w:tcPr/>
          <w:p>
            <w:pPr>
              <w:pStyle w:val="Compact"/>
              <w:jc w:val="left"/>
            </w:pPr>
            <w:r>
              <w:rPr>
                <w:bCs/>
                <w:b/>
              </w:rPr>
              <w:t xml:space="preserve">Granularity</w:t>
            </w:r>
          </w:p>
        </w:tc>
        <w:tc>
          <w:tcPr/>
          <w:p>
            <w:pPr>
              <w:pStyle w:val="Compact"/>
              <w:jc w:val="left"/>
            </w:pPr>
            <w:r>
              <w:t xml:space="preserve">Per purpose; bundling not permitted.</w:t>
            </w:r>
          </w:p>
        </w:tc>
        <w:tc>
          <w:tcPr/>
          <w:p>
            <w:pPr>
              <w:pStyle w:val="Compact"/>
              <w:jc w:val="left"/>
            </w:pPr>
            <w:r>
              <w:t xml:space="preserve">Art. 9(4)(a)–(b): consent per individual purpose; may not be conditioned on consenting to other purposes (anti-bundling).</w:t>
            </w:r>
          </w:p>
        </w:tc>
      </w:tr>
      <w:tr>
        <w:tc>
          <w:tcPr/>
          <w:p>
            <w:pPr>
              <w:pStyle w:val="Compact"/>
              <w:jc w:val="left"/>
            </w:pPr>
            <w:r>
              <w:rPr>
                <w:bCs/>
                <w:b/>
              </w:rPr>
              <w:t xml:space="preserve">Withdrawal</w:t>
            </w:r>
          </w:p>
        </w:tc>
        <w:tc>
          <w:tcPr/>
          <w:p>
            <w:pPr>
              <w:pStyle w:val="Compact"/>
              <w:jc w:val="left"/>
            </w:pPr>
            <w:r>
              <w:t xml:space="preserve">Art. 7(3): withdrawal as easy as giving consent — unconditional.</w:t>
            </w:r>
          </w:p>
        </w:tc>
        <w:tc>
          <w:tcPr/>
          <w:p>
            <w:pPr>
              <w:pStyle w:val="Compact"/>
              <w:jc w:val="left"/>
            </w:pPr>
            <w:r>
              <w:t xml:space="preserve">Art. 10: withdrawal permitted at any time when the subject has grounds to doubt scope, purpose, or accuracy — i.e., conditioned; written/verifiable form required (Art. 10(2)).</w:t>
            </w:r>
          </w:p>
        </w:tc>
      </w:tr>
      <w:tr>
        <w:tc>
          <w:tcPr/>
          <w:p>
            <w:pPr>
              <w:pStyle w:val="Compact"/>
              <w:jc w:val="left"/>
            </w:pPr>
            <w:r>
              <w:rPr>
                <w:bCs/>
                <w:b/>
              </w:rPr>
              <w:t xml:space="preserve">Consent exemptions</w:t>
            </w:r>
          </w:p>
        </w:tc>
        <w:tc>
          <w:tcPr/>
          <w:p>
            <w:pPr>
              <w:pStyle w:val="Compact"/>
              <w:jc w:val="left"/>
            </w:pPr>
            <w:r>
              <w:t xml:space="preserve">Art. 6: legitimate interest, contract performance, etc.</w:t>
            </w:r>
          </w:p>
        </w:tc>
        <w:tc>
          <w:tcPr/>
          <w:p>
            <w:pPr>
              <w:pStyle w:val="Compact"/>
              <w:jc w:val="left"/>
            </w:pPr>
            <w:r>
              <w:t xml:space="preserve">Art. 19(1)(a)–(d): protection of life/health in emergencies, national security, state-agency operations, performance of agreements.</w:t>
            </w:r>
          </w:p>
        </w:tc>
      </w:tr>
      <w:tr>
        <w:tc>
          <w:tcPr/>
          <w:p>
            <w:pPr>
              <w:pStyle w:val="Compact"/>
              <w:jc w:val="left"/>
            </w:pPr>
            <w:r>
              <w:rPr>
                <w:bCs/>
                <w:b/>
              </w:rPr>
              <w:t xml:space="preserve">Sensitive data</w:t>
            </w:r>
          </w:p>
        </w:tc>
        <w:tc>
          <w:tcPr/>
          <w:p>
            <w:pPr>
              <w:pStyle w:val="Compact"/>
              <w:jc w:val="left"/>
            </w:pPr>
            <w:r>
              <w:t xml:space="preserve">Art. 9: explicit consent required for special-category data (health, religion, biometrics…).</w:t>
            </w:r>
          </w:p>
        </w:tc>
        <w:tc>
          <w:tcPr/>
          <w:p>
            <w:pPr>
              <w:pStyle w:val="Compact"/>
              <w:jc w:val="left"/>
            </w:pPr>
            <w:r>
              <w:t xml:space="preserve">Separate consent required for medical/health data; credit data may not be used for scoring without consent.</w:t>
            </w:r>
          </w:p>
        </w:tc>
      </w:tr>
    </w:tbl>
    <w:p>
      <w:pPr>
        <w:pStyle w:val="BodyText"/>
      </w:pPr>
      <w:r>
        <w:t xml:space="preserve">Table 2b. Consent standards, granularity, and withdrawal.</w:t>
      </w:r>
    </w:p>
    <w:bookmarkEnd w:id="45"/>
    <w:bookmarkStart w:id="46" w:name="X86681b71c82f86e2311ca3c47551a21b66657bd"/>
    <w:p>
      <w:pPr>
        <w:pStyle w:val="Heading2"/>
      </w:pPr>
      <w:r>
        <w:t xml:space="preserve">B.3 Disclosure and Transparency Obligations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Disclosure at collection</w:t>
            </w:r>
          </w:p>
        </w:tc>
        <w:tc>
          <w:tcPr/>
          <w:p>
            <w:pPr>
              <w:pStyle w:val="Compact"/>
              <w:jc w:val="left"/>
            </w:pPr>
            <w:r>
              <w:t xml:space="preserve">Arts. 13–14: mandatory disclosure of controller identity, purposes, legal basis, retention, recipients (within one month for indirect collection).</w:t>
            </w:r>
          </w:p>
        </w:tc>
        <w:tc>
          <w:tcPr/>
          <w:p>
            <w:pPr>
              <w:pStyle w:val="Compact"/>
              <w:jc w:val="left"/>
            </w:pPr>
            <w:r>
              <w:t xml:space="preserve">Transparency principle (Art. 3(2)): collection/processing must be within scope and for specific, clear purposes — principle-level rather than itemized.</w:t>
            </w:r>
          </w:p>
        </w:tc>
      </w:tr>
      <w:tr>
        <w:tc>
          <w:tcPr/>
          <w:p>
            <w:pPr>
              <w:pStyle w:val="Compact"/>
              <w:jc w:val="left"/>
            </w:pPr>
            <w:r>
              <w:rPr>
                <w:bCs/>
                <w:b/>
              </w:rPr>
              <w:t xml:space="preserve">Behavioral / personalized advertising</w:t>
            </w:r>
          </w:p>
        </w:tc>
        <w:tc>
          <w:tcPr/>
          <w:p>
            <w:pPr>
              <w:pStyle w:val="Compact"/>
              <w:jc w:val="left"/>
            </w:pPr>
            <w:r>
              <w:t xml:space="preserve">No dedicated provision in the original GDPR.</w:t>
            </w:r>
          </w:p>
        </w:tc>
        <w:tc>
          <w:tcPr/>
          <w:p>
            <w:pPr>
              <w:pStyle w:val="Compact"/>
              <w:jc w:val="left"/>
            </w:pPr>
            <w:r>
              <w:t xml:space="preserve">Art. 28(8): dedicated rules for behavioral/targeted/personalized advertising — (a) tracking-based collection only with consent; (b) opt-out of data sharing, defined retention, deletion when no longer necessary. Art. 28(5): right to demand cessation of ads (opt-out).</w:t>
            </w:r>
          </w:p>
        </w:tc>
      </w:tr>
      <w:tr>
        <w:tc>
          <w:tcPr/>
          <w:p>
            <w:pPr>
              <w:pStyle w:val="Compact"/>
              <w:jc w:val="left"/>
            </w:pPr>
            <w:r>
              <w:rPr>
                <w:bCs/>
                <w:b/>
              </w:rPr>
              <w:t xml:space="preserve">AI / Big Data systems</w:t>
            </w:r>
          </w:p>
        </w:tc>
        <w:tc>
          <w:tcPr/>
          <w:p>
            <w:pPr>
              <w:pStyle w:val="Compact"/>
              <w:jc w:val="left"/>
            </w:pPr>
            <w:r>
              <w:t xml:space="preserve">Not in the original GDPR (added later via the EU AI Act 2024).</w:t>
            </w:r>
          </w:p>
        </w:tc>
        <w:tc>
          <w:tcPr/>
          <w:p>
            <w:pPr>
              <w:pStyle w:val="Compact"/>
              <w:jc w:val="left"/>
            </w:pPr>
            <w:r>
              <w:t xml:space="preserve">Art. 30 — a dedicated in-statute provision: processing within purpose and necessity limits, consistent with “ethical standards and fine customs”; Art. 30(4): risk-based classification of AI processing.</w:t>
            </w:r>
          </w:p>
        </w:tc>
      </w:tr>
      <w:tr>
        <w:tc>
          <w:tcPr/>
          <w:p>
            <w:pPr>
              <w:pStyle w:val="Compact"/>
              <w:jc w:val="left"/>
            </w:pPr>
            <w:r>
              <w:rPr>
                <w:bCs/>
                <w:b/>
              </w:rPr>
              <w:t xml:space="preserve">Right to explanation</w:t>
            </w:r>
          </w:p>
        </w:tc>
        <w:tc>
          <w:tcPr/>
          <w:p>
            <w:pPr>
              <w:pStyle w:val="Compact"/>
              <w:jc w:val="left"/>
            </w:pPr>
            <w:r>
              <w:t xml:space="preserve">Arts. 13(2)(f) &amp; 22: “meaningful information about the logic involved” + right to object to solely automated decisions.</w:t>
            </w:r>
          </w:p>
        </w:tc>
        <w:tc>
          <w:tcPr/>
          <w:p>
            <w:pPr>
              <w:pStyle w:val="Compact"/>
              <w:jc w:val="left"/>
            </w:pPr>
            <w:r>
              <w:t xml:space="preserve">Absent — Art. 30 requires only risk classification and ethical compliance; no obligation to explain personalization logic to individual data subjects.</w:t>
            </w:r>
          </w:p>
        </w:tc>
      </w:tr>
      <w:tr>
        <w:tc>
          <w:tcPr/>
          <w:p>
            <w:pPr>
              <w:pStyle w:val="Compact"/>
              <w:jc w:val="left"/>
            </w:pPr>
            <w:r>
              <w:rPr>
                <w:bCs/>
                <w:b/>
              </w:rPr>
              <w:t xml:space="preserve">Platform transparency</w:t>
            </w:r>
          </w:p>
        </w:tc>
        <w:tc>
          <w:tcPr/>
          <w:p>
            <w:pPr>
              <w:pStyle w:val="Compact"/>
              <w:jc w:val="left"/>
            </w:pPr>
            <w:r>
              <w:t xml:space="preserve">No dedicated provision.</w:t>
            </w:r>
          </w:p>
        </w:tc>
        <w:tc>
          <w:tcPr/>
          <w:p>
            <w:pPr>
              <w:pStyle w:val="Compact"/>
              <w:jc w:val="left"/>
            </w:pPr>
            <w:r>
              <w:t xml:space="preserve">Art. 29: social networks/online media must publish privacy policies, offer cookie refusal and a “do-not-track” option.</w:t>
            </w:r>
          </w:p>
        </w:tc>
      </w:tr>
    </w:tbl>
    <w:p>
      <w:pPr>
        <w:pStyle w:val="BodyText"/>
      </w:pPr>
      <w:r>
        <w:t xml:space="preserve">Table 2c. Disclosure, algorithmic transparency, and platform duties.</w:t>
      </w:r>
    </w:p>
    <w:p>
      <w:pPr>
        <w:pStyle w:val="BodyText"/>
      </w:pPr>
      <w:r>
        <w:rPr>
          <w:iCs/>
          <w:i/>
        </w:rPr>
        <w:t xml:space="preserve">Design linkage.</w:t>
      </w:r>
      <w:r>
        <w:t xml:space="preserve"> Arts. 28(8)(a)–(b), 28(5), and 29 supply the statutory content of the </w:t>
      </w:r>
      <w:r>
        <w:rPr>
          <w:bCs/>
          <w:b/>
        </w:rPr>
        <w:t xml:space="preserve">With Disclosure</w:t>
      </w:r>
      <w:r>
        <w:t xml:space="preserve"> vignette condition and therefore the operational definition of DISC. The manipulation is not a generic “privacy notice”: it states the tracking basis, the opt-out of data sharing, and the retention/deletion terms, so that H3 tests a legally realistic disclosure rather than an arbitrary one, and H7b moderates on a statutorily grounded carrier. The same three provisions define the compliance target of the Study 2 artifact’s Disclosure Optimizer.</w:t>
      </w:r>
    </w:p>
    <w:bookmarkEnd w:id="46"/>
    <w:bookmarkStart w:id="47" w:name="b.4-sanctions"/>
    <w:p>
      <w:pPr>
        <w:pStyle w:val="Heading2"/>
      </w:pPr>
      <w:r>
        <w:t xml:space="preserve">B.4 Sanctions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GDPR (EU)</w:t>
            </w:r>
          </w:p>
        </w:tc>
        <w:tc>
          <w:tcPr/>
          <w:p>
            <w:pPr>
              <w:pStyle w:val="Compact"/>
              <w:jc w:val="left"/>
            </w:pPr>
            <w:r>
              <w:rPr>
                <w:bCs/>
                <w:b/>
              </w:rPr>
              <w:t xml:space="preserve">PDP Law 2025</w:t>
            </w:r>
          </w:p>
        </w:tc>
      </w:tr>
      <w:tr>
        <w:tc>
          <w:tcPr/>
          <w:p>
            <w:pPr>
              <w:pStyle w:val="Compact"/>
              <w:jc w:val="left"/>
            </w:pPr>
            <w:r>
              <w:rPr>
                <w:bCs/>
                <w:b/>
              </w:rPr>
              <w:t xml:space="preserve">General cap</w:t>
            </w:r>
          </w:p>
        </w:tc>
        <w:tc>
          <w:tcPr/>
          <w:p>
            <w:pPr>
              <w:pStyle w:val="Compact"/>
              <w:jc w:val="left"/>
            </w:pPr>
            <w:r>
              <w:t xml:space="preserve">Art. 83: up to 4% of global turnover or €20 million.</w:t>
            </w:r>
          </w:p>
        </w:tc>
        <w:tc>
          <w:tcPr/>
          <w:p>
            <w:pPr>
              <w:pStyle w:val="Compact"/>
              <w:jc w:val="left"/>
            </w:pPr>
            <w:r>
              <w:t xml:space="preserve">Art. 8(5): up to VND 3 billion.</w:t>
            </w:r>
          </w:p>
        </w:tc>
      </w:tr>
      <w:tr>
        <w:tc>
          <w:tcPr/>
          <w:p>
            <w:pPr>
              <w:pStyle w:val="Compact"/>
              <w:jc w:val="left"/>
            </w:pPr>
            <w:r>
              <w:rPr>
                <w:bCs/>
                <w:b/>
              </w:rPr>
              <w:t xml:space="preserve">Data trading</w:t>
            </w:r>
          </w:p>
        </w:tc>
        <w:tc>
          <w:tcPr/>
          <w:p>
            <w:pPr>
              <w:pStyle w:val="Compact"/>
              <w:jc w:val="left"/>
            </w:pPr>
            <w:r>
              <w:t xml:space="preserve">General cap applies.</w:t>
            </w:r>
          </w:p>
        </w:tc>
        <w:tc>
          <w:tcPr/>
          <w:p>
            <w:pPr>
              <w:pStyle w:val="Compact"/>
              <w:jc w:val="left"/>
            </w:pPr>
            <w:r>
              <w:t xml:space="preserve">Art. 8(3): up to 10× the illicit gains — with no percentage ceiling, potentially harsher than the GDPR in high-profit violations.</w:t>
            </w:r>
          </w:p>
        </w:tc>
      </w:tr>
      <w:tr>
        <w:tc>
          <w:tcPr/>
          <w:p>
            <w:pPr>
              <w:pStyle w:val="Compact"/>
              <w:jc w:val="left"/>
            </w:pPr>
            <w:r>
              <w:rPr>
                <w:bCs/>
                <w:b/>
              </w:rPr>
              <w:t xml:space="preserve">Unlawful cross-border transfer</w:t>
            </w:r>
          </w:p>
        </w:tc>
        <w:tc>
          <w:tcPr/>
          <w:p>
            <w:pPr>
              <w:pStyle w:val="Compact"/>
              <w:jc w:val="left"/>
            </w:pPr>
            <w:r>
              <w:t xml:space="preserve">General cap applies.</w:t>
            </w:r>
          </w:p>
        </w:tc>
        <w:tc>
          <w:tcPr/>
          <w:p>
            <w:pPr>
              <w:pStyle w:val="Compact"/>
              <w:jc w:val="left"/>
            </w:pPr>
            <w:r>
              <w:t xml:space="preserve">Art. 8(4): 5% of the preceding year’s revenue.</w:t>
            </w:r>
          </w:p>
        </w:tc>
      </w:tr>
      <w:tr>
        <w:tc>
          <w:tcPr/>
          <w:p>
            <w:pPr>
              <w:pStyle w:val="Compact"/>
              <w:jc w:val="left"/>
            </w:pPr>
            <w:r>
              <w:rPr>
                <w:bCs/>
                <w:b/>
              </w:rPr>
              <w:t xml:space="preserve">Absolute prohibitions</w:t>
            </w:r>
          </w:p>
        </w:tc>
        <w:tc>
          <w:tcPr/>
          <w:p>
            <w:pPr>
              <w:pStyle w:val="Compact"/>
              <w:jc w:val="left"/>
            </w:pPr>
            <w:r>
              <w:t xml:space="preserve">No equivalent list.</w:t>
            </w:r>
          </w:p>
        </w:tc>
        <w:tc>
          <w:tcPr/>
          <w:p>
            <w:pPr>
              <w:pStyle w:val="Compact"/>
              <w:jc w:val="left"/>
            </w:pPr>
            <w:r>
              <w:t xml:space="preserve">Art. 7(6): outright prohibition on buying and selling personal data, save where other laws provide.</w:t>
            </w:r>
          </w:p>
        </w:tc>
      </w:tr>
    </w:tbl>
    <w:p>
      <w:pPr>
        <w:pStyle w:val="BodyText"/>
      </w:pPr>
      <w:r>
        <w:t xml:space="preserve">Table 2d. Sanction ceilings and absolute prohibitions.</w:t>
      </w:r>
    </w:p>
    <w:bookmarkEnd w:id="47"/>
    <w:bookmarkStart w:id="52" w:name="b.5-identified-institutional-gaps"/>
    <w:p>
      <w:pPr>
        <w:pStyle w:val="Heading2"/>
      </w:pPr>
      <w:r>
        <w:t xml:space="preserve">B.5 Identified Institutional Gaps</w:t>
      </w:r>
    </w:p>
    <w:bookmarkStart w:id="48" w:name="X8fd76643492c24c0285f5e920f183dd596dc931"/>
    <w:p>
      <w:pPr>
        <w:pStyle w:val="Heading3"/>
      </w:pPr>
      <w:r>
        <w:t xml:space="preserve">Gap 1 — “High Entry Formality, Low Exit Control, Low Algorithmic Transparency”</w:t>
      </w:r>
    </w:p>
    <w:p>
      <w:pPr>
        <w:pStyle w:val="FirstParagraph"/>
      </w:pPr>
      <w:r>
        <w:rPr>
          <w:bCs/>
          <w:b/>
        </w:rPr>
        <w:t xml:space="preserve">High Entry Formality.</w:t>
      </w:r>
      <w:r>
        <w:t xml:space="preserve"> At initial collection, Law 91/2025/QH15 erects a control barrier equivalent to international best practice: Art. 9 requires consent that is voluntary, express, highly verifiable, separated per processing purpose (per-purpose consent), and protected against bundled coercion (anti-bundling).</w:t>
      </w:r>
    </w:p>
    <w:p>
      <w:pPr>
        <w:pStyle w:val="BodyText"/>
      </w:pPr>
      <w:r>
        <w:rPr>
          <w:bCs/>
          <w:b/>
        </w:rPr>
        <w:t xml:space="preserve">Low Exit Control.</w:t>
      </w:r>
      <w:r>
        <w:t xml:space="preserve"> In contrast to the GDPR’s unconditional, friction-free withdrawal (Art. 7(3)), the Vietnamese regime conditions and proceduralizes exit. Art. 10(1) permits withdrawal or processing-restriction requests only when the subject has grounds to doubt the scope, purpose, or accuracy of processing — not as an unconditional right — and Art. 10(2) requires written or verifiable form, raising procedural friction and transaction costs. This can undermine the timeliness and efficacy of withdrawal in real-time data interactions such as live personalization.</w:t>
      </w:r>
    </w:p>
    <w:p>
      <w:pPr>
        <w:pStyle w:val="BodyText"/>
      </w:pPr>
      <w:r>
        <w:rPr>
          <w:bCs/>
          <w:b/>
        </w:rPr>
        <w:t xml:space="preserve">Low Algorithmic Transparency.</w:t>
      </w:r>
      <w:r>
        <w:t xml:space="preserve"> The statute leaves the “right to explanation” — the GDPR’s core safeguard against automated decisions (Arts. 13(2)(f), 22) — entirely open. Art. 30(4) stops at risk-based classification of AI systems, and Art. 28(3) mandates disclosure only of surface-level display parameters, without structuring any duty to account for the underlying inferential logic of personalization models.</w:t>
      </w:r>
    </w:p>
    <w:bookmarkEnd w:id="48"/>
    <w:bookmarkStart w:id="49" w:name="X51cc5a26e09e2b54f793bd2a99766f99b28516a"/>
    <w:p>
      <w:pPr>
        <w:pStyle w:val="Heading3"/>
      </w:pPr>
      <w:r>
        <w:t xml:space="preserve">Gap 2 — Supply-side disclosure vs. demand-side awareness</w:t>
      </w:r>
    </w:p>
    <w:p>
      <w:pPr>
        <w:pStyle w:val="FirstParagraph"/>
      </w:pPr>
      <w:r>
        <w:t xml:space="preserve">All four reference frames — GDPR, PDP Law 2025, SDG 16, and GRI 418 — are supply-side instruments: they measure whether organizations or states disclose lawfully. None measures the degree to which consumers actually know and understand their statutory rights (demand-side cognitive awareness). This is the theoretical vacancy the </w:t>
      </w:r>
      <w:r>
        <w:rPr>
          <w:bCs/>
          <w:b/>
        </w:rPr>
        <w:t xml:space="preserve">PDPL Awareness</w:t>
      </w:r>
      <w:r>
        <w:t xml:space="preserve"> construct fills: it measures not institutional compliance but individual awareness of the law’s existence and content, and then deploys that awareness as the moderator in H7a of the intrusiveness → trust relationship.</w:t>
      </w:r>
    </w:p>
    <w:bookmarkEnd w:id="49"/>
    <w:bookmarkStart w:id="50" w:name="Xe2114affcfcb9f27e96eb4ecfcf6360f8c940d6"/>
    <w:p>
      <w:pPr>
        <w:pStyle w:val="Heading3"/>
      </w:pPr>
      <w:r>
        <w:t xml:space="preserve">Gap 3 — Soft law (SDG 16) vs. hard law (PDP Law 2025)</w:t>
      </w:r>
    </w:p>
    <w:p>
      <w:pPr>
        <w:pStyle w:val="FirstParagraph"/>
      </w:pPr>
      <w:r>
        <w:t xml:space="preserve">SDG 16.6/16.10 supply the normative justification for why transparency matters at the macro level but provide no micro-level (individual/transactional) measurement mechanism. The study accordingly uses SDG 16 to justify the societal significance of the research (Governance-ESG contribution), while PDP Law 2025 supplies the concrete legal basis for the measurement scale. SDG 16 is never a measurement basis (see §C.6, OD-5).</w:t>
      </w:r>
    </w:p>
    <w:bookmarkEnd w:id="50"/>
    <w:bookmarkStart w:id="51" w:name="Xc6fc69b94e0778805bc27b394979a3259d64de6"/>
    <w:p>
      <w:pPr>
        <w:pStyle w:val="Heading3"/>
      </w:pPr>
      <w:r>
        <w:t xml:space="preserve">Gap 4 — Punitive asymmetry: severe sanctions without independent oversight</w:t>
      </w:r>
    </w:p>
    <w:p>
      <w:pPr>
        <w:pStyle w:val="FirstParagraph"/>
      </w:pPr>
      <w:r>
        <w:t xml:space="preserve">On paper, sanctions for data trading (Art. 8(3): 10× illicit gains, no ceiling) can exceed GDPR severity (Art. 83: 4% cap) in large-profit violations, and cross-border penalties (Art. 8(4): 5% of prior-year revenue) are substantial. Yet enforcement (Arts. 33, 36) is concentrated entirely in the Ministry of Public Security, with no independent DPA analogous to the EDPB — the same body both administers the regime and adjudicates complaints, unlike the EU’s separated oversight model. This “high-deterrence sanctions, centralized supervision” structure implies that de facto enforcement salience may diverge markedly from de jure severity — explaining why consumer PDPL Awareness can remain low even though statutory penalties are very high, and grounding the de jure carrier’s expected weakness in H7a (§A.5.1).</w:t>
      </w:r>
    </w:p>
    <w:bookmarkEnd w:id="51"/>
    <w:bookmarkEnd w:id="52"/>
    <w:bookmarkStart w:id="53" w:name="Xa50060a49db2f2bac867ddfae4c1dfcb935e56f"/>
    <w:p>
      <w:pPr>
        <w:pStyle w:val="Heading2"/>
      </w:pPr>
      <w:r>
        <w:t xml:space="preserve">B.6 Novelty Statements (Locked Wording for the Manuscript)</w:t>
      </w:r>
    </w:p>
    <w:p>
      <w:pPr>
        <w:pStyle w:val="FirstParagraph"/>
      </w:pPr>
      <w:r>
        <w:rPr>
          <w:bCs/>
          <w:b/>
        </w:rPr>
        <w:t xml:space="preserve">Institutional novelty (Gaps 1 &amp; 4).</w:t>
      </w:r>
      <w:r>
        <w:t xml:space="preserve"> Law 91/2025/QH15 produces a distinctive institutional configuration: High Entry Formality, Low Exit Control, Low Algorithmic Transparency — coupled with sanctions that are on paper harsher than the GDPR for data trading (10× illicit gains, uncapped) but supervised by a single centralized authority without an independent DPA. This “high-deterrence / centralized-supervision / low-algorithmic-transparency” structure generates a new institutional hypothesis: Vietnamese consumers’ PDPL Awareness may be low even though statutory penalties are very high — a de jure severity vs. de facto salience paradox not yet empirically tested in an emerging market.</w:t>
      </w:r>
    </w:p>
    <w:p>
      <w:pPr>
        <w:pStyle w:val="BodyText"/>
      </w:pPr>
      <w:r>
        <w:rPr>
          <w:bCs/>
          <w:b/>
        </w:rPr>
        <w:t xml:space="preserve">Theoretical novelty (Gap 2): from supply-side disclosure to demand-side awareness.</w:t>
      </w:r>
      <w:r>
        <w:t xml:space="preserve"> The comparative legal analysis shows that all four existing reference frames measure supply-side compliance; none measures demand-side cognitive awareness. PDPL Awareness fills this gap: it captures individual awareness of the existence and content of Law 91/2025/QH15 and uses that awareness as a moderating variable (H7a) in the intrusiveness → trust relationship. Because the law took effect on 1 January 2026, the construct measures an entirely new institutional phenomenon — untested in any prior omnichannel study.</w:t>
      </w:r>
    </w:p>
    <w:p>
      <w:pPr>
        <w:pStyle w:val="BodyText"/>
      </w:pPr>
      <w:r>
        <w:rPr>
          <w:bCs/>
          <w:b/>
        </w:rPr>
        <w:t xml:space="preserve">[Third statement — status pending, see OD-9.]</w:t>
      </w:r>
      <w:r>
        <w:t xml:space="preserve"> The v2.0 third novelty statement (“Novelty extension admitted by v2.0, Gaps 1, 2 &amp; 4 jointly”) claimed that the study tests whether de jure awareness is behaviourally inert </w:t>
      </w:r>
      <w:r>
        <w:rPr>
          <w:iCs/>
          <w:i/>
        </w:rPr>
        <w:t xml:space="preserve">unless</w:t>
      </w:r>
      <w:r>
        <w:t xml:space="preserve"> the firm supplies a de facto instantiation of it. That claim rested entirely on the moderated-moderation specification withdrawn by Amendment A-8 and </w:t>
      </w:r>
      <w:r>
        <w:rPr>
          <w:bCs/>
          <w:b/>
        </w:rPr>
        <w:t xml:space="preserve">cannot be carried forward unchanged</w:t>
      </w:r>
      <w:r>
        <w:t xml:space="preserve"> — the design no longer estimates a term capable of testing it. Two options are open and the choice is Khải’s; until it is made, this paragraph is </w:t>
      </w:r>
      <w:r>
        <w:rPr>
          <w:bCs/>
          <w:b/>
        </w:rPr>
        <w:t xml:space="preserve">not to be circulated in any draft</w:t>
      </w:r>
      <w:r>
        <w:t xml:space="preserve">:</w:t>
      </w:r>
    </w:p>
    <w:p>
      <w:pPr>
        <w:numPr>
          <w:ilvl w:val="0"/>
          <w:numId w:val="1008"/>
        </w:numPr>
      </w:pPr>
      <w:r>
        <w:rPr>
          <w:bCs/>
          <w:b/>
        </w:rPr>
        <w:t xml:space="preserve">Option (a) — withdraw.</w:t>
      </w:r>
      <w:r>
        <w:t xml:space="preserve"> Rely on the two statements above for &gt; novelty. Safest; claims nothing the data cannot deliver.</w:t>
      </w:r>
    </w:p>
    <w:p>
      <w:pPr>
        <w:numPr>
          <w:ilvl w:val="0"/>
          <w:numId w:val="1008"/>
        </w:numPr>
      </w:pPr>
      <w:r>
        <w:rPr>
          <w:bCs/>
          <w:b/>
        </w:rPr>
        <w:t xml:space="preserve">Option (b) — replace.</w:t>
      </w:r>
      <w:r>
        <w:t xml:space="preserve"> “Because H7a and H7b are estimated &gt; jointly with each carrier held constant for the other, the study &gt; additionally tests the relative behavioural leverage of &gt; institutional awareness versus firm-level disclosure as &gt; independent buffers of intrusiveness-driven trust erosion — &gt; answering which lever, legal-awareness campaigns or &gt; interface-level disclosure design, has the larger buffering &gt; effect.” Preserves a Gap-2-adjacent extension without resting on &gt; an unobservable conjunctive mechanism.</w:t>
      </w:r>
    </w:p>
    <w:p>
      <w:pPr>
        <w:pStyle w:val="FirstParagraph"/>
      </w:pPr>
      <w:r>
        <w:rPr>
          <w:iCs/>
          <w:i/>
        </w:rPr>
        <w:t xml:space="preserve">Framing guardrail.</w:t>
      </w:r>
      <w:r>
        <w:t xml:space="preserve"> Novelty claims must remain within the two locked statements above (plus whichever third statement is ratified) and the SDG 12 artifact junction (§A.7). Do not extend novelty claims to the SOR structure or the relevance–intrusiveness duality per se, both of which are established; over-claiming is a desk-rejection risk at ECR&amp;A/CHB.</w:t>
      </w:r>
    </w:p>
    <w:bookmarkEnd w:id="53"/>
    <w:bookmarkEnd w:id="54"/>
    <w:bookmarkStart w:id="63" w:name="Xae001ba6cca9096eb0ec4a8830153992a047c1a"/>
    <w:p>
      <w:pPr>
        <w:pStyle w:val="Heading1"/>
      </w:pPr>
      <w:r>
        <w:t xml:space="preserve">Part C. Implications for Hypotheses and Study Design</w:t>
      </w:r>
    </w:p>
    <w:bookmarkStart w:id="56" w:name="X809029a2c5049377dceda4076078a92c435a6b9"/>
    <w:p>
      <w:pPr>
        <w:pStyle w:val="Heading2"/>
      </w:pPr>
      <w:r>
        <w:t xml:space="preserve">C.1 Hypothesis Map (Locked Specification, Planning-Aligned)</w:t>
      </w:r>
    </w:p>
    <w:p>
      <w:pPr>
        <w:pStyle w:val="FirstParagraph"/>
      </w:pPr>
      <w:r>
        <w:t xml:space="preserve">Table 3 is the authoritative hypothesis register. The numbering reproduces the approved </w:t>
      </w:r>
      <w:r>
        <w:rPr>
          <w:iCs/>
          <w:i/>
        </w:rPr>
        <w:t xml:space="preserve">Project Outline and Planning</w:t>
      </w:r>
      <w:r>
        <w:t xml:space="preserve"> document; the “planning confidence” column reproduces that document’s own a priori confidence rating, which is retained because it governs how each result is framed in the Discussion (high-confidence nulls are more damaging to the model than moderate-confidence nulls).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Theoretical rationale (anchor)</w:t>
            </w:r>
          </w:p>
        </w:tc>
        <w:tc>
          <w:tcPr/>
          <w:p>
            <w:pPr>
              <w:pStyle w:val="Compact"/>
              <w:jc w:val="left"/>
            </w:pPr>
            <w:r>
              <w:rPr>
                <w:bCs/>
                <w:b/>
              </w:rPr>
              <w:t xml:space="preserve">Planning confidence</w:t>
            </w:r>
          </w:p>
        </w:tc>
      </w:tr>
      <w:tr>
        <w:tc>
          <w:tcPr/>
          <w:p>
            <w:pPr>
              <w:pStyle w:val="Compact"/>
              <w:jc w:val="left"/>
            </w:pPr>
            <w:r>
              <w:rPr>
                <w:bCs/>
                <w:b/>
              </w:rPr>
              <w:t xml:space="preserve">H1</w:t>
            </w:r>
          </w:p>
        </w:tc>
        <w:tc>
          <w:tcPr/>
          <w:p>
            <w:pPr>
              <w:pStyle w:val="Compact"/>
              <w:jc w:val="left"/>
            </w:pPr>
            <w:r>
              <w:t xml:space="preserve">AIP → REL (+)</w:t>
            </w:r>
          </w:p>
        </w:tc>
        <w:tc>
          <w:tcPr/>
          <w:p>
            <w:pPr>
              <w:pStyle w:val="Compact"/>
              <w:jc w:val="left"/>
            </w:pPr>
            <w:r>
              <w:t xml:space="preserve">Higher personalization intensity increases the benefit term of the privacy calculus: better-matched content raises perceived relevance (Dinev &amp; Hart, 2006; SOR stimulus–organism link).</w:t>
            </w:r>
          </w:p>
        </w:tc>
        <w:tc>
          <w:tcPr/>
          <w:p>
            <w:pPr>
              <w:pStyle w:val="Compact"/>
              <w:jc w:val="left"/>
            </w:pPr>
            <w:r>
              <w:t xml:space="preserve">High</w:t>
            </w:r>
          </w:p>
        </w:tc>
      </w:tr>
      <w:tr>
        <w:tc>
          <w:tcPr/>
          <w:p>
            <w:pPr>
              <w:pStyle w:val="Compact"/>
              <w:jc w:val="left"/>
            </w:pPr>
            <w:r>
              <w:rPr>
                <w:bCs/>
                <w:b/>
              </w:rPr>
              <w:t xml:space="preserve">H2</w:t>
            </w:r>
          </w:p>
        </w:tc>
        <w:tc>
          <w:tcPr/>
          <w:p>
            <w:pPr>
              <w:pStyle w:val="Compact"/>
              <w:jc w:val="left"/>
            </w:pPr>
            <w:r>
              <w:t xml:space="preserve">AIP → INT (+)</w:t>
            </w:r>
          </w:p>
        </w:tc>
        <w:tc>
          <w:tcPr/>
          <w:p>
            <w:pPr>
              <w:pStyle w:val="Compact"/>
              <w:jc w:val="left"/>
            </w:pPr>
            <w:r>
              <w:t xml:space="preserve">The same intensity raises the risk term: deeper profiling and cross-channel tracking heighten felt boundary violation (personalization–privacy paradox).</w:t>
            </w:r>
          </w:p>
        </w:tc>
        <w:tc>
          <w:tcPr/>
          <w:p>
            <w:pPr>
              <w:pStyle w:val="Compact"/>
              <w:jc w:val="left"/>
            </w:pPr>
            <w:r>
              <w:t xml:space="preserve">High</w:t>
            </w:r>
          </w:p>
        </w:tc>
      </w:tr>
      <w:tr>
        <w:tc>
          <w:tcPr/>
          <w:p>
            <w:pPr>
              <w:pStyle w:val="Compact"/>
              <w:jc w:val="left"/>
            </w:pPr>
            <w:r>
              <w:rPr>
                <w:bCs/>
                <w:b/>
              </w:rPr>
              <w:t xml:space="preserve">H3</w:t>
            </w:r>
          </w:p>
        </w:tc>
        <w:tc>
          <w:tcPr/>
          <w:p>
            <w:pPr>
              <w:pStyle w:val="Compact"/>
              <w:jc w:val="left"/>
            </w:pPr>
            <w:r>
              <w:t xml:space="preserve">DISC (With Disclosure) → INT (−)</w:t>
            </w:r>
          </w:p>
        </w:tc>
        <w:tc>
          <w:tcPr/>
          <w:p>
            <w:pPr>
              <w:pStyle w:val="Compact"/>
              <w:jc w:val="left"/>
            </w:pPr>
            <w:r>
              <w:t xml:space="preserve">Explicit disclosure converts covert profiling into a declared, consented exchange, restoring situational normality (McKnight et al., 2002) and reducing felt boundary violation at constant personalization intensity. Statutory content of the manipulation: Arts. 28(8)(a)–(b), 28(5), 29. </w:t>
            </w:r>
            <w:r>
              <w:rPr>
                <w:bCs/>
                <w:b/>
              </w:rPr>
              <w:t xml:space="preserve">Sole confirmatory test: the Disclosure main effect in the Study 1 two-way ANOVA on INT.</w:t>
            </w:r>
            <w:r>
              <w:t xml:space="preserve"> The DISC → INT path in the SEM is a specification requirement only (A-5) and is never reported as a second test of H3.</w:t>
            </w:r>
          </w:p>
        </w:tc>
        <w:tc>
          <w:tcPr/>
          <w:p>
            <w:pPr>
              <w:pStyle w:val="Compact"/>
              <w:jc w:val="left"/>
            </w:pPr>
            <w:r>
              <w:t xml:space="preserve">Moderate</w:t>
            </w:r>
          </w:p>
        </w:tc>
      </w:tr>
      <w:tr>
        <w:tc>
          <w:tcPr/>
          <w:p>
            <w:pPr>
              <w:pStyle w:val="Compact"/>
              <w:jc w:val="left"/>
            </w:pPr>
            <w:r>
              <w:rPr>
                <w:bCs/>
                <w:b/>
              </w:rPr>
              <w:t xml:space="preserve">H4</w:t>
            </w:r>
          </w:p>
        </w:tc>
        <w:tc>
          <w:tcPr/>
          <w:p>
            <w:pPr>
              <w:pStyle w:val="Compact"/>
              <w:jc w:val="left"/>
            </w:pPr>
            <w:r>
              <w:t xml:space="preserve">REL → TRU (+)</w:t>
            </w:r>
          </w:p>
        </w:tc>
        <w:tc>
          <w:tcPr/>
          <w:p>
            <w:pPr>
              <w:pStyle w:val="Compact"/>
              <w:jc w:val="left"/>
            </w:pPr>
            <w:r>
              <w:t xml:space="preserve">Relevance signals competence — one of McKnight et al.’s four trusting-belief components — and, by evidencing customer-centricity, benevolence; both strengthen cognitive and affective trust.</w:t>
            </w:r>
          </w:p>
        </w:tc>
        <w:tc>
          <w:tcPr/>
          <w:p>
            <w:pPr>
              <w:pStyle w:val="Compact"/>
              <w:jc w:val="left"/>
            </w:pPr>
            <w:r>
              <w:t xml:space="preserve">High</w:t>
            </w:r>
          </w:p>
        </w:tc>
      </w:tr>
      <w:tr>
        <w:tc>
          <w:tcPr/>
          <w:p>
            <w:pPr>
              <w:pStyle w:val="Compact"/>
              <w:jc w:val="left"/>
            </w:pPr>
            <w:r>
              <w:rPr>
                <w:bCs/>
                <w:b/>
              </w:rPr>
              <w:t xml:space="preserve">H5</w:t>
            </w:r>
          </w:p>
        </w:tc>
        <w:tc>
          <w:tcPr/>
          <w:p>
            <w:pPr>
              <w:pStyle w:val="Compact"/>
              <w:jc w:val="left"/>
            </w:pPr>
            <w:r>
              <w:t xml:space="preserve">REL → ENG (+)</w:t>
            </w:r>
          </w:p>
        </w:tc>
        <w:tc>
          <w:tcPr/>
          <w:p>
            <w:pPr>
              <w:pStyle w:val="Compact"/>
              <w:jc w:val="left"/>
            </w:pPr>
            <w:r>
              <w:t xml:space="preserve">Relevant content constitutes the interactive, value-co-creating experience from which engagement arises (Brodie et al., 2011, FP1).</w:t>
            </w:r>
          </w:p>
        </w:tc>
        <w:tc>
          <w:tcPr/>
          <w:p>
            <w:pPr>
              <w:pStyle w:val="Compact"/>
              <w:jc w:val="left"/>
            </w:pPr>
            <w:r>
              <w:t xml:space="preserve">High</w:t>
            </w:r>
          </w:p>
        </w:tc>
      </w:tr>
      <w:tr>
        <w:tc>
          <w:tcPr/>
          <w:p>
            <w:pPr>
              <w:pStyle w:val="Compact"/>
              <w:jc w:val="left"/>
            </w:pPr>
            <w:r>
              <w:rPr>
                <w:bCs/>
                <w:b/>
              </w:rPr>
              <w:t xml:space="preserve">H6a</w:t>
            </w:r>
          </w:p>
        </w:tc>
        <w:tc>
          <w:tcPr/>
          <w:p>
            <w:pPr>
              <w:pStyle w:val="Compact"/>
              <w:jc w:val="left"/>
            </w:pPr>
            <w:r>
              <w:t xml:space="preserve">INT → TRU (−)</w:t>
            </w:r>
          </w:p>
        </w:tc>
        <w:tc>
          <w:tcPr/>
          <w:p>
            <w:pPr>
              <w:pStyle w:val="Compact"/>
              <w:jc w:val="left"/>
            </w:pPr>
            <w:r>
              <w:t xml:space="preserve">Intrusiveness damages perceived benevolence (“data extraction over my welfare”) and integrity (“practices are not honest”) and undermines situational normality; strongest-driver evidence from Bart et al. (2005).</w:t>
            </w:r>
          </w:p>
        </w:tc>
        <w:tc>
          <w:tcPr/>
          <w:p>
            <w:pPr>
              <w:pStyle w:val="Compact"/>
              <w:jc w:val="left"/>
            </w:pPr>
            <w:r>
              <w:t xml:space="preserve">High</w:t>
            </w:r>
          </w:p>
        </w:tc>
      </w:tr>
      <w:tr>
        <w:tc>
          <w:tcPr/>
          <w:p>
            <w:pPr>
              <w:pStyle w:val="Compact"/>
              <w:jc w:val="left"/>
            </w:pPr>
            <w:r>
              <w:rPr>
                <w:bCs/>
                <w:b/>
              </w:rPr>
              <w:t xml:space="preserve">H6b</w:t>
            </w:r>
          </w:p>
        </w:tc>
        <w:tc>
          <w:tcPr/>
          <w:p>
            <w:pPr>
              <w:pStyle w:val="Compact"/>
              <w:jc w:val="left"/>
            </w:pPr>
            <w:r>
              <w:t xml:space="preserve">INT → ENG (−)</w:t>
            </w:r>
          </w:p>
        </w:tc>
        <w:tc>
          <w:tcPr/>
          <w:p>
            <w:pPr>
              <w:pStyle w:val="Compact"/>
              <w:jc w:val="left"/>
            </w:pPr>
            <w:r>
              <w:t xml:space="preserve">Felt surveillance suppresses the absorption and enthusiasm dimensions of engagement (Brodie et al., 2011, FP4); reactance-based withdrawal from the engagement object.</w:t>
            </w:r>
          </w:p>
        </w:tc>
        <w:tc>
          <w:tcPr/>
          <w:p>
            <w:pPr>
              <w:pStyle w:val="Compact"/>
              <w:jc w:val="left"/>
            </w:pPr>
            <w:r>
              <w:t xml:space="preserve">High</w:t>
            </w:r>
          </w:p>
        </w:tc>
      </w:tr>
      <w:tr>
        <w:tc>
          <w:tcPr/>
          <w:p>
            <w:pPr>
              <w:pStyle w:val="Compact"/>
              <w:jc w:val="left"/>
            </w:pPr>
            <w:r>
              <w:rPr>
                <w:bCs/>
                <w:b/>
              </w:rPr>
              <w:t xml:space="preserve">H6c</w:t>
            </w:r>
          </w:p>
        </w:tc>
        <w:tc>
          <w:tcPr/>
          <w:p>
            <w:pPr>
              <w:pStyle w:val="Compact"/>
              <w:jc w:val="left"/>
            </w:pPr>
            <w:r>
              <w:t xml:space="preserve">INT → PI (−)</w:t>
            </w:r>
          </w:p>
        </w:tc>
        <w:tc>
          <w:tcPr/>
          <w:p>
            <w:pPr>
              <w:pStyle w:val="Compact"/>
              <w:jc w:val="left"/>
            </w:pPr>
            <w:r>
              <w:t xml:space="preserve">Residual direct cost effect: intrusiveness is converted into decision-proximal transaction risk that suppresses intention at the point of choice, independently of trust (Pavlou, 2003; Featherman &amp; Pavlou, 2003). Restored as a hypothesis by A-1; estimating it alongside the trust and engagement routes permits a formal decomposition of direct versus indirect effects.</w:t>
            </w:r>
          </w:p>
        </w:tc>
        <w:tc>
          <w:tcPr/>
          <w:p>
            <w:pPr>
              <w:pStyle w:val="Compact"/>
              <w:jc w:val="left"/>
            </w:pPr>
            <w:r>
              <w:t xml:space="preserve">High</w:t>
            </w:r>
          </w:p>
        </w:tc>
      </w:tr>
      <w:tr>
        <w:tc>
          <w:tcPr/>
          <w:p>
            <w:pPr>
              <w:pStyle w:val="Compact"/>
              <w:jc w:val="left"/>
            </w:pPr>
            <w:r>
              <w:rPr>
                <w:bCs/>
                <w:b/>
              </w:rPr>
              <w:t xml:space="preserve">H7a</w:t>
            </w:r>
          </w:p>
        </w:tc>
        <w:tc>
          <w:tcPr/>
          <w:p>
            <w:pPr>
              <w:pStyle w:val="Compact"/>
              <w:jc w:val="left"/>
            </w:pPr>
            <w:r>
              <w:t xml:space="preserve">PDPL Awareness × INT → mod(INT → TRU) </w:t>
            </w:r>
            <w:r>
              <w:rPr>
                <w:bCs/>
                <w:b/>
              </w:rPr>
              <w:t xml:space="preserve">Prediction: β_M1 &gt; 0</w:t>
            </w:r>
          </w:p>
        </w:tc>
        <w:tc>
          <w:tcPr/>
          <w:p>
            <w:pPr>
              <w:pStyle w:val="Compact"/>
              <w:jc w:val="left"/>
            </w:pPr>
            <w:r>
              <w:t xml:space="preserve">De jure structural assurance. Awareness that Law 91/2025/QH15 confers enforceable entitlements (Scott’s regulative pillar; McKnight et al.’s structural assurance) attenuates the erosive effect of intrusiveness on trust. Moderates the </w:t>
            </w:r>
            <w:r>
              <w:rPr>
                <w:bCs/>
                <w:b/>
              </w:rPr>
              <w:t xml:space="preserve">H6a path only</w:t>
            </w:r>
            <w:r>
              <w:t xml:space="preserve">. Full development in §A.5.1; estimation in §C.2.</w:t>
            </w:r>
          </w:p>
        </w:tc>
        <w:tc>
          <w:tcPr/>
          <w:p>
            <w:pPr>
              <w:pStyle w:val="Compact"/>
              <w:jc w:val="left"/>
            </w:pPr>
            <w:r>
              <w:t xml:space="preserve">Moderate</w:t>
            </w:r>
          </w:p>
        </w:tc>
      </w:tr>
      <w:tr>
        <w:tc>
          <w:tcPr/>
          <w:p>
            <w:pPr>
              <w:pStyle w:val="Compact"/>
              <w:jc w:val="left"/>
            </w:pPr>
            <w:r>
              <w:rPr>
                <w:bCs/>
                <w:b/>
              </w:rPr>
              <w:t xml:space="preserve">H7b</w:t>
            </w:r>
          </w:p>
        </w:tc>
        <w:tc>
          <w:tcPr/>
          <w:p>
            <w:pPr>
              <w:pStyle w:val="Compact"/>
              <w:jc w:val="left"/>
            </w:pPr>
            <w:r>
              <w:t xml:space="preserve">Disclosure Level × INT → mod(INT → TRU) </w:t>
            </w:r>
            <w:r>
              <w:rPr>
                <w:bCs/>
                <w:b/>
              </w:rPr>
              <w:t xml:space="preserve">Prediction: β_M2 &gt; 0</w:t>
            </w:r>
          </w:p>
        </w:tc>
        <w:tc>
          <w:tcPr/>
          <w:p>
            <w:pPr>
              <w:pStyle w:val="Compact"/>
              <w:jc w:val="left"/>
            </w:pPr>
            <w:r>
              <w:t xml:space="preserve">De facto structural assurance. Firm-level disclosure at the point of personalization (Arts. 28(8), 29) restores situational normality and signals integrity, attenuating the erosive effect of intrusiveness on trust. Moderates the </w:t>
            </w:r>
            <w:r>
              <w:rPr>
                <w:bCs/>
                <w:b/>
              </w:rPr>
              <w:t xml:space="preserve">H6a path only</w:t>
            </w:r>
            <w:r>
              <w:t xml:space="preserve">. Full development in §A.5.1; estimation in §C.2.</w:t>
            </w:r>
          </w:p>
        </w:tc>
        <w:tc>
          <w:tcPr/>
          <w:p>
            <w:pPr>
              <w:pStyle w:val="Compact"/>
            </w:pPr>
          </w:p>
        </w:tc>
      </w:tr>
    </w:tbl>
    <w:p>
      <w:pPr>
        <w:pStyle w:val="BodyText"/>
      </w:pPr>
      <w:r>
        <w:t xml:space="preserve">Table 3. Hypothesis register. Numbering is locked by governance rule 2 and may not be altered downstream. Amendment A-8 replaced the single H7 (three-way, β_M4) with H7a and H7b; </w:t>
      </w:r>
      <w:r>
        <w:rPr>
          <w:bCs/>
          <w:b/>
        </w:rPr>
        <w:t xml:space="preserve">β_M3 and β_M4 no longer exist</w:t>
      </w:r>
      <w:r>
        <w:t xml:space="preserve"> and any artefact still carrying them is a pre-v2.3 remnant.</w:t>
      </w:r>
    </w:p>
    <w:bookmarkStart w:id="55" w:name="Xd1de15d33e715a5c5a59b4cc62781314c1c9d70"/>
    <w:p>
      <w:pPr>
        <w:pStyle w:val="Heading3"/>
      </w:pPr>
      <w:r>
        <w:t xml:space="preserve">C.1.1 Established-Path Register (Estimated, Not Hypothesized)</w:t>
      </w:r>
    </w:p>
    <w:p>
      <w:pPr>
        <w:pStyle w:val="FirstParagraph"/>
      </w:pPr>
      <w:r>
        <w:t xml:space="preserve">Established paths are included in the structural model and reported with coefficients, but are justified by prior theory and excluded from all contribution claims. They are drawn as dotted arrows in every model figure and are cited by their E-labels in results tables, so that a demoted path cannot be silently re-promoted in a later draft.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Path</w:t>
            </w:r>
          </w:p>
        </w:tc>
        <w:tc>
          <w:tcPr/>
          <w:p>
            <w:pPr>
              <w:pStyle w:val="Compact"/>
              <w:jc w:val="left"/>
            </w:pPr>
            <w:r>
              <w:rPr>
                <w:bCs/>
                <w:b/>
              </w:rPr>
              <w:t xml:space="preserve">Basis and status</w:t>
            </w:r>
          </w:p>
        </w:tc>
      </w:tr>
      <w:tr>
        <w:tc>
          <w:tcPr/>
          <w:p>
            <w:pPr>
              <w:pStyle w:val="Compact"/>
              <w:jc w:val="left"/>
            </w:pPr>
            <w:r>
              <w:rPr>
                <w:bCs/>
                <w:b/>
              </w:rPr>
              <w:t xml:space="preserve">E1</w:t>
            </w:r>
          </w:p>
        </w:tc>
        <w:tc>
          <w:tcPr/>
          <w:p>
            <w:pPr>
              <w:pStyle w:val="Compact"/>
              <w:jc w:val="left"/>
            </w:pPr>
            <w:r>
              <w:t xml:space="preserve">TRU → ENG (+)</w:t>
            </w:r>
          </w:p>
        </w:tc>
        <w:tc>
          <w:tcPr/>
          <w:p>
            <w:pPr>
              <w:pStyle w:val="Compact"/>
              <w:jc w:val="left"/>
            </w:pPr>
            <w:r>
              <w:t xml:space="preserve">Brodie et al. (2011); Morgan &amp; Hunt (1994) — trust precedes and enables deep engagement within the relationship-marketing tradition. Completes the TRU → ENG → PI mediation chain. Reported as a structural coefficient only, never as a hypothesis-test row.</w:t>
            </w:r>
          </w:p>
        </w:tc>
      </w:tr>
      <w:tr>
        <w:tc>
          <w:tcPr/>
          <w:p>
            <w:pPr>
              <w:pStyle w:val="Compact"/>
              <w:jc w:val="left"/>
            </w:pPr>
            <w:r>
              <w:rPr>
                <w:bCs/>
                <w:b/>
              </w:rPr>
              <w:t xml:space="preserve">E2</w:t>
            </w:r>
          </w:p>
        </w:tc>
        <w:tc>
          <w:tcPr/>
          <w:p>
            <w:pPr>
              <w:pStyle w:val="Compact"/>
              <w:jc w:val="left"/>
            </w:pPr>
            <w:r>
              <w:t xml:space="preserve">ENG → PI (+)</w:t>
            </w:r>
          </w:p>
        </w:tc>
        <w:tc>
          <w:tcPr/>
          <w:p>
            <w:pPr>
              <w:pStyle w:val="Compact"/>
              <w:jc w:val="left"/>
            </w:pPr>
            <w:r>
              <w:t xml:space="preserve">Van Doorn et al. (2010); Brodie et al. (2011) — engagement behaviours, transactional and non-transactional alike, are direct antecedents of subsequent purchase outcomes. Closes the SOR chain. Reported as a structural coefficient only.</w:t>
            </w:r>
          </w:p>
        </w:tc>
      </w:tr>
    </w:tbl>
    <w:p>
      <w:pPr>
        <w:pStyle w:val="BodyText"/>
      </w:pPr>
      <w:r>
        <w:t xml:space="preserve">Table 4. Established-path register (E1, E2). Earlier drafts numbered these “H7a” and “H7(b)”; that numbering is withdrawn project-wide — note that </w:t>
      </w:r>
      <w:r>
        <w:rPr>
          <w:bCs/>
          <w:b/>
        </w:rPr>
        <w:t xml:space="preserve">H7a and H7b now denote the two moderation hypotheses of Table 3</w:t>
      </w:r>
      <w:r>
        <w:t xml:space="preserve"> and must never be confused with these established paths.</w:t>
      </w:r>
    </w:p>
    <w:p>
      <w:pPr>
        <w:pStyle w:val="BodyText"/>
      </w:pPr>
      <w:r>
        <w:t xml:space="preserve">Two further categories must not be confused with either hypotheses or established paths.</w:t>
      </w:r>
    </w:p>
    <w:p>
      <w:pPr>
        <w:numPr>
          <w:ilvl w:val="0"/>
          <w:numId w:val="1009"/>
        </w:numPr>
      </w:pPr>
      <w:r>
        <w:rPr>
          <w:bCs/>
          <w:b/>
        </w:rPr>
        <w:t xml:space="preserve">Specification terms.</w:t>
      </w:r>
      <w:r>
        <w:t xml:space="preserve"> The PDPL main effect, the DISC main effect &gt; on TRU, and the DISC → INT path in the SEM are estimated because &gt; an interaction is uninterpretable without its lower-order &gt; components (Aiken &amp; West, 1991). They carry no hypothesis, are &gt; reported in the structural-model table only, and are declared in a &gt; figure note rather than drawn as arrows. *Note the change under</w:t>
      </w:r>
      <w:r>
        <w:rPr>
          <w:bCs/>
          <w:b/>
        </w:rPr>
        <w:t xml:space="preserve"> </w:t>
      </w:r>
      <w:r>
        <w:t xml:space="preserve">&gt;</w:t>
      </w:r>
      <w:r>
        <w:rPr>
          <w:bCs/>
          <w:b/>
        </w:rPr>
        <w:t xml:space="preserve"> A-8:* the products INT × PDPL and INT × DISC are </w:t>
      </w:r>
      <w:r>
        <w:t xml:space="preserve">no longer &gt; specification terms** — they are now the hypothesis-bearing &gt; coefficients β_M1 and β_M2. The product PDPL × DISC is not &gt; estimated at all.</w:t>
      </w:r>
    </w:p>
    <w:p>
      <w:pPr>
        <w:numPr>
          <w:ilvl w:val="0"/>
          <w:numId w:val="1009"/>
        </w:numPr>
      </w:pPr>
      <w:r>
        <w:rPr>
          <w:bCs/>
          <w:b/>
        </w:rPr>
        <w:t xml:space="preserve">Competing-model robustness check.</w:t>
      </w:r>
      <w:r>
        <w:t xml:space="preserve"> TRU → PI is estimated in a &gt; separate competing-model run and reported in the Discussion. It is &gt; not in the main model, carries neither an H-number nor an E-label, &gt; and no contribution claim attaches to it (A-2).</w:t>
      </w:r>
    </w:p>
    <w:p>
      <w:pPr>
        <w:pStyle w:val="FirstParagraph"/>
      </w:pPr>
      <w:r>
        <w:rPr>
          <w:bCs/>
          <w:b/>
        </w:rPr>
        <w:t xml:space="preserve">Reporting-integrity rule.</w:t>
      </w:r>
      <w:r>
        <w:t xml:space="preserve"> All hypothesis results are reported — including non-significant H7a or H7b interactions. Null findings are interpreted (e.g., via the de jure/de facto salience paradox of Gap 4, which predicts precisely that de jure awareness may fail to bite) rather than dropped, and no hypothesis is removed from the register after the data are seen.</w:t>
      </w:r>
    </w:p>
    <w:bookmarkEnd w:id="55"/>
    <w:bookmarkEnd w:id="56"/>
    <w:bookmarkStart w:id="57" w:name="c.2-estimating-h7a-and-h7b"/>
    <w:p>
      <w:pPr>
        <w:pStyle w:val="Heading2"/>
      </w:pPr>
      <w:r>
        <w:t xml:space="preserve">C.2 Estimating H7a and H7b</w:t>
      </w:r>
    </w:p>
    <w:p>
      <w:pPr>
        <w:pStyle w:val="FirstParagraph"/>
      </w:pPr>
      <w:r>
        <w:rPr>
          <w:iCs/>
          <w:i/>
        </w:rPr>
        <w:t xml:space="preserve">This section replaces the v2.1/v2.2 moderated-moderation estimation</w:t>
      </w:r>
      <w:r>
        <w:rPr>
          <w:bCs/>
          <w:b/>
          <w:iCs/>
          <w:i/>
        </w:rPr>
        <w:t xml:space="preserve"> </w:t>
      </w:r>
      <w:r>
        <w:rPr>
          <w:iCs/>
          <w:i/>
        </w:rPr>
        <w:t xml:space="preserve">strategy in full (Amendment A-8). The PLS-MGA-primary /</w:t>
      </w:r>
      <w:r>
        <w:rPr>
          <w:bCs/>
          <w:b/>
          <w:iCs/>
          <w:i/>
        </w:rPr>
        <w:t xml:space="preserve"> </w:t>
      </w:r>
      <w:r>
        <w:rPr>
          <w:iCs/>
          <w:i/>
        </w:rPr>
        <w:t xml:space="preserve">three-way-confirmatory design specified there is withdrawn.</w:t>
      </w:r>
    </w:p>
    <w:p>
      <w:pPr>
        <w:pStyle w:val="BodyText"/>
      </w:pPr>
      <w:r>
        <w:t xml:space="preserve">H7a and H7b are two independent second-order interactions on the same outcome. They are estimated in a single pooled model:</w:t>
      </w:r>
    </w:p>
    <w:p>
      <w:pPr>
        <w:numPr>
          <w:ilvl w:val="0"/>
          <w:numId w:val="1010"/>
        </w:numPr>
      </w:pPr>
      <w:r>
        <w:rPr>
          <w:bCs/>
          <w:b/>
        </w:rPr>
        <w:t xml:space="preserve">Specification.</w:t>
      </w:r>
      <w:r>
        <w:t xml:space="preserve"> TRU is regressed on INT, PDPL, DISC, INT × PDPL &gt; and INT × DISC. Interaction terms are generated by the </w:t>
      </w:r>
      <w:r>
        <w:rPr>
          <w:bCs/>
          <w:b/>
        </w:rPr>
        <w:t xml:space="preserve">two-stage &gt; approach</w:t>
      </w:r>
      <w:r>
        <w:t xml:space="preserve"> (Becker et al., 2018), which is preferred to &gt; product-indicator methods and does not require the moderator to be &gt; reflectively measured — relevant because DISC is an observed &gt; dummy.</w:t>
      </w:r>
    </w:p>
    <w:p>
      <w:pPr>
        <w:numPr>
          <w:ilvl w:val="0"/>
          <w:numId w:val="1010"/>
        </w:numPr>
      </w:pPr>
      <w:r>
        <w:rPr>
          <w:bCs/>
          <w:b/>
        </w:rPr>
        <w:t xml:space="preserve">Reporting.</w:t>
      </w:r>
      <w:r>
        <w:t xml:space="preserve"> Report β_M1 (H7a) and β_M2 (H7b) separately, each &gt; with 10,000-resample bias-corrected accelerated bootstrap &gt; confidence intervals and an individual f². Do not report a joint &gt; test of the two; they are separate hypotheses with separate &gt; verdicts.</w:t>
      </w:r>
    </w:p>
    <w:p>
      <w:pPr>
        <w:numPr>
          <w:ilvl w:val="0"/>
          <w:numId w:val="1010"/>
        </w:numPr>
      </w:pPr>
      <w:r>
        <w:rPr>
          <w:bCs/>
          <w:b/>
        </w:rPr>
        <w:t xml:space="preserve">Interpretation — simple slopes.</w:t>
      </w:r>
      <w:r>
        <w:t xml:space="preserve"> Two two-line plots: the INT → &gt; TRU slope at PDPL ± 1 SD (H7a) and at DISC = 0 / 1 (H7b). H7a is &gt; supported when the slope is significantly less negative at high &gt; PDPL; H7b when it is significantly less negative under With &gt; Disclosure. The four-line, four-cell plot required by the &gt; withdrawn specification is not produced.</w:t>
      </w:r>
    </w:p>
    <w:p>
      <w:pPr>
        <w:numPr>
          <w:ilvl w:val="0"/>
          <w:numId w:val="1010"/>
        </w:numPr>
      </w:pPr>
      <w:r>
        <w:rPr>
          <w:bCs/>
          <w:b/>
        </w:rPr>
        <w:t xml:space="preserve">Relative-leverage comparison.</w:t>
      </w:r>
      <w:r>
        <w:t xml:space="preserve"> Because both terms are estimated &gt; with the other held constant, their standardized magnitudes are &gt; comparable. Report the comparison descriptively in the Discussion; &gt; do not present it as a formal hypothesis test unless a &gt; coefficient-difference test is pre-registered.</w:t>
      </w:r>
    </w:p>
    <w:p>
      <w:pPr>
        <w:numPr>
          <w:ilvl w:val="0"/>
          <w:numId w:val="1010"/>
        </w:numPr>
      </w:pPr>
      <w:r>
        <w:rPr>
          <w:bCs/>
          <w:b/>
        </w:rPr>
        <w:t xml:space="preserve">PLS-MGA and MICOM are no longer required for H7.</w:t>
      </w:r>
      <w:r>
        <w:t xml:space="preserve"> DISC is a &gt; pooled predictor and moderator inside one model, not a grouping &gt; variable for a between-group interaction contrast. If PLS-MGA is &gt; used elsewhere (e.g., a demographic robustness check), MICOM &gt; remains a prerequisite for that use.</w:t>
      </w:r>
    </w:p>
    <w:p>
      <w:pPr>
        <w:pStyle w:val="FirstParagraph"/>
      </w:pPr>
      <w:r>
        <w:rPr>
          <w:iCs/>
          <w:i/>
        </w:rPr>
        <w:t xml:space="preserve">Power.</w:t>
      </w:r>
      <w:r>
        <w:t xml:space="preserve"> With two independent second-order terms rather than one third-order term, the highest-order-term power problem that motivated OD-2 no longer applies: detecting f² ≈ 0.02 per interaction is realistic at the pre-registered n ≥ 400. The a priori calculation is documented in the analysis pipeline (06_power_analysis.py) and must be reconciled against an R-side pwr / WebPower check before the collection quota is frozen. </w:t>
      </w:r>
      <w:r>
        <w:rPr>
          <w:bCs/>
          <w:b/>
        </w:rPr>
        <w:t xml:space="preserve">Partial-support language remains pre-committed:</w:t>
      </w:r>
      <w:r>
        <w:t xml:space="preserve"> if one carrier’s interaction is significant and the other is not, that is reported as support for one hypothesis and non-support for the other — never as generic “support for H7”.</w:t>
      </w:r>
    </w:p>
    <w:bookmarkEnd w:id="57"/>
    <w:bookmarkStart w:id="58" w:name="X95cbb25ef79f5e4577745c04eaf3e37d741b276"/>
    <w:p>
      <w:pPr>
        <w:pStyle w:val="Heading2"/>
      </w:pPr>
      <w:r>
        <w:t xml:space="preserve">C.3 Design Consequences for Study 1 and Study 2</w:t>
      </w:r>
    </w:p>
    <w:p>
      <w:pPr>
        <w:pStyle w:val="FirstParagraph"/>
      </w:pPr>
      <w:r>
        <w:rPr>
          <w:iCs/>
          <w:i/>
        </w:rPr>
        <w:t xml:space="preserve">Incorporates Amendment A-7 in full.</w:t>
      </w:r>
    </w:p>
    <w:p>
      <w:pPr>
        <w:numPr>
          <w:ilvl w:val="0"/>
          <w:numId w:val="1011"/>
        </w:numPr>
      </w:pPr>
      <w:r>
        <w:rPr>
          <w:bCs/>
          <w:b/>
        </w:rPr>
        <w:t xml:space="preserve">One instrument, two analyses within Study 1.</w:t>
      </w:r>
      <w:r>
        <w:t xml:space="preserve"> Governance rule 4 &gt; requires a single integrated Qualtrics survey-experiment: &gt; Introduction → random assignment to one of four 2 × 2 cells → &gt; vignette → full item battery (with embedded attention checks) → &gt; manipulation checks → demographics. DISC (0/1) and AIP condition &gt; (Low/High) are recorded as variables for every respondent. This &gt; one dataset constitutes Study 1 and is analysed twice — by &gt; PLS-SEM and by two-way ANOVA. These are two analyses of one &gt; collection, not two collections. Any design in which respondents &gt; lack a DISC value makes H7b inestimable.</w:t>
      </w:r>
    </w:p>
    <w:p>
      <w:pPr>
        <w:numPr>
          <w:ilvl w:val="0"/>
          <w:numId w:val="1011"/>
        </w:numPr>
      </w:pPr>
      <w:r>
        <w:rPr>
          <w:bCs/>
          <w:b/>
        </w:rPr>
        <w:t xml:space="preserve">Study 1 — PLS-SEM analysis (n ≥ 350; target n ≥ 400).</w:t>
      </w:r>
      <w:r>
        <w:t xml:space="preserve"> Latent &gt; constructs: AIP, REL, INT, TRU, ENG, PI, PDPL. Observed dummy: &gt; DISC. Structural paths H1, H2, H4, H5, H6a, H6b, H6c; established &gt; paths E1 and E2; the specification terms listed in §C.1.1 &gt; (including DISC → INT); and the H7a/H7b interaction terms per &gt; §C.2. DISC enters as an observed dummy and appears in no &gt; measurement-model table. Confirmatory composite analysis, not &gt; classical CFA: loadings ≥ 0.60 at pilot and ≥ 0.70 at main &gt; collection, AVE &gt; 0.50, Cronbach’s α and ρ_A &gt; 0.70, HTMT &lt; &gt; 0.85 with particular attention to the AIP–REL pair.</w:t>
      </w:r>
    </w:p>
    <w:p>
      <w:pPr>
        <w:numPr>
          <w:ilvl w:val="0"/>
          <w:numId w:val="1011"/>
        </w:numPr>
      </w:pPr>
      <w:r>
        <w:rPr>
          <w:bCs/>
          <w:b/>
        </w:rPr>
        <w:t xml:space="preserve">Study 1 — two-way ANOVA analysis.</w:t>
      </w:r>
      <w:r>
        <w:t xml:space="preserve"> Factors: AI Personalization &gt; (Low/High) × Disclosure (No/With). Primary test: the Disclosure &gt; main effect on INT — the sole confirmatory test of H3. The AIP &gt; main effect on INT and REL is reported as an experimental &gt; replication of H1 and H2. The AIP × DISC interaction is reported &gt; as an exploratory contrast and must not be renumbered as an &gt; H-level hypothesis without a formal team decision. Manipulation &gt; checks must reach Cohen’s d ≥ 0.50, failing which the vignettes &gt; are rewritten before main collection (task B2.10).</w:t>
      </w:r>
    </w:p>
    <w:p>
      <w:pPr>
        <w:numPr>
          <w:ilvl w:val="0"/>
          <w:numId w:val="1011"/>
        </w:numPr>
      </w:pPr>
      <w:r>
        <w:rPr>
          <w:bCs/>
          <w:b/>
        </w:rPr>
        <w:t xml:space="preserve">Study 2 — the DSR artifact.</w:t>
      </w:r>
      <w:r>
        <w:t xml:space="preserve"> Study 2 is the Design Science &gt; Research component: the design, instantiation and evaluation of &gt; the privacy-aware AI agent (LangChain / Streamlit). It answers the &gt; design research question rather than testing a behavioural &gt; proposition, and </w:t>
      </w:r>
      <w:r>
        <w:rPr>
          <w:bCs/>
          <w:b/>
        </w:rPr>
        <w:t xml:space="preserve">carries no H-numbered hypothesis</w:t>
      </w:r>
      <w:r>
        <w:t xml:space="preserve">. No result &gt; reported under Study 2 may be presented as confirming or &gt; disconfirming any hypothesis. Four layers per planning §3.1 — &gt; Data, Intelligence, Agent Core (orchestration), Output. The agent &gt; operationalises the disclosure and consent principles of PDP Law &gt; 2025 Arts. 9–10 and 28–30 by design, and implements SDG 12 &gt; through Green Score adaptive re-ranking. Evaluation under DSR &gt; guidelines (Hevner et al., 2004; Peffers et al., 2007): an A/B &gt; simulation over the synthetic catalogue — Group A with the SDG &gt; 12 filter (adaptive λ) against Group B standard recommendation (λ &gt; = 0) — on Precision@10, NDCG@10 and Green Exposure Rate, plus a &gt; small artifact user study with the Streamlit prototype. </w:t>
      </w:r>
      <w:r>
        <w:rPr>
          <w:bCs/>
          <w:b/>
        </w:rPr>
        <w:t xml:space="preserve">Data &gt; separation:</w:t>
      </w:r>
      <w:r>
        <w:t xml:space="preserve"> Study 2 evaluation data are generated by simulation &gt; and by the artifact user study; they are distinct from the Study 1 &gt; dataset and must never be pooled with it, nor described as a &gt; second wave of the survey. Study 2 evaluation metrics must not &gt; migrate into Study 1 reporting.</w:t>
      </w:r>
    </w:p>
    <w:p>
      <w:pPr>
        <w:numPr>
          <w:ilvl w:val="0"/>
          <w:numId w:val="1011"/>
        </w:numPr>
      </w:pPr>
      <w:r>
        <w:rPr>
          <w:bCs/>
          <w:b/>
        </w:rPr>
        <w:t xml:space="preserve">Vignette set.</w:t>
      </w:r>
      <w:r>
        <w:t xml:space="preserve"> Four scenarios per the planning document: (1) Low &gt; AIP + No Disclosure; (2) Low AIP + With Disclosure; (3) High AIP + &gt; No Disclosure; (4) High AIP + With Disclosure — Group 4 &gt; retaining the planning designation as the SDG 16 &gt; transparency-governance condition. </w:t>
      </w:r>
      <w:r>
        <w:rPr>
          <w:bCs/>
          <w:b/>
        </w:rPr>
        <w:t xml:space="preserve">Internal-validity fix:</w:t>
      </w:r>
      <w:r>
        <w:t xml:space="preserve"> &gt; disclosure depth was asymmetric between Groups 2 and 4; Group 2 &gt; has been revised so that both disclosure conditions carry &gt; identical opt-out and retention language and differ only in &gt; personalization intensity. Without this correction the Disclosure &gt; main effect (H3) and the disclosure moderator (H7b) would be &gt; confounded with disclosure depth.</w:t>
      </w:r>
    </w:p>
    <w:p>
      <w:pPr>
        <w:numPr>
          <w:ilvl w:val="0"/>
          <w:numId w:val="1011"/>
        </w:numPr>
      </w:pPr>
      <w:r>
        <w:rPr>
          <w:bCs/>
          <w:b/>
        </w:rPr>
        <w:t xml:space="preserve">Measurement.</w:t>
      </w:r>
      <w:r>
        <w:t xml:space="preserve"> </w:t>
      </w:r>
      <w:r>
        <w:rPr>
          <w:bCs/>
          <w:b/>
        </w:rPr>
        <w:t xml:space="preserve">34 reflective items fielded, 34 analysed</w:t>
      </w:r>
      <w:r>
        <w:t xml:space="preserve"> (no fielded-but-excluded item — A-9’s REL4-exclusion is retired), across 7 constructs, plus 2 attention &gt; checks and 2 manipulation-check items, with platform-anchored &gt; stems and full back-translation (EN → VI → EN). The pilot is the &gt; mandatory gate: no main collection opens before it closes. PDPL &gt; items must reference PDP Law 2025 by its common Vietnamese name &gt; and must not reference Decree 13/2023/NĐ-CP.</w:t>
      </w:r>
    </w:p>
    <w:bookmarkEnd w:id="58"/>
    <w:bookmarkStart w:id="60" w:name="c.4-measurement-register"/>
    <w:p>
      <w:pPr>
        <w:pStyle w:val="Heading2"/>
      </w:pPr>
      <w:r>
        <w:t xml:space="preserve">C.4 Measurement Register</w:t>
      </w:r>
    </w:p>
    <w:p>
      <w:pPr>
        <w:pStyle w:val="FirstParagraph"/>
      </w:pPr>
      <w:r>
        <w:t xml:space="preserve">The scale origins below reproduce the approved planning document. Every entry is provisional until the primary source has been retrieved and verified in Scopus. </w:t>
      </w:r>
      <w:r>
        <w:rPr>
          <w:bCs/>
          <w:b/>
        </w:rPr>
        <w:t xml:space="preserve">Project rule:</w:t>
      </w:r>
      <w:r>
        <w:t xml:space="preserve"> items are traced to the Scopus-indexed primary source, never adopted through a secondary adaptation; unverifiable sources are replaced, not cited with a hedge. </w:t>
      </w:r>
      <w:r>
        <w:rPr>
          <w:bCs/>
          <w:b/>
        </w:rPr>
        <w:t xml:space="preserve">Item counts in this table are the fielded and analysed counts of the actual instrument (PROJ_MAIN), reconciled by Amendment A-10.</w:t>
      </w:r>
    </w:p>
    <w:p>
      <w:pPr>
        <w:pStyle w:val="BodyText"/>
      </w:pPr>
      <w:r>
        <w:rPr>
          <w:bCs/>
          <w:b/>
        </w:rPr>
        <w:t xml:space="preserve">Amendment A-13 note.</w:t>
      </w:r>
      <w:r>
        <w:t xml:space="preserve"> Item </w:t>
      </w:r>
      <w:r>
        <w:rPr>
          <w:iCs/>
          <w:i/>
        </w:rPr>
        <w:t xml:space="preserve">wording</w:t>
      </w:r>
      <w:r>
        <w:t xml:space="preserve"> for AIP, INT, TRU, PDPL, and PI was finalized after pilot for PROJ_MAIN_final_v2; the wording shown in the Master Codebook prior to v2.2 reflects the pilot-stage text these reliability figures were computed on. The changes are editorial (added clarifying clauses) except TRU2, where a double-barreled pilot item was corrected back to a single claim. Treat pilot alpha/loadings below as indicative of construct behaviour, not as confirmatory validation of the exact finalized wording — main collection (n ≥ 400) is the authoritative test. See Table 0d, Amendment A-13.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Construct</w:t>
            </w:r>
          </w:p>
        </w:tc>
        <w:tc>
          <w:tcPr/>
          <w:p>
            <w:pPr>
              <w:pStyle w:val="Compact"/>
              <w:jc w:val="left"/>
            </w:pPr>
            <w:r>
              <w:rPr>
                <w:bCs/>
                <w:b/>
              </w:rPr>
              <w:t xml:space="preserve">Fielded</w:t>
            </w:r>
          </w:p>
        </w:tc>
        <w:tc>
          <w:tcPr/>
          <w:p>
            <w:pPr>
              <w:pStyle w:val="Compact"/>
              <w:jc w:val="left"/>
            </w:pPr>
            <w:r>
              <w:rPr>
                <w:bCs/>
                <w:b/>
              </w:rPr>
              <w:t xml:space="preserve">Analysed</w:t>
            </w:r>
          </w:p>
        </w:tc>
        <w:tc>
          <w:tcPr/>
          <w:p>
            <w:pPr>
              <w:pStyle w:val="Compact"/>
              <w:jc w:val="left"/>
            </w:pPr>
            <w:r>
              <w:rPr>
                <w:bCs/>
                <w:b/>
              </w:rPr>
              <w:t xml:space="preserve">Planning-designated source</w:t>
            </w:r>
          </w:p>
        </w:tc>
        <w:tc>
          <w:tcPr/>
          <w:p>
            <w:pPr>
              <w:pStyle w:val="Compact"/>
              <w:jc w:val="left"/>
            </w:pPr>
            <w:r>
              <w:rPr>
                <w:bCs/>
                <w:b/>
              </w:rPr>
              <w:t xml:space="preserve">Verification status and known risk</w:t>
            </w:r>
          </w:p>
        </w:tc>
      </w:tr>
      <w:tr>
        <w:tc>
          <w:tcPr/>
          <w:p>
            <w:pPr>
              <w:pStyle w:val="Compact"/>
              <w:jc w:val="left"/>
            </w:pPr>
            <w:r>
              <w:rPr>
                <w:bCs/>
                <w:b/>
              </w:rPr>
              <w:t xml:space="preserve">AIP</w:t>
            </w:r>
          </w:p>
        </w:tc>
        <w:tc>
          <w:tcPr/>
          <w:p>
            <w:pPr>
              <w:pStyle w:val="Compact"/>
              <w:jc w:val="left"/>
            </w:pPr>
            <w:r>
              <w:t xml:space="preserve">5 (AIP1–AIP5)</w:t>
            </w:r>
          </w:p>
        </w:tc>
        <w:tc>
          <w:tcPr/>
          <w:p>
            <w:pPr>
              <w:pStyle w:val="Compact"/>
              <w:jc w:val="left"/>
            </w:pPr>
            <w:r>
              <w:t xml:space="preserve">5</w:t>
            </w:r>
          </w:p>
        </w:tc>
        <w:tc>
          <w:tcPr/>
          <w:p>
            <w:pPr>
              <w:pStyle w:val="Compact"/>
              <w:jc w:val="left"/>
            </w:pPr>
            <w:r>
              <w:rPr>
                <w:bCs/>
                <w:b/>
              </w:rPr>
              <w:t xml:space="preserve">RETRACTED: Awad &amp; Krishnan (2006) — checked against the source PDF and found not to contain matching items; not merely superseded. </w:t>
            </w:r>
            <w:r>
              <w:t xml:space="preserve">Current: AIP1–AIP3 from Yin, Qiu &amp; Wang (2025), JTAER 20(1), Art. 21, “Insightful Experience” items IS3/IS4/IS6 (final CFA-confirmed scale, Table A3, verified against the published Appendix). AIP4–AIP5 from Rahman, Carlson, Gudergan, Wetzels &amp; Grewal (2022), Journal of Retailing, 98(4), “Personalization (PERS)” dimension, verified against the original PDF.</w:t>
            </w:r>
          </w:p>
        </w:tc>
        <w:tc>
          <w:tcPr/>
          <w:p>
            <w:pPr>
              <w:pStyle w:val="Compact"/>
              <w:jc w:val="left"/>
            </w:pPr>
            <w:r>
              <w:rPr>
                <w:bCs/>
                <w:b/>
              </w:rPr>
              <w:t xml:space="preserve">Item-level verified (not “pending” for the current sourcing). Discriminant-validity risk:</w:t>
            </w:r>
            <w:r>
              <w:t xml:space="preserve"> AIP items risk conceptual tautology with REL items; the HTMT check for the AIP–REL pair is the decisive test and must clear &lt; 0.85 before main collection. Pilot HTMT/EFA (n = 46) was computed on wording that no longer matches AIP1–AIP3 (two citation-chain corrections since pilot) and must not be relied on for the current item set — a new pilot pass or expert content-validity review is recommended before main collection. The self-reference item formerly coded AIP4 (Tam &amp; Ho, 2006 wording, highest overlap risk with REL) has been removed entirely per faculty guidance; AIP is now 5 items (previously 6).</w:t>
            </w:r>
          </w:p>
        </w:tc>
      </w:tr>
      <w:tr>
        <w:tc>
          <w:tcPr/>
          <w:p>
            <w:pPr>
              <w:pStyle w:val="Compact"/>
              <w:jc w:val="left"/>
            </w:pPr>
            <w:r>
              <w:rPr>
                <w:bCs/>
                <w:b/>
              </w:rPr>
              <w:t xml:space="preserve">REL</w:t>
            </w:r>
          </w:p>
        </w:tc>
        <w:tc>
          <w:tcPr/>
          <w:p>
            <w:pPr>
              <w:pStyle w:val="Compact"/>
              <w:jc w:val="left"/>
            </w:pPr>
            <w:r>
              <w:t xml:space="preserve">4 (REL1–REL4)</w:t>
            </w:r>
          </w:p>
        </w:tc>
        <w:tc>
          <w:tcPr/>
          <w:p>
            <w:pPr>
              <w:pStyle w:val="Compact"/>
              <w:jc w:val="left"/>
            </w:pPr>
            <w:r>
              <w:t xml:space="preserve">4 (REL1–REL4)</w:t>
            </w:r>
          </w:p>
        </w:tc>
        <w:tc>
          <w:tcPr/>
          <w:p>
            <w:pPr>
              <w:pStyle w:val="Compact"/>
              <w:jc w:val="left"/>
            </w:pPr>
            <w:r>
              <w:rPr>
                <w:bCs/>
                <w:b/>
              </w:rPr>
              <w:t xml:space="preserve">RETRACTED (two separate chains): Xu et al. (2011) and the intermediate Shanahan, Tran &amp; Taylor (2019) “via Aydin (2026)” attribution — both checked against primary-source PDFs and found not to contain matching items. Neither is merely superseded; both are citation errors. Aydin (2026), in any of its paper versions, must not be cited anywhere in this project pending independent re-review — a second Aydin (2026) paper offering the identical fabricated-item pattern for a different construct label was also found during verification. </w:t>
            </w:r>
            <w:r>
              <w:t xml:space="preserve">Current: REL1 from Srinivasan, Anderson &amp; Ponnavolu (2002), Journal of Retailing, 78(1), item (a) (verified against PDF). REL2 and REL3 from Yin, Qiu &amp; Wang (2025), JTAER 20(1), Art. 21, “Relevance Experience (RE)” dimension, items RE4 and RE1 respectively (REL2 worded as “consistent with the type of product I was looking for”, category fit; REL3 worded as “consistent with what I had previously searched for”, search-history fit; same source paper as AIP, different and discriminantly-validated dimension — r = .622 in the source paper — so no item-level overlap with AIP). REL4 (worded “Overall, the product list I saw was useful to me”) uses a 2-item semantic-differential pair (“relevant/irrelevant,” “useful/of great use”) originating from an information-diagnosticity scale (Klar, 1990, as reproduced in Ahluwalia, Unnava &amp; Burnkrant, 2001, Journal of Marketing Research, 38(4)) and repurposed as perceived relevance by De Keyzer, Dens &amp; De Pelsmacker (2015), Journal of Interactive Advertising, 15(2), α = .937 for that repurposed use.</w:t>
            </w:r>
          </w:p>
        </w:tc>
        <w:tc>
          <w:tcPr/>
          <w:p>
            <w:pPr>
              <w:pStyle w:val="Compact"/>
              <w:jc w:val="left"/>
            </w:pPr>
            <w:r>
              <w:rPr>
                <w:bCs/>
                <w:b/>
              </w:rPr>
              <w:t xml:space="preserve">Item-level verified for REL1/REL2/REL3 (not “pending”). REL4 open flag:</w:t>
            </w:r>
            <w:r>
              <w:t xml:space="preserve"> Klar (1990), the primary source, has not been independently verified by the team — flagged for the team’s judgement (further sourcing vs. self-development), not resolved unilaterally. </w:t>
            </w:r>
            <w:r>
              <w:rPr>
                <w:bCs/>
                <w:b/>
              </w:rPr>
              <w:t xml:space="preserve">Amendment A-9’s REL4-exclusion logic is RETIRED:</w:t>
            </w:r>
            <w:r>
              <w:t xml:space="preserve"> the REL4 item it applied to (Tam &amp; Ho, 2006, decision-usefulness wording) has been removed from the instrument entirely, not merely excluded. The current REL4 is a different, unrelated item and is fully included in the measurement model — fielded and analysed counts for REL are now identical (4 = 4). No REL4 sensitivity analysis is required or should be reported; do not reuse the retired REL_mean_4item variable name.</w:t>
            </w:r>
          </w:p>
        </w:tc>
      </w:tr>
      <w:tr>
        <w:tc>
          <w:tcPr/>
          <w:p>
            <w:pPr>
              <w:pStyle w:val="Compact"/>
              <w:jc w:val="left"/>
            </w:pPr>
            <w:r>
              <w:rPr>
                <w:bCs/>
                <w:b/>
              </w:rPr>
              <w:t xml:space="preserve">INT</w:t>
            </w:r>
          </w:p>
        </w:tc>
        <w:tc>
          <w:tcPr/>
          <w:p>
            <w:pPr>
              <w:pStyle w:val="Compact"/>
              <w:jc w:val="left"/>
            </w:pPr>
            <w:r>
              <w:t xml:space="preserve">5 (INT1–INT5)</w:t>
            </w:r>
          </w:p>
        </w:tc>
        <w:tc>
          <w:tcPr/>
          <w:p>
            <w:pPr>
              <w:pStyle w:val="Compact"/>
              <w:jc w:val="left"/>
            </w:pPr>
            <w:r>
              <w:t xml:space="preserve">5</w:t>
            </w:r>
          </w:p>
        </w:tc>
        <w:tc>
          <w:tcPr/>
          <w:p>
            <w:pPr>
              <w:pStyle w:val="Compact"/>
              <w:jc w:val="left"/>
            </w:pPr>
            <w:r>
              <w:t xml:space="preserve">Li, Edwards &amp; Lee (2002), Journal of Advertising, 31(2), 37–47 — intrusiveness scale (previously miscited in this document as “Li et al. (2017)”; corrected to match B1.5 and Master Codebook v2.5).</w:t>
            </w:r>
          </w:p>
        </w:tc>
        <w:tc>
          <w:tcPr/>
          <w:p>
            <w:pPr>
              <w:pStyle w:val="Compact"/>
              <w:jc w:val="left"/>
            </w:pPr>
            <w:r>
              <w:t xml:space="preserve">Verified against the original PDF (see B1.5 Table 4). If adapted from a 5-point original to the 7-point format, the Method section must acknowledge this explicitly.</w:t>
            </w:r>
          </w:p>
        </w:tc>
      </w:tr>
      <w:tr>
        <w:tc>
          <w:tcPr/>
          <w:p>
            <w:pPr>
              <w:pStyle w:val="Compact"/>
              <w:jc w:val="left"/>
            </w:pPr>
            <w:r>
              <w:rPr>
                <w:bCs/>
                <w:b/>
              </w:rPr>
              <w:t xml:space="preserve">TRU</w:t>
            </w:r>
          </w:p>
        </w:tc>
        <w:tc>
          <w:tcPr/>
          <w:p>
            <w:pPr>
              <w:pStyle w:val="Compact"/>
              <w:jc w:val="left"/>
            </w:pPr>
            <w:r>
              <w:t xml:space="preserve">6 (TRU1–TRU6)</w:t>
            </w:r>
          </w:p>
        </w:tc>
        <w:tc>
          <w:tcPr/>
          <w:p>
            <w:pPr>
              <w:pStyle w:val="Compact"/>
              <w:jc w:val="left"/>
            </w:pPr>
            <w:r>
              <w:t xml:space="preserve">6</w:t>
            </w:r>
          </w:p>
        </w:tc>
        <w:tc>
          <w:tcPr/>
          <w:p>
            <w:pPr>
              <w:pStyle w:val="Compact"/>
              <w:jc w:val="left"/>
            </w:pPr>
            <w:r>
              <w:t xml:space="preserve">McKnight et al. (2002) — cognitive + affective.</w:t>
            </w:r>
          </w:p>
        </w:tc>
        <w:tc>
          <w:tcPr/>
          <w:p>
            <w:pPr>
              <w:pStyle w:val="Compact"/>
              <w:jc w:val="left"/>
            </w:pPr>
            <w:r>
              <w:t xml:space="preserve">Pillar source; reference verified. </w:t>
            </w:r>
            <w:r>
              <w:rPr>
                <w:bCs/>
                <w:b/>
              </w:rPr>
              <w:t xml:space="preserve">Count reverted to 6 (post-B1.5 correction pass), superseding Amendment A-10’s prior reduction to 5.</w:t>
            </w:r>
            <w:r>
              <w:t xml:space="preserve"> TRU1–TRU3 = trusting beliefs; TRU4–TRU6 = trusting intentions / affective. </w:t>
            </w:r>
            <w:r>
              <w:rPr>
                <w:bCs/>
                <w:b/>
              </w:rPr>
              <w:t xml:space="preserve">Known risk:</w:t>
            </w:r>
            <w:r>
              <w:t xml:space="preserve"> items must be anchored to a single trustee (the AI agent / platform) rather than mixing recommendation competence with data protection, or both H4 and H6a attenuate.</w:t>
            </w:r>
          </w:p>
        </w:tc>
      </w:tr>
      <w:tr>
        <w:tc>
          <w:tcPr/>
          <w:p>
            <w:pPr>
              <w:pStyle w:val="Compact"/>
              <w:jc w:val="left"/>
            </w:pPr>
            <w:r>
              <w:rPr>
                <w:bCs/>
                <w:b/>
              </w:rPr>
              <w:t xml:space="preserve">ENG</w:t>
            </w:r>
          </w:p>
        </w:tc>
        <w:tc>
          <w:tcPr/>
          <w:p>
            <w:pPr>
              <w:pStyle w:val="Compact"/>
              <w:jc w:val="left"/>
            </w:pPr>
            <w:r>
              <w:t xml:space="preserve">6 (ENG1–ENG6)</w:t>
            </w:r>
          </w:p>
        </w:tc>
        <w:tc>
          <w:tcPr/>
          <w:p>
            <w:pPr>
              <w:pStyle w:val="Compact"/>
              <w:jc w:val="left"/>
            </w:pPr>
            <w:r>
              <w:t xml:space="preserve">6</w:t>
            </w:r>
          </w:p>
        </w:tc>
        <w:tc>
          <w:tcPr/>
          <w:p>
            <w:pPr>
              <w:pStyle w:val="Compact"/>
              <w:jc w:val="left"/>
            </w:pPr>
            <w:r>
              <w:t xml:space="preserve">Hollebeek, Glynn, &amp; Brodie (2014) — Consumer Brand Engagement (CBE) scale, abbreviated to 2 items per dimension (original: 3/dimension); conceptual grounding: Brodie et al. (2011) FP1/FP4. </w:t>
            </w:r>
            <w:r>
              <w:rPr>
                <w:bCs/>
                <w:b/>
              </w:rPr>
              <w:t xml:space="preserve">Citation corrected from “Brodie et al. (2011)” by Amendment A-12</w:t>
            </w:r>
            <w:r>
              <w:t xml:space="preserve"> — that paper is conceptual and does not supply the item battery.</w:t>
            </w:r>
          </w:p>
        </w:tc>
        <w:tc>
          <w:tcPr/>
          <w:p>
            <w:pPr>
              <w:pStyle w:val="Compact"/>
              <w:jc w:val="left"/>
            </w:pPr>
            <w:r>
              <w:rPr>
                <w:bCs/>
                <w:b/>
              </w:rPr>
              <w:t xml:space="preserve">Amendment A-12 (dimension structure):</w:t>
            </w:r>
            <w:r>
              <w:t xml:space="preserve"> three first-order dimensions — Cognitive Processing (ENG1–ENG2), Affection (ENG3, ENG6), Activation (ENG4–ENG5) — §A.4.1. Reliability/item-retention decisions must be computed </w:t>
            </w:r>
            <w:r>
              <w:rPr>
                <w:bCs/>
                <w:b/>
              </w:rPr>
              <w:t xml:space="preserve">within dimension</w:t>
            </w:r>
            <w:r>
              <w:t xml:space="preserve">, never pooled across all six items. Pilot (n = 46) within-dimension alpha: Cognitive = 0.768, Affection = 0.532, Activation = 0.345. </w:t>
            </w:r>
            <w:r>
              <w:rPr>
                <w:bCs/>
                <w:b/>
              </w:rPr>
              <w:t xml:space="preserve">ENG4 is retained</w:t>
            </w:r>
            <w:r>
              <w:t xml:space="preserve"> despite weak Activation-facet reliability — dropping it would leave Activation as a single-item facet; the low reliability is a known consequence of abbreviating the original 3-item/dimension CBE scale to 2/dimension and is reported in Limitations, not resolved by item deletion. Not modeled as a structural second-order construct (§A.4.1 scope note).</w:t>
            </w:r>
          </w:p>
        </w:tc>
      </w:tr>
      <w:tr>
        <w:tc>
          <w:tcPr/>
          <w:p>
            <w:pPr>
              <w:pStyle w:val="Compact"/>
              <w:jc w:val="left"/>
            </w:pPr>
            <w:r>
              <w:rPr>
                <w:bCs/>
                <w:b/>
              </w:rPr>
              <w:t xml:space="preserve">PI</w:t>
            </w:r>
          </w:p>
        </w:tc>
        <w:tc>
          <w:tcPr/>
          <w:p>
            <w:pPr>
              <w:pStyle w:val="Compact"/>
              <w:jc w:val="left"/>
            </w:pPr>
            <w:r>
              <w:t xml:space="preserve">4 (PI1–PI4)</w:t>
            </w:r>
          </w:p>
        </w:tc>
        <w:tc>
          <w:tcPr/>
          <w:p>
            <w:pPr>
              <w:pStyle w:val="Compact"/>
              <w:jc w:val="left"/>
            </w:pPr>
            <w:r>
              <w:t xml:space="preserve">4</w:t>
            </w:r>
          </w:p>
        </w:tc>
        <w:tc>
          <w:tcPr/>
          <w:p>
            <w:pPr>
              <w:pStyle w:val="Compact"/>
              <w:jc w:val="left"/>
            </w:pPr>
            <w:r>
              <w:t xml:space="preserve">Pavlou (2003) — willingness to transact, for PI1–PI3 (Pavlou’s construct is inherently a 3-item maximum; it does not contain a fourth item). PI4 added from Dodds, Monroe &amp; Grewal (1991), Journal of Marketing Research, 28(3), Appendix, “Willingness to Buy” indicator 1/4, converted from semantic differential to Likert format; the price-specific framing used in two of that scale’s five items was dropped as not applicable to this vignette. Verified against the original PDF.</w:t>
            </w:r>
          </w:p>
        </w:tc>
        <w:tc>
          <w:tcPr/>
          <w:p>
            <w:pPr>
              <w:pStyle w:val="Compact"/>
              <w:jc w:val="left"/>
            </w:pPr>
            <w:r>
              <w:t xml:space="preserve">Pavlou (2003) sourcing for PI1–PI3 still pending primary-source verification; PI4 (Dodds, Monroe &amp; Grewal, 1991) is verified. PI carries the hypothesised antecedent H6c (A-1), so it is a substantive outcome, not merely a distal criterion.</w:t>
            </w:r>
          </w:p>
        </w:tc>
      </w:tr>
      <w:tr>
        <w:tc>
          <w:tcPr/>
          <w:p>
            <w:pPr>
              <w:pStyle w:val="Compact"/>
              <w:jc w:val="left"/>
            </w:pPr>
            <w:r>
              <w:rPr>
                <w:bCs/>
                <w:b/>
              </w:rPr>
              <w:t xml:space="preserve">PDPL</w:t>
            </w:r>
          </w:p>
        </w:tc>
        <w:tc>
          <w:tcPr/>
          <w:p>
            <w:pPr>
              <w:pStyle w:val="Compact"/>
              <w:jc w:val="left"/>
            </w:pPr>
            <w:r>
              <w:t xml:space="preserve">4 (PDPL1–PDPL4)</w:t>
            </w:r>
          </w:p>
        </w:tc>
        <w:tc>
          <w:tcPr/>
          <w:p>
            <w:pPr>
              <w:pStyle w:val="Compact"/>
              <w:jc w:val="left"/>
            </w:pPr>
            <w:r>
              <w:t xml:space="preserve">4</w:t>
            </w:r>
          </w:p>
        </w:tc>
        <w:tc>
          <w:tcPr/>
          <w:p>
            <w:pPr>
              <w:pStyle w:val="Compact"/>
              <w:jc w:val="left"/>
            </w:pPr>
            <w:r>
              <w:t xml:space="preserve">Newly developed on the content of Law 91/2025/QH15 (Arts. 8–10, 28).</w:t>
            </w:r>
          </w:p>
        </w:tc>
        <w:tc>
          <w:tcPr/>
          <w:p>
            <w:pPr>
              <w:pStyle w:val="Compact"/>
              <w:jc w:val="left"/>
            </w:pPr>
            <w:r>
              <w:t xml:space="preserve">New construct: content validity must be established by expert review. </w:t>
            </w:r>
            <w:r>
              <w:rPr>
                <w:bCs/>
                <w:b/>
              </w:rPr>
              <w:t xml:space="preserve">OD-11 closed by Amendment A-17 (superseding A-16):</w:t>
            </w:r>
            <w:r>
              <w:t xml:space="preserve"> item stems remain generic by design (do not name Law 91/2025/QH15), and the fielded preamble is likewise generic with no statute-naming segment – the statute’s name appears only in the literature review and the Method section’s instrument-development narrative, not anywhere in survey administration. Must not reference Decree 13/2023/NĐ-CP. Article numbers verified against the full statute text, 26 August 2026 (A-11; OD-4 closed).</w:t>
            </w:r>
          </w:p>
        </w:tc>
      </w:tr>
      <w:tr>
        <w:tc>
          <w:tcPr/>
          <w:p>
            <w:pPr>
              <w:pStyle w:val="Compact"/>
              <w:jc w:val="left"/>
            </w:pPr>
            <w:r>
              <w:rPr>
                <w:bCs/>
                <w:b/>
              </w:rPr>
              <w:t xml:space="preserve">DISC</w:t>
            </w:r>
          </w:p>
        </w:tc>
        <w:tc>
          <w:tcPr/>
          <w:p>
            <w:pPr>
              <w:pStyle w:val="Compact"/>
              <w:jc w:val="left"/>
            </w:pPr>
            <w:r>
              <w:t xml:space="preserve">—</w:t>
            </w:r>
          </w:p>
        </w:tc>
        <w:tc>
          <w:tcPr/>
          <w:p>
            <w:pPr>
              <w:pStyle w:val="Compact"/>
              <w:jc w:val="left"/>
            </w:pPr>
            <w:r>
              <w:t xml:space="preserve">—</w:t>
            </w:r>
          </w:p>
        </w:tc>
        <w:tc>
          <w:tcPr/>
          <w:p>
            <w:pPr>
              <w:pStyle w:val="Compact"/>
              <w:jc w:val="left"/>
            </w:pPr>
            <w:r>
              <w:t xml:space="preserve">Manipulation only: 2 × 2 design, AIP Low/High × Disclosure No/With.</w:t>
            </w:r>
          </w:p>
        </w:tc>
        <w:tc>
          <w:tcPr/>
          <w:p>
            <w:pPr>
              <w:pStyle w:val="Compact"/>
              <w:jc w:val="left"/>
            </w:pPr>
            <w:r>
              <w:rPr>
                <w:bCs/>
                <w:b/>
              </w:rPr>
              <w:t xml:space="preserve">Never a Likert construct</w:t>
            </w:r>
            <w:r>
              <w:t xml:space="preserve"> (governance rule 4). Dummy-coded 0/1 in the SEM; moderator in H7b. Including DISC in a measurement-model or reliability table is a structural error.</w:t>
            </w:r>
          </w:p>
        </w:tc>
      </w:tr>
    </w:tbl>
    <w:p>
      <w:pPr>
        <w:pStyle w:val="BodyText"/>
      </w:pPr>
      <w:r>
        <w:t xml:space="preserve">Table 5. Measurement register — 34 reflective items fielded, 34 analysed (fielded = analysed; no fielded-but-excluded items remain), across 7 constructs, plus the DISC manipulation.</w:t>
      </w:r>
    </w:p>
    <w:bookmarkStart w:id="59" w:name="X698f55e99566bf9ce2932cf98d42b1c3e19561d"/>
    <w:p>
      <w:pPr>
        <w:pStyle w:val="Heading3"/>
      </w:pPr>
      <w:r>
        <w:t xml:space="preserve">C.4.1 Item-count constants — RETIRED (fielded = analysed since the AIP/REL/PI correction pass)</w:t>
      </w:r>
    </w:p>
    <w:p>
      <w:pPr>
        <w:pStyle w:val="FirstParagraph"/>
      </w:pPr>
      <w:r>
        <w:t xml:space="preserve">This subsection’s original purpose — tracking a fielded/analysed split caused by REL4 being fielded but excluded from the measurement model (Amendment A-9) — no longer applies. The REL4 that Amendment A-9 excluded (Tam &amp; Ho, 2006, decision-usefulness wording) has been removed from the instrument entirely, not merely excluded; the current REL4 is a different, unrelated item (Yin, Qiu &amp; Wang, 2025) that is fully included in the measurement model. Fielded and analysed item counts are now identical (34) for every construct, including REL. The table below is retained for historical reference only — use 34 uniformly wherever it previously distinguished 33 vs. 32: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Rule / artefact</w:t>
            </w:r>
          </w:p>
        </w:tc>
        <w:tc>
          <w:tcPr/>
          <w:p>
            <w:pPr>
              <w:pStyle w:val="Compact"/>
              <w:jc w:val="left"/>
            </w:pPr>
            <w:r>
              <w:rPr>
                <w:bCs/>
                <w:b/>
              </w:rPr>
              <w:t xml:space="preserve">Count to use</w:t>
            </w:r>
          </w:p>
        </w:tc>
        <w:tc>
          <w:tcPr/>
          <w:p>
            <w:pPr>
              <w:pStyle w:val="Compact"/>
              <w:jc w:val="left"/>
            </w:pPr>
            <w:r>
              <w:rPr>
                <w:bCs/>
                <w:b/>
              </w:rPr>
              <w:t xml:space="preserve">Reason</w:t>
            </w:r>
          </w:p>
        </w:tc>
      </w:tr>
      <w:tr>
        <w:tc>
          <w:tcPr/>
          <w:p>
            <w:pPr>
              <w:pStyle w:val="Compact"/>
              <w:jc w:val="left"/>
            </w:pPr>
            <w:r>
              <w:t xml:space="preserve">Missing-data exclusion (≤ 10% of items missing)</w:t>
            </w:r>
          </w:p>
        </w:tc>
        <w:tc>
          <w:tcPr/>
          <w:p>
            <w:pPr>
              <w:pStyle w:val="Compact"/>
              <w:jc w:val="left"/>
            </w:pPr>
            <w:r>
              <w:t xml:space="preserve">34 (fielded = analysed)</w:t>
            </w:r>
          </w:p>
        </w:tc>
        <w:tc>
          <w:tcPr/>
          <w:p>
            <w:pPr>
              <w:pStyle w:val="Compact"/>
              <w:jc w:val="left"/>
            </w:pPr>
            <w:r>
              <w:t xml:space="preserve">Data-quality screen applied to what the respondent was actually asked. The historical rationale (a REL4-only non-response changing inclusion status) no longer applies since there is no fielded-but-excluded item.</w:t>
            </w:r>
          </w:p>
        </w:tc>
      </w:tr>
      <w:tr>
        <w:tc>
          <w:tcPr/>
          <w:p>
            <w:pPr>
              <w:pStyle w:val="Compact"/>
              <w:jc w:val="left"/>
            </w:pPr>
            <w:r>
              <w:t xml:space="preserve">Straightlining flag (SD across items)</w:t>
            </w:r>
          </w:p>
        </w:tc>
        <w:tc>
          <w:tcPr/>
          <w:p>
            <w:pPr>
              <w:pStyle w:val="Compact"/>
              <w:jc w:val="left"/>
            </w:pPr>
            <w:r>
              <w:t xml:space="preserve">34 (fielded = analysed)</w:t>
            </w:r>
          </w:p>
        </w:tc>
        <w:tc>
          <w:tcPr/>
          <w:p>
            <w:pPr>
              <w:pStyle w:val="Compact"/>
              <w:jc w:val="left"/>
            </w:pPr>
            <w:r>
              <w:t xml:space="preserve">Same rationale: the flag detects response style across the whole battery.</w:t>
            </w:r>
          </w:p>
        </w:tc>
      </w:tr>
      <w:tr>
        <w:tc>
          <w:tcPr/>
          <w:p>
            <w:pPr>
              <w:pStyle w:val="Compact"/>
              <w:jc w:val="left"/>
            </w:pPr>
            <w:r>
              <w:t xml:space="preserve">Measurement model, α / ρ_A / AVE / HTMT / loadings</w:t>
            </w:r>
          </w:p>
        </w:tc>
        <w:tc>
          <w:tcPr/>
          <w:p>
            <w:pPr>
              <w:pStyle w:val="Compact"/>
              <w:jc w:val="left"/>
            </w:pPr>
            <w:r>
              <w:t xml:space="preserve">34 (fielded = analysed)</w:t>
            </w:r>
          </w:p>
        </w:tc>
        <w:tc>
          <w:tcPr/>
          <w:p>
            <w:pPr>
              <w:pStyle w:val="Compact"/>
              <w:jc w:val="left"/>
            </w:pPr>
            <w:r>
              <w:t xml:space="preserve">All items, including REL4, are indicators of their construct and enter every reliability/validity statistic. No item is excluded.</w:t>
            </w:r>
          </w:p>
        </w:tc>
      </w:tr>
      <w:tr>
        <w:tc>
          <w:tcPr/>
          <w:p>
            <w:pPr>
              <w:pStyle w:val="Compact"/>
              <w:jc w:val="left"/>
            </w:pPr>
            <w:r>
              <w:t xml:space="preserve">Construct score for REL</w:t>
            </w:r>
          </w:p>
        </w:tc>
        <w:tc>
          <w:tcPr/>
          <w:p>
            <w:pPr>
              <w:pStyle w:val="Compact"/>
              <w:jc w:val="left"/>
            </w:pPr>
            <w:r>
              <w:t xml:space="preserve">REL1–REL4 mean</w:t>
            </w:r>
          </w:p>
        </w:tc>
        <w:tc>
          <w:tcPr/>
          <w:p>
            <w:pPr>
              <w:pStyle w:val="Compact"/>
              <w:jc w:val="left"/>
            </w:pPr>
            <w:r>
              <w:t xml:space="preserve">No exclusion; REL_mean_4item is retired and should not be reused as a variable name.</w:t>
            </w:r>
          </w:p>
        </w:tc>
      </w:tr>
      <w:tr>
        <w:tc>
          <w:tcPr/>
          <w:p>
            <w:pPr>
              <w:pStyle w:val="Compact"/>
              <w:jc w:val="left"/>
            </w:pPr>
            <w:r>
              <w:t xml:space="preserve">Methods text “n items”</w:t>
            </w:r>
          </w:p>
        </w:tc>
        <w:tc>
          <w:tcPr/>
          <w:p>
            <w:pPr>
              <w:pStyle w:val="Compact"/>
              <w:jc w:val="left"/>
            </w:pPr>
            <w:r>
              <w:t xml:space="preserve">State one number</w:t>
            </w:r>
          </w:p>
        </w:tc>
        <w:tc>
          <w:tcPr/>
          <w:p>
            <w:pPr>
              <w:pStyle w:val="Compact"/>
              <w:jc w:val="left"/>
            </w:pPr>
            <w:r>
              <w:t xml:space="preserve">e.g. “34 items were administered and entered the measurement model; no items were fielded-but-excluded.”</w:t>
            </w:r>
          </w:p>
        </w:tc>
      </w:tr>
      <w:tr>
        <w:tc>
          <w:tcPr/>
          <w:p>
            <w:pPr>
              <w:pStyle w:val="Compact"/>
              <w:jc w:val="left"/>
            </w:pPr>
            <w:r>
              <w:t xml:space="preserve">REL4 sensitivity analysis</w:t>
            </w:r>
          </w:p>
        </w:tc>
        <w:tc>
          <w:tcPr/>
          <w:p>
            <w:pPr>
              <w:pStyle w:val="Compact"/>
              <w:jc w:val="left"/>
            </w:pPr>
            <w:r>
              <w:t xml:space="preserve">Not applicable</w:t>
            </w:r>
          </w:p>
        </w:tc>
        <w:tc>
          <w:tcPr/>
          <w:p>
            <w:pPr>
              <w:pStyle w:val="Compact"/>
              <w:jc w:val="left"/>
            </w:pPr>
            <w:r>
              <w:t xml:space="preserve">Retired. No sensitivity analysis is needed since REL is a clean 4-item construct with no exclusion.</w:t>
            </w:r>
          </w:p>
        </w:tc>
      </w:tr>
    </w:tbl>
    <w:p>
      <w:pPr>
        <w:pStyle w:val="BodyText"/>
      </w:pPr>
      <w:r>
        <w:t xml:space="preserve">Table 5a. Which item count governs which rule.</w:t>
      </w:r>
    </w:p>
    <w:bookmarkEnd w:id="59"/>
    <w:bookmarkEnd w:id="60"/>
    <w:bookmarkStart w:id="61" w:name="Xd2d0968b92b1a517383e8d7abea464aa68c7108"/>
    <w:p>
      <w:pPr>
        <w:pStyle w:val="Heading2"/>
      </w:pPr>
      <w:r>
        <w:t xml:space="preserve">C.5 Consistency Checklist (Pre-Submission Quality Gate)</w:t>
      </w:r>
    </w:p>
    <w:p>
      <w:pPr>
        <w:numPr>
          <w:ilvl w:val="0"/>
          <w:numId w:val="1012"/>
        </w:numPr>
      </w:pPr>
      <w:r>
        <w:t xml:space="preserve">Construct labels match Table 1 verbatim across the diagram, &gt; hypothesis table, questionnaire, SmartPLS model, and manuscript &gt; (“PDPL Awareness”; “Disclosure Level”). No occurrence of “PDPD”, &gt; “PDP Law Awareness”, “Decree 13” as the operative instrument, or &gt; “Data Collection Depth” survives anywhere.</w:t>
      </w:r>
    </w:p>
    <w:p>
      <w:pPr>
        <w:numPr>
          <w:ilvl w:val="0"/>
          <w:numId w:val="1012"/>
        </w:numPr>
      </w:pPr>
      <w:r>
        <w:t xml:space="preserve">Hypothesis numbering matches Table 3 exactly: </w:t>
      </w:r>
      <w:r>
        <w:rPr>
          <w:bCs/>
          <w:b/>
        </w:rPr>
        <w:t xml:space="preserve">H3 = DISC → INT</w:t>
      </w:r>
      <w:r>
        <w:t xml:space="preserve"> &gt; and </w:t>
      </w:r>
      <w:r>
        <w:rPr>
          <w:bCs/>
          <w:b/>
        </w:rPr>
        <w:t xml:space="preserve">H5 = REL → ENG</w:t>
      </w:r>
      <w:r>
        <w:t xml:space="preserve">. Any artefact still reading “H3 = REL → &gt; ENG” or “H5 = TRU → PI” is a v1.0 remnant and must be corrected.</w:t>
      </w:r>
    </w:p>
    <w:p>
      <w:pPr>
        <w:numPr>
          <w:ilvl w:val="0"/>
          <w:numId w:val="1012"/>
        </w:numPr>
      </w:pPr>
      <w:r>
        <w:t xml:space="preserve">H6 is reported as </w:t>
      </w:r>
      <w:r>
        <w:rPr>
          <w:bCs/>
          <w:b/>
        </w:rPr>
        <w:t xml:space="preserve">H6a, H6b and H6c</w:t>
      </w:r>
      <w:r>
        <w:t xml:space="preserve">. The established-path &gt; register contains </w:t>
      </w:r>
      <w:r>
        <w:rPr>
          <w:bCs/>
          <w:b/>
        </w:rPr>
        <w:t xml:space="preserve">E1 and E2 only</w:t>
      </w:r>
      <w:r>
        <w:t xml:space="preserve">; no E3 or E4 exists. TRU → PI &gt; appears nowhere in the main model — only as a competing-model &gt; robustness check in the Discussion.</w:t>
      </w:r>
    </w:p>
    <w:p>
      <w:pPr>
        <w:numPr>
          <w:ilvl w:val="0"/>
          <w:numId w:val="1012"/>
        </w:numPr>
      </w:pPr>
      <w:r>
        <w:rPr>
          <w:bCs/>
          <w:b/>
        </w:rPr>
        <w:t xml:space="preserve">H7 is specified everywhere as two hypotheses: H7a (PDPL × INT, &gt; β_M1) and H7b (DISC × INT, β_M2), both moderating the H6a path &gt; (INT → TRU) and neither moderating H6b or H6c.</w:t>
      </w:r>
      <w:r>
        <w:t xml:space="preserve"> No three-way &gt; product term is estimated, drawn, tabulated or discussed. </w:t>
      </w:r>
      <w:r>
        <w:rPr>
          <w:bCs/>
          <w:b/>
        </w:rPr>
        <w:t xml:space="preserve">Any &gt; occurrence of &gt; “β_M3”, &gt; “β_M4”, &gt; “moderated moderation”, or &gt; “three-way interaction” is &gt; a pre-v2.3 remnant and must be removed</w:t>
      </w:r>
      <w:r>
        <w:t xml:space="preserve"> — check the model &gt; figure, B1.4, the SmartPLS model file, 06_power_analysis.py, &gt; 07_plssem_bridge.R and CLAUDE.md.</w:t>
      </w:r>
    </w:p>
    <w:p>
      <w:pPr>
        <w:numPr>
          <w:ilvl w:val="0"/>
          <w:numId w:val="1012"/>
        </w:numPr>
      </w:pPr>
      <w:r>
        <w:rPr>
          <w:bCs/>
          <w:b/>
        </w:rPr>
        <w:t xml:space="preserve">REL is measured by REL1–REL4 in every measurement-model artefact.</w:t>
      </w:r>
      <w:r>
        <w:t xml:space="preserve"> All four items enter α, AVE, HTMT and loading tables; none is excluded. Any artefact still excluding REL4 or capping REL at 3 items is a pre-correction-pass remnant and must be updated.</w:t>
      </w:r>
    </w:p>
    <w:p>
      <w:pPr>
        <w:numPr>
          <w:ilvl w:val="0"/>
          <w:numId w:val="1012"/>
        </w:numPr>
      </w:pPr>
      <w:r>
        <w:rPr>
          <w:bCs/>
          <w:b/>
        </w:rPr>
        <w:t xml:space="preserve">TRU = TRU1–TRU6 and ENG = ENG1–ENG6 everywhere.</w:t>
      </w:r>
      <w:r>
        <w:t xml:space="preserve"> Any artefact reading “TRU1–TRU5” or “ENG1–ENG5” predates the post-B1.5 correction pass that reversed Amendment A-10’s TRU reduction.</w:t>
      </w:r>
    </w:p>
    <w:p>
      <w:pPr>
        <w:numPr>
          <w:ilvl w:val="0"/>
          <w:numId w:val="1012"/>
        </w:numPr>
      </w:pPr>
      <w:r>
        <w:rPr>
          <w:bCs/>
          <w:b/>
        </w:rPr>
        <w:t xml:space="preserve">ENG reliability/item-retention diagnostics are computed within &gt; dimension (Cognitive: ENG1–ENG2; Affection: ENG3, ENG6; &gt; Activation: ENG4–ENG5), never pooled across all six items.</w:t>
      </w:r>
      <w:r>
        <w:t xml:space="preserve"> &gt; ENG4 is retained in the measurement model despite weak &gt; Activation-facet reliability (§A.4.1, Amendment A-12); it is not &gt; dropped by analogy to REL4. Any artefact citing “Brodie et &gt; al. (2011)” as the </w:t>
      </w:r>
      <w:r>
        <w:rPr>
          <w:iCs/>
          <w:i/>
        </w:rPr>
        <w:t xml:space="preserve">measurement</w:t>
      </w:r>
      <w:r>
        <w:t xml:space="preserve"> source for ENG1–ENG6 (rather &gt; than Hollebeek, Glynn, &amp; Brodie, 2014) is a pre-A-12 remnant. ENG &gt; remains a single first-order reflective composite in the &gt; structural model — no second-order ENG specification appears &gt; anywhere without a dedicated amendment.</w:t>
      </w:r>
    </w:p>
    <w:p>
      <w:pPr>
        <w:numPr>
          <w:ilvl w:val="0"/>
          <w:numId w:val="1012"/>
        </w:numPr>
      </w:pPr>
      <w:r>
        <w:t xml:space="preserve">Model figure legend: solid arrows = the hypothesised direct paths &gt; H1–H6c; </w:t>
      </w:r>
      <w:r>
        <w:rPr>
          <w:bCs/>
          <w:b/>
        </w:rPr>
        <w:t xml:space="preserve">two separate dashed arrows, one from PDPL Awareness and &gt; one from Disclosure Level, each converging on its own moderation &gt; point astride the INT → TRU path</w:t>
      </w:r>
      <w:r>
        <w:t xml:space="preserve"> = H7a and H7b; dotted arrows = &gt; E1 and E2. The moderator box reads “PDPL Awareness (Law &gt; 91/2025/QH15)” — any figure still labelled “PDPD” is a &gt; governance-rule-1 violation. DISC is drawn as an observed variable &gt; (rectangular, dashed border), not a latent oval, and annotated &gt; “manipulated factor; dummy 0/1; no measurement model”. Labels read &gt; “H7a: β_M1 &gt; 0” and “H7b: β_M2 &gt; 0” — </w:t>
      </w:r>
      <w:r>
        <w:rPr>
          <w:bCs/>
          <w:b/>
        </w:rPr>
        <w:t xml:space="preserve">not</w:t>
      </w:r>
      <w:r>
        <w:t xml:space="preserve"> the single-node, &gt; single-label rendering specified before A-8.</w:t>
      </w:r>
    </w:p>
    <w:p>
      <w:pPr>
        <w:numPr>
          <w:ilvl w:val="0"/>
          <w:numId w:val="1012"/>
        </w:numPr>
      </w:pPr>
      <w:r>
        <w:t xml:space="preserve">Bart et al. (2005) framed as empirical support, never as a &gt; theoretical pillar. The three pillars are and remain Privacy &gt; Calculus (Dinev &amp; Hart, 2006), Trust Theory (McKnight et al., &gt; 2002), and Institutional Theory (Scott, 1995).</w:t>
      </w:r>
    </w:p>
    <w:p>
      <w:pPr>
        <w:numPr>
          <w:ilvl w:val="0"/>
          <w:numId w:val="1012"/>
        </w:numPr>
      </w:pPr>
      <w:r>
        <w:t xml:space="preserve">SDG 16 used for societal/governance justification and the Group 4 &gt; vignette designation only; SDG 12 used for the artifact objective &gt; only. Neither is a measurement basis.</w:t>
      </w:r>
    </w:p>
    <w:p>
      <w:pPr>
        <w:numPr>
          <w:ilvl w:val="0"/>
          <w:numId w:val="1012"/>
        </w:numPr>
      </w:pPr>
      <w:r>
        <w:t xml:space="preserve">All regulatory citations reference PDP Law 2025 article numbers as &gt; tabulated in Part B; Decree 13/2023/NĐ-CP is cited only &gt; historically.</w:t>
      </w:r>
    </w:p>
    <w:p>
      <w:pPr>
        <w:numPr>
          <w:ilvl w:val="0"/>
          <w:numId w:val="1012"/>
        </w:numPr>
      </w:pPr>
      <w:r>
        <w:t xml:space="preserve">Every reference verified in Scopus/Google Scholar before manuscript &gt; inclusion; 2026-dated and incomplete 2024-dated citations receive &gt; a second verification pass. Legal instruments are housed in the &gt; regulatory comparison, not the academic literature table.</w:t>
      </w:r>
    </w:p>
    <w:p>
      <w:pPr>
        <w:numPr>
          <w:ilvl w:val="0"/>
          <w:numId w:val="1012"/>
        </w:numPr>
      </w:pPr>
      <w:r>
        <w:t xml:space="preserve">Achieved power for β_M1 and β_M2 stated in the Method section; &gt; sample-size logic distinguishes the Cochran (1977) n = 385 &gt; convention from the study-specific power calculation. iThenticate &gt; total similarity &lt; 20% with no single source above 5%, checked &gt; with particular attention to the four vignettes.</w:t>
      </w:r>
    </w:p>
    <w:bookmarkEnd w:id="61"/>
    <w:bookmarkStart w:id="62" w:name="c.6-open-decisions-and-residual-risks"/>
    <w:p>
      <w:pPr>
        <w:pStyle w:val="Heading2"/>
      </w:pPr>
      <w:r>
        <w:t xml:space="preserve">C.6 Open Decisions and Residual Risks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Issue</w:t>
            </w:r>
          </w:p>
        </w:tc>
        <w:tc>
          <w:tcPr/>
          <w:p>
            <w:pPr>
              <w:pStyle w:val="Compact"/>
              <w:jc w:val="left"/>
            </w:pPr>
            <w:r>
              <w:rPr>
                <w:bCs/>
                <w:b/>
              </w:rPr>
              <w:t xml:space="preserve">Status and recommended handling</w:t>
            </w:r>
          </w:p>
        </w:tc>
      </w:tr>
      <w:tr>
        <w:tc>
          <w:tcPr/>
          <w:p>
            <w:pPr>
              <w:pStyle w:val="Compact"/>
              <w:jc w:val="left"/>
            </w:pPr>
            <w:r>
              <w:rPr>
                <w:bCs/>
                <w:b/>
              </w:rPr>
              <w:t xml:space="preserve">OD-1</w:t>
            </w:r>
          </w:p>
        </w:tc>
        <w:tc>
          <w:tcPr/>
          <w:p>
            <w:pPr>
              <w:pStyle w:val="Compact"/>
              <w:jc w:val="left"/>
            </w:pPr>
            <w:r>
              <w:t xml:space="preserve">Purchase Intention has no hypothesized antecedent.</w:t>
            </w:r>
          </w:p>
        </w:tc>
        <w:tc>
          <w:tcPr/>
          <w:p>
            <w:pPr>
              <w:pStyle w:val="Compact"/>
              <w:jc w:val="left"/>
            </w:pPr>
            <w:r>
              <w:rPr>
                <w:bCs/>
                <w:b/>
              </w:rPr>
              <w:t xml:space="preserve">CLOSED, 30 July 2026</w:t>
            </w:r>
            <w:r>
              <w:t xml:space="preserve"> by A-1: INT → PI restored as H6c.</w:t>
            </w:r>
          </w:p>
        </w:tc>
      </w:tr>
      <w:tr>
        <w:tc>
          <w:tcPr/>
          <w:p>
            <w:pPr>
              <w:pStyle w:val="Compact"/>
              <w:jc w:val="left"/>
            </w:pPr>
            <w:r>
              <w:rPr>
                <w:bCs/>
                <w:b/>
              </w:rPr>
              <w:t xml:space="preserve">OD-2</w:t>
            </w:r>
          </w:p>
        </w:tc>
        <w:tc>
          <w:tcPr/>
          <w:p>
            <w:pPr>
              <w:pStyle w:val="Compact"/>
              <w:jc w:val="left"/>
            </w:pPr>
            <w:r>
              <w:t xml:space="preserve">Statistical power for the highest-order H7 term (β_M4).</w:t>
            </w:r>
          </w:p>
        </w:tc>
        <w:tc>
          <w:tcPr/>
          <w:p>
            <w:pPr>
              <w:pStyle w:val="Compact"/>
              <w:jc w:val="left"/>
            </w:pPr>
            <w:r>
              <w:rPr>
                <w:bCs/>
                <w:b/>
              </w:rPr>
              <w:t xml:space="preserve">CLOSED, 24 August 2026</w:t>
            </w:r>
            <w:r>
              <w:t xml:space="preserve"> by A-8. The third-order term no longer exists; f² ≈ 0.02 per second-order term is detectable at n ≥ 400. No sample-size increase required. The a priori figure must still be reconciled against an R-side pwr/WebPower check before the quota is frozen.</w:t>
            </w:r>
          </w:p>
        </w:tc>
      </w:tr>
      <w:tr>
        <w:tc>
          <w:tcPr/>
          <w:p>
            <w:pPr>
              <w:pStyle w:val="Compact"/>
              <w:jc w:val="left"/>
            </w:pPr>
            <w:r>
              <w:rPr>
                <w:bCs/>
                <w:b/>
              </w:rPr>
              <w:t xml:space="preserve">OD-3</w:t>
            </w:r>
          </w:p>
        </w:tc>
        <w:tc>
          <w:tcPr/>
          <w:p>
            <w:pPr>
              <w:pStyle w:val="Compact"/>
              <w:jc w:val="left"/>
            </w:pPr>
            <w:r>
              <w:t xml:space="preserve">Green Score / SDG 12 attitude as a construct.</w:t>
            </w:r>
          </w:p>
        </w:tc>
        <w:tc>
          <w:tcPr/>
          <w:p>
            <w:pPr>
              <w:pStyle w:val="Compact"/>
              <w:jc w:val="left"/>
            </w:pPr>
            <w:r>
              <w:t xml:space="preserve">Remains an </w:t>
            </w:r>
            <w:r>
              <w:rPr>
                <w:bCs/>
                <w:b/>
              </w:rPr>
              <w:t xml:space="preserve">artifact-evaluation variable only</w:t>
            </w:r>
            <w:r>
              <w:t xml:space="preserve">, not a construct in the Study 1 SEM, unless formally revised. Adding it would require new items, new pillar-level justification, and re-running discriminant validity — not advisable within the current timeline.</w:t>
            </w:r>
          </w:p>
        </w:tc>
      </w:tr>
      <w:tr>
        <w:tc>
          <w:tcPr/>
          <w:p>
            <w:pPr>
              <w:pStyle w:val="Compact"/>
              <w:jc w:val="left"/>
            </w:pPr>
            <w:r>
              <w:rPr>
                <w:bCs/>
                <w:b/>
              </w:rPr>
              <w:t xml:space="preserve">OD-4</w:t>
            </w:r>
          </w:p>
        </w:tc>
        <w:tc>
          <w:tcPr/>
          <w:p>
            <w:pPr>
              <w:pStyle w:val="Compact"/>
              <w:jc w:val="left"/>
            </w:pPr>
            <w:r>
              <w:t xml:space="preserve">Article-level citations to Law 91/2025/QH15 not yet verified against the signed statute.</w:t>
            </w:r>
          </w:p>
        </w:tc>
        <w:tc>
          <w:tcPr/>
          <w:p>
            <w:pPr>
              <w:pStyle w:val="Compact"/>
              <w:jc w:val="left"/>
            </w:pPr>
            <w:r>
              <w:rPr>
                <w:bCs/>
                <w:b/>
              </w:rPr>
              <w:t xml:space="preserve">CLOSED, 26 August 2026</w:t>
            </w:r>
            <w:r>
              <w:t xml:space="preserve"> by A-11. A machine-readable full-text copy of the statute (luat_PDPL.pdf) replaced the unreadable scanned copy (91qh.signed.pdf) in the project files, making direct verification possible without the OCR pipeline originally anticipated. Every Art. n citation in Part B and §A.5.1 checked article-by-article: all accurate, no correction required. See Table 0d (A-11) for the two findings that strengthen the Study 2 statutory grounding (Art. 28(8) personalized-advertising sub-case; Art. 30(4) AI risk-classification duty).</w:t>
            </w:r>
          </w:p>
        </w:tc>
      </w:tr>
      <w:tr>
        <w:tc>
          <w:tcPr/>
          <w:p>
            <w:pPr>
              <w:pStyle w:val="Compact"/>
              <w:jc w:val="left"/>
            </w:pPr>
            <w:r>
              <w:rPr>
                <w:bCs/>
                <w:b/>
              </w:rPr>
              <w:t xml:space="preserve">OD-5</w:t>
            </w:r>
          </w:p>
        </w:tc>
        <w:tc>
          <w:tcPr/>
          <w:p>
            <w:pPr>
              <w:pStyle w:val="Compact"/>
              <w:jc w:val="left"/>
            </w:pPr>
            <w:r>
              <w:t xml:space="preserve">SDG 12 vs. SDG 16 division of labour.</w:t>
            </w:r>
          </w:p>
        </w:tc>
        <w:tc>
          <w:tcPr/>
          <w:p>
            <w:pPr>
              <w:pStyle w:val="Compact"/>
              <w:jc w:val="left"/>
            </w:pPr>
            <w:r>
              <w:t xml:space="preserve">Settled convention: </w:t>
            </w:r>
            <w:r>
              <w:rPr>
                <w:bCs/>
                <w:b/>
              </w:rPr>
              <w:t xml:space="preserve">SDG 16</w:t>
            </w:r>
            <w:r>
              <w:t xml:space="preserve"> = governance/transparency justification and the Group 4 vignette designation; </w:t>
            </w:r>
            <w:r>
              <w:rPr>
                <w:bCs/>
                <w:b/>
              </w:rPr>
              <w:t xml:space="preserve">SDG 12</w:t>
            </w:r>
            <w:r>
              <w:t xml:space="preserve"> = the artifact’s sustainability objective. Neither is a measurement basis and neither is a construct.</w:t>
            </w:r>
          </w:p>
        </w:tc>
      </w:tr>
      <w:tr>
        <w:tc>
          <w:tcPr/>
          <w:p>
            <w:pPr>
              <w:pStyle w:val="Compact"/>
              <w:jc w:val="left"/>
            </w:pPr>
            <w:r>
              <w:rPr>
                <w:bCs/>
                <w:b/>
              </w:rPr>
              <w:t xml:space="preserve">OD-6</w:t>
            </w:r>
          </w:p>
        </w:tc>
        <w:tc>
          <w:tcPr/>
          <w:p>
            <w:pPr>
              <w:pStyle w:val="Compact"/>
              <w:jc w:val="left"/>
            </w:pPr>
            <w:r>
              <w:t xml:space="preserve">Legacy “PDPD” / Decree 13 terminology outside this document.</w:t>
            </w:r>
          </w:p>
        </w:tc>
        <w:tc>
          <w:tcPr/>
          <w:p>
            <w:pPr>
              <w:pStyle w:val="Compact"/>
              <w:jc w:val="left"/>
            </w:pPr>
            <w:r>
              <w:t xml:space="preserve">The project brief, the earlier planning document, and the literature-review spreadsheet’s Takeaway column still use deprecated terms. A one-time find-and-replace pass is required; the planning document’s H7 wording should be annotated rather than silently changed, so the provenance of the A-8 respecification stays auditable.</w:t>
            </w:r>
          </w:p>
        </w:tc>
      </w:tr>
      <w:tr>
        <w:tc>
          <w:tcPr/>
          <w:p>
            <w:pPr>
              <w:pStyle w:val="Compact"/>
              <w:jc w:val="left"/>
            </w:pPr>
            <w:r>
              <w:rPr>
                <w:bCs/>
                <w:b/>
              </w:rPr>
              <w:t xml:space="preserve">OD-7</w:t>
            </w:r>
          </w:p>
        </w:tc>
        <w:tc>
          <w:tcPr/>
          <w:p>
            <w:pPr>
              <w:pStyle w:val="Compact"/>
              <w:jc w:val="left"/>
            </w:pPr>
            <w:r>
              <w:t xml:space="preserve">The research model figure is not compliant with this document.</w:t>
            </w:r>
          </w:p>
        </w:tc>
        <w:tc>
          <w:tcPr/>
          <w:p>
            <w:pPr>
              <w:pStyle w:val="Compact"/>
              <w:jc w:val="left"/>
            </w:pPr>
            <w:r>
              <w:rPr>
                <w:bCs/>
                <w:b/>
              </w:rPr>
              <w:t xml:space="preserve">Action required before any circulation.</w:t>
            </w:r>
            <w:r>
              <w:t xml:space="preserve"> Defects, as revised by A-8: (i) moderator box reads “PDPD” instead of “PDPL Awareness (Law 91/2025/QH15)”; (ii) the legend gloss omits the moderator; (iii) </w:t>
            </w:r>
            <w:r>
              <w:rPr>
                <w:bCs/>
                <w:b/>
              </w:rPr>
              <w:t xml:space="preserve">H7 must now be drawn as two independent dashed arrows — PDPL Awareness and Disclosure Level each converging on its own moderation point on the INT → TRU path. The single shared moderation node specified before A-8 is withdrawn;</w:t>
            </w:r>
            <w:r>
              <w:t xml:space="preserve"> (iv) the DISC box is drawn identically to AIP — redraw with a dashed border and annotate “manipulated factor; dummy 0/1; no measurement model”; (v) legend reads “solid = H1–H6”, should be “H1–H6c”; (vi) labels must read “H7a: β_M1 &gt; 0” and “H7b: β_M2 &gt; 0”. Add a figure note declaring the specification terms rather than drawing them. Target reissue: B1.4 v4.3.</w:t>
            </w:r>
          </w:p>
        </w:tc>
      </w:tr>
      <w:tr>
        <w:tc>
          <w:tcPr/>
          <w:p>
            <w:pPr>
              <w:pStyle w:val="Compact"/>
              <w:jc w:val="left"/>
            </w:pPr>
            <w:r>
              <w:rPr>
                <w:bCs/>
                <w:b/>
              </w:rPr>
              <w:t xml:space="preserve">OD-8</w:t>
            </w:r>
          </w:p>
        </w:tc>
        <w:tc>
          <w:tcPr/>
          <w:p>
            <w:pPr>
              <w:pStyle w:val="Compact"/>
              <w:jc w:val="left"/>
            </w:pPr>
            <w:r>
              <w:t xml:space="preserve">Downstream propagation of A-1 to A-6.</w:t>
            </w:r>
          </w:p>
        </w:tc>
        <w:tc>
          <w:tcPr/>
          <w:p>
            <w:pPr>
              <w:pStyle w:val="Compact"/>
              <w:jc w:val="left"/>
            </w:pPr>
            <w:r>
              <w:t xml:space="preserve">Largely absorbed. B1.4 now moves to </w:t>
            </w:r>
            <w:r>
              <w:rPr>
                <w:bCs/>
                <w:b/>
              </w:rPr>
              <w:t xml:space="preserve">v4.3</w:t>
            </w:r>
            <w:r>
              <w:t xml:space="preserve"> carrying A-7 through A-10 together. B1.5, B1.6 and the Qualtrics block labels inherit the measurement-register corrections.</w:t>
            </w:r>
          </w:p>
        </w:tc>
      </w:tr>
      <w:tr>
        <w:tc>
          <w:tcPr/>
          <w:p>
            <w:pPr>
              <w:pStyle w:val="Compact"/>
              <w:jc w:val="left"/>
            </w:pPr>
            <w:r>
              <w:rPr>
                <w:bCs/>
                <w:b/>
              </w:rPr>
              <w:t xml:space="preserve">OD-9</w:t>
            </w:r>
          </w:p>
        </w:tc>
        <w:tc>
          <w:tcPr/>
          <w:p>
            <w:pPr>
              <w:pStyle w:val="Compact"/>
              <w:jc w:val="left"/>
            </w:pPr>
            <w:r>
              <w:t xml:space="preserve">Third novelty statement in §B.6.</w:t>
            </w:r>
          </w:p>
        </w:tc>
        <w:tc>
          <w:tcPr/>
          <w:p>
            <w:pPr>
              <w:pStyle w:val="Compact"/>
              <w:jc w:val="left"/>
            </w:pPr>
            <w:r>
              <w:rPr>
                <w:bCs/>
                <w:b/>
              </w:rPr>
              <w:t xml:space="preserve">Open — Khải’s call.</w:t>
            </w:r>
            <w:r>
              <w:t xml:space="preserve"> The v2.0 conjunctive statement cannot survive A-8. Option (a) withdraw, option (b) replace with the relative-leverage framing (§B.6). Until decided, the paragraph is not circulated. Should be settled before the Introduction and Discussion are drafted, and read alongside open item 12 of A-7 (the “research-informed design” timing question), since both concern how strongly the manuscript may claim a joint contribution. Owner: Khải.</w:t>
            </w:r>
          </w:p>
        </w:tc>
      </w:tr>
      <w:tr>
        <w:tc>
          <w:tcPr/>
          <w:p>
            <w:pPr>
              <w:pStyle w:val="Compact"/>
              <w:jc w:val="left"/>
            </w:pPr>
            <w:r>
              <w:rPr>
                <w:bCs/>
                <w:b/>
              </w:rPr>
              <w:t xml:space="preserve">OD-10</w:t>
            </w:r>
          </w:p>
        </w:tc>
        <w:tc>
          <w:tcPr/>
          <w:p>
            <w:pPr>
              <w:pStyle w:val="Compact"/>
              <w:jc w:val="left"/>
            </w:pPr>
            <w:r>
              <w:t xml:space="preserve">Whether REL4 remains in the fielded instrument.</w:t>
            </w:r>
          </w:p>
        </w:tc>
        <w:tc>
          <w:tcPr/>
          <w:p>
            <w:pPr>
              <w:pStyle w:val="Compact"/>
              <w:jc w:val="left"/>
            </w:pPr>
            <w:r>
              <w:rPr>
                <w:bCs/>
                <w:b/>
              </w:rPr>
              <w:t xml:space="preserve">Open — default adopted.</w:t>
            </w:r>
            <w:r>
              <w:t xml:space="preserve"> The default recorded in A-9 is to </w:t>
            </w:r>
            <w:r>
              <w:rPr>
                <w:bCs/>
                <w:b/>
              </w:rPr>
              <w:t xml:space="preserve">keep REL4 in the instrument</w:t>
            </w:r>
            <w:r>
              <w:t xml:space="preserve"> and exclude it only from the measurement model. Rationale: the Qualtrics build is already frozen and tested; removing an item invalidates the pilot’s comparability with main collection; and retaining it permits the 4-item vs 3-item sensitivity analysis that makes the exclusion defensible to a reviewer. The alternative — removing REL4 from the instrument — buys roughly ten seconds of respondent time and forfeits the sensitivity analysis. Confirm or reverse before main collection opens. Owner: Khải.</w:t>
            </w:r>
          </w:p>
        </w:tc>
      </w:tr>
      <w:tr>
        <w:tc>
          <w:tcPr/>
          <w:p>
            <w:pPr>
              <w:pStyle w:val="Compact"/>
              <w:jc w:val="left"/>
            </w:pPr>
            <w:r>
              <w:rPr>
                <w:bCs/>
                <w:b/>
              </w:rPr>
              <w:t xml:space="preserve">OD-11</w:t>
            </w:r>
          </w:p>
        </w:tc>
        <w:tc>
          <w:tcPr/>
          <w:p>
            <w:pPr>
              <w:pStyle w:val="Compact"/>
              <w:jc w:val="left"/>
            </w:pPr>
            <w:r>
              <w:t xml:space="preserve">PDPL1–4 stems do not name Law 91/2025/QH15.</w:t>
            </w:r>
          </w:p>
        </w:tc>
        <w:tc>
          <w:tcPr/>
          <w:p>
            <w:pPr>
              <w:pStyle w:val="Compact"/>
              <w:jc w:val="left"/>
            </w:pPr>
            <w:r>
              <w:rPr>
                <w:bCs/>
                <w:b/>
              </w:rPr>
              <w:t xml:space="preserve">Closed by Amendment A-17, 8 September 2026 (supersedes the same-day A-16).</w:t>
            </w:r>
            <w:r>
              <w:t xml:space="preserve"> Final resolution: item stems remain generic, and the fielded preamble also remains a single generic segment with no statute-naming addition – faculty advisor confirmed the statute need not be named anywhere in survey administration, since all four items already trace to specific articles. The statute’s name and its relationship to the construct are documented in Chapter 2 and the Method section’s instrument-development narrative only. See § A.5.2, Table 0f. Owner: Khải (ratified); raised by Thiện, confirmed and finalized by faculty advisor.</w:t>
            </w:r>
          </w:p>
        </w:tc>
      </w:tr>
    </w:tbl>
    <w:p>
      <w:pPr>
        <w:pStyle w:val="BodyText"/>
      </w:pPr>
      <w:r>
        <w:t xml:space="preserve">Table 6. Open decisions and residual risks as of 26 August 2026.</w:t>
      </w:r>
    </w:p>
    <w:bookmarkEnd w:id="62"/>
    <w:bookmarkEnd w:id="63"/>
    <w:bookmarkStart w:id="64" w:name="key-references-foundational-set"/>
    <w:p>
      <w:pPr>
        <w:pStyle w:val="Heading1"/>
      </w:pPr>
      <w:r>
        <w:t xml:space="preserve">Key References (Foundational Set)</w:t>
      </w:r>
    </w:p>
    <w:p>
      <w:pPr>
        <w:pStyle w:val="FirstParagraph"/>
      </w:pPr>
      <w:r>
        <w:t xml:space="preserve">Verification status: entries marked [verify] are planning-designated or corpus-level citations whose full bibliographic details must be confirmed in Scopus before manuscript inclusion. Corpus-level citations appearing in Part A (Teepapal, 2025; Aydin, 2026; Canhoto et al., 2024) are catalogued in the literature-review spreadsheet and are not repeated here.</w:t>
      </w:r>
    </w:p>
    <w:p>
      <w:pPr>
        <w:pStyle w:val="BodyText"/>
      </w:pPr>
      <w:r>
        <w:t xml:space="preserve">Aguinis, H., Beaty, J. C., Boik, R. J., &amp; Pierce, C. A. (2005). Effect size and power in assessing moderating effects of categorical variables using multiple regression: A 30-year review. </w:t>
      </w:r>
      <w:r>
        <w:rPr>
          <w:iCs/>
          <w:i/>
        </w:rPr>
        <w:t xml:space="preserve">Journal of Applied</w:t>
      </w:r>
      <w:r>
        <w:rPr>
          <w:bCs/>
          <w:b/>
          <w:iCs/>
          <w:i/>
        </w:rPr>
        <w:t xml:space="preserve"> </w:t>
      </w:r>
      <w:r>
        <w:rPr>
          <w:iCs/>
          <w:i/>
        </w:rPr>
        <w:t xml:space="preserve">Psychology, 90</w:t>
      </w:r>
      <w:r>
        <w:t xml:space="preserve">(1), 94–107. [verify]</w:t>
      </w:r>
    </w:p>
    <w:p>
      <w:pPr>
        <w:pStyle w:val="BodyText"/>
      </w:pPr>
      <w:r>
        <w:t xml:space="preserve">Aiken, L. S., &amp; West, S. G. (1991). </w:t>
      </w:r>
      <w:r>
        <w:rPr>
          <w:iCs/>
          <w:i/>
        </w:rPr>
        <w:t xml:space="preserve">Multiple regression: Testing and</w:t>
      </w:r>
      <w:r>
        <w:rPr>
          <w:bCs/>
          <w:b/>
          <w:iCs/>
          <w:i/>
        </w:rPr>
        <w:t xml:space="preserve"> </w:t>
      </w:r>
      <w:r>
        <w:rPr>
          <w:iCs/>
          <w:i/>
        </w:rPr>
        <w:t xml:space="preserve">interpreting interactions.</w:t>
      </w:r>
      <w:r>
        <w:t xml:space="preserve"> Sage. [verify]</w:t>
      </w:r>
    </w:p>
    <w:p>
      <w:pPr>
        <w:pStyle w:val="BodyText"/>
      </w:pPr>
      <w:r>
        <w:t xml:space="preserve">Awad, N. F., &amp; Krishnan, M. S. (2006). The personalization privacy paradox: An empirical evaluation of information transparency and the willingness to be profiled online for personalization. </w:t>
      </w:r>
      <w:r>
        <w:rPr>
          <w:iCs/>
          <w:i/>
        </w:rPr>
        <w:t xml:space="preserve">MIS Quarterly,</w:t>
      </w:r>
      <w:r>
        <w:rPr>
          <w:bCs/>
          <w:b/>
          <w:iCs/>
          <w:i/>
        </w:rPr>
        <w:t xml:space="preserve"> </w:t>
      </w:r>
      <w:r>
        <w:rPr>
          <w:iCs/>
          <w:i/>
        </w:rPr>
        <w:t xml:space="preserve">30</w:t>
      </w:r>
      <w:r>
        <w:t xml:space="preserve">(1), 13–28. [RETRACTED as an item source for AIP1–AIP3 — checked against the source PDF and found not to contain matching items; retracted, not merely superseded. AIP now sources to Yin, Qiu &amp; Wang (2025) and Rahman et al. (2022).]</w:t>
      </w:r>
    </w:p>
    <w:p>
      <w:pPr>
        <w:pStyle w:val="BodyText"/>
      </w:pPr>
      <w:r>
        <w:t xml:space="preserve">Bart, Y., Shankar, V., Sultan, F., &amp; Urban, G. L. (2005). Are the drivers and role of online trust the same for all web sites and consumers? A large-scale exploratory empirical study. </w:t>
      </w:r>
      <w:r>
        <w:rPr>
          <w:iCs/>
          <w:i/>
        </w:rPr>
        <w:t xml:space="preserve">Journal of</w:t>
      </w:r>
      <w:r>
        <w:rPr>
          <w:bCs/>
          <w:b/>
          <w:iCs/>
          <w:i/>
        </w:rPr>
        <w:t xml:space="preserve"> </w:t>
      </w:r>
      <w:r>
        <w:rPr>
          <w:iCs/>
          <w:i/>
        </w:rPr>
        <w:t xml:space="preserve">Marketing, 69</w:t>
      </w:r>
      <w:r>
        <w:t xml:space="preserve">(4), 133–152.</w:t>
      </w:r>
    </w:p>
    <w:p>
      <w:pPr>
        <w:pStyle w:val="BodyText"/>
      </w:pPr>
      <w:r>
        <w:t xml:space="preserve">Becker, J.-M., Ringle, C. M., &amp; Sarstedt, M. (2018). Estimating moderating effects in PLS-SEM and PLSc-SEM: Interaction term generation × data treatment. </w:t>
      </w:r>
      <w:r>
        <w:rPr>
          <w:iCs/>
          <w:i/>
        </w:rPr>
        <w:t xml:space="preserve">Journal of Applied Structural Equation Modeling,</w:t>
      </w:r>
      <w:r>
        <w:rPr>
          <w:bCs/>
          <w:b/>
          <w:iCs/>
          <w:i/>
        </w:rPr>
        <w:t xml:space="preserve"> </w:t>
      </w:r>
      <w:r>
        <w:rPr>
          <w:iCs/>
          <w:i/>
        </w:rPr>
        <w:t xml:space="preserve">2</w:t>
      </w:r>
      <w:r>
        <w:t xml:space="preserve">(2), 1–21. [verify]</w:t>
      </w:r>
    </w:p>
    <w:p>
      <w:pPr>
        <w:pStyle w:val="BodyText"/>
      </w:pPr>
      <w:r>
        <w:t xml:space="preserve">Brodie, R. J., Hollebeek, L. D., Jurić, B., &amp; Ilić, A. (2011). Customer engagement: Conceptual domain, fundamental propositions, and implications for research. </w:t>
      </w:r>
      <w:r>
        <w:rPr>
          <w:iCs/>
          <w:i/>
        </w:rPr>
        <w:t xml:space="preserve">Journal of Service Research, 14</w:t>
      </w:r>
      <w:r>
        <w:t xml:space="preserve">(3), 252–271.</w:t>
      </w:r>
    </w:p>
    <w:p>
      <w:pPr>
        <w:pStyle w:val="BodyText"/>
      </w:pPr>
      <w:r>
        <w:t xml:space="preserve">Cochran, W. G. (1977). </w:t>
      </w:r>
      <w:r>
        <w:rPr>
          <w:iCs/>
          <w:i/>
        </w:rPr>
        <w:t xml:space="preserve">Sampling techniques</w:t>
      </w:r>
      <w:r>
        <w:t xml:space="preserve"> (3rd ed.). Wiley. [verify]</w:t>
      </w:r>
    </w:p>
    <w:p>
      <w:pPr>
        <w:pStyle w:val="BodyText"/>
      </w:pPr>
      <w:r>
        <w:t xml:space="preserve">Dinev, T., &amp; Hart, P. (2006). An extended privacy calculus model for e-commerce transactions. </w:t>
      </w:r>
      <w:r>
        <w:rPr>
          <w:iCs/>
          <w:i/>
        </w:rPr>
        <w:t xml:space="preserve">Information Systems Research, 17</w:t>
      </w:r>
      <w:r>
        <w:t xml:space="preserve">(1), 61–80.</w:t>
      </w:r>
    </w:p>
    <w:p>
      <w:pPr>
        <w:pStyle w:val="BodyText"/>
      </w:pPr>
      <w:r>
        <w:t xml:space="preserve">Featherman, M. S., &amp; Pavlou, P. A. (2003). Predicting e-services adoption: A perceived risk facets perspective. </w:t>
      </w:r>
      <w:r>
        <w:rPr>
          <w:iCs/>
          <w:i/>
        </w:rPr>
        <w:t xml:space="preserve">International Journal of</w:t>
      </w:r>
      <w:r>
        <w:rPr>
          <w:bCs/>
          <w:b/>
          <w:iCs/>
          <w:i/>
        </w:rPr>
        <w:t xml:space="preserve"> </w:t>
      </w:r>
      <w:r>
        <w:rPr>
          <w:iCs/>
          <w:i/>
        </w:rPr>
        <w:t xml:space="preserve">Human-Computer Studies, 59</w:t>
      </w:r>
      <w:r>
        <w:t xml:space="preserve">(4), 451–474. [verify]</w:t>
      </w:r>
    </w:p>
    <w:p>
      <w:pPr>
        <w:pStyle w:val="BodyText"/>
      </w:pPr>
      <w:r>
        <w:t xml:space="preserve">Henseler, J., Ringle, C. M., &amp; Sarstedt, M. (2016). Testing measurement invariance of composites using partial least squares. </w:t>
      </w:r>
      <w:r>
        <w:rPr>
          <w:iCs/>
          <w:i/>
        </w:rPr>
        <w:t xml:space="preserve">International</w:t>
      </w:r>
      <w:r>
        <w:rPr>
          <w:bCs/>
          <w:b/>
          <w:iCs/>
          <w:i/>
        </w:rPr>
        <w:t xml:space="preserve"> </w:t>
      </w:r>
      <w:r>
        <w:rPr>
          <w:iCs/>
          <w:i/>
        </w:rPr>
        <w:t xml:space="preserve">Marketing Review, 33</w:t>
      </w:r>
      <w:r>
        <w:t xml:space="preserve">(3), 405–431. [verify]</w:t>
      </w:r>
    </w:p>
    <w:p>
      <w:pPr>
        <w:pStyle w:val="BodyText"/>
      </w:pPr>
      <w:r>
        <w:t xml:space="preserve">Hevner, A. R., March, S. T., Park, J., &amp; Ram, S. (2004). Design science in information systems research. </w:t>
      </w:r>
      <w:r>
        <w:rPr>
          <w:iCs/>
          <w:i/>
        </w:rPr>
        <w:t xml:space="preserve">MIS Quarterly, 28</w:t>
      </w:r>
      <w:r>
        <w:t xml:space="preserve">(1), 75–105.</w:t>
      </w:r>
    </w:p>
    <w:p>
      <w:pPr>
        <w:pStyle w:val="BodyText"/>
      </w:pPr>
      <w:r>
        <w:t xml:space="preserve">Hollebeek, L. D., Glynn, M. S., &amp; Brodie, R. J. (2014). Consumer brand engagement in social media: Conceptualization, scale development and validation. </w:t>
      </w:r>
      <w:r>
        <w:rPr>
          <w:iCs/>
          <w:i/>
        </w:rPr>
        <w:t xml:space="preserve">Journal of Interactive Marketing, 28</w:t>
      </w:r>
      <w:r>
        <w:t xml:space="preserve">(2), 149–165.</w:t>
      </w:r>
    </w:p>
    <w:p>
      <w:pPr>
        <w:pStyle w:val="BodyText"/>
      </w:pPr>
      <w:r>
        <w:t xml:space="preserve">Li, H., et al. (2017). [Privacy-invasion scale — full reference to be resolved from the planning document’s source list.] [verify]</w:t>
      </w:r>
    </w:p>
    <w:p>
      <w:pPr>
        <w:pStyle w:val="BodyText"/>
      </w:pPr>
      <w:r>
        <w:t xml:space="preserve">McKnight, D. H., Choudhury, V., &amp; Kacmar, C. (2002). Developing and validating trust measures for e-commerce: An integrative typology. </w:t>
      </w:r>
      <w:r>
        <w:rPr>
          <w:iCs/>
          <w:i/>
        </w:rPr>
        <w:t xml:space="preserve">Information Systems Research, 13</w:t>
      </w:r>
      <w:r>
        <w:t xml:space="preserve">(3), 334–359.</w:t>
      </w:r>
    </w:p>
    <w:p>
      <w:pPr>
        <w:pStyle w:val="BodyText"/>
      </w:pPr>
      <w:r>
        <w:t xml:space="preserve">Mehrabian, A., &amp; Russell, J. A. (1974). </w:t>
      </w:r>
      <w:r>
        <w:rPr>
          <w:iCs/>
          <w:i/>
        </w:rPr>
        <w:t xml:space="preserve">An approach to environmental</w:t>
      </w:r>
      <w:r>
        <w:rPr>
          <w:bCs/>
          <w:b/>
          <w:iCs/>
          <w:i/>
        </w:rPr>
        <w:t xml:space="preserve"> </w:t>
      </w:r>
      <w:r>
        <w:rPr>
          <w:iCs/>
          <w:i/>
        </w:rPr>
        <w:t xml:space="preserve">psychology.</w:t>
      </w:r>
      <w:r>
        <w:t xml:space="preserve"> MIT Press.</w:t>
      </w:r>
    </w:p>
    <w:p>
      <w:pPr>
        <w:pStyle w:val="BodyText"/>
      </w:pPr>
      <w:r>
        <w:t xml:space="preserve">Morgan, R. M., &amp; Hunt, S. D. (1994). The commitment–trust theory of relationship marketing. </w:t>
      </w:r>
      <w:r>
        <w:rPr>
          <w:iCs/>
          <w:i/>
        </w:rPr>
        <w:t xml:space="preserve">Journal of Marketing, 58</w:t>
      </w:r>
      <w:r>
        <w:t xml:space="preserve">(3), 20–38.</w:t>
      </w:r>
    </w:p>
    <w:p>
      <w:pPr>
        <w:pStyle w:val="BodyText"/>
      </w:pPr>
      <w:r>
        <w:t xml:space="preserve">Pavlou, P. A. (2003). Consumer acceptance of electronic commerce: Integrating trust and risk with the technology acceptance model. </w:t>
      </w:r>
      <w:r>
        <w:rPr>
          <w:iCs/>
          <w:i/>
        </w:rPr>
        <w:t xml:space="preserve">International Journal of Electronic Commerce, 7</w:t>
      </w:r>
      <w:r>
        <w:t xml:space="preserve">(3), 101–134. [verify]</w:t>
      </w:r>
    </w:p>
    <w:p>
      <w:pPr>
        <w:pStyle w:val="BodyText"/>
      </w:pPr>
      <w:r>
        <w:t xml:space="preserve">Peffers, K., Tuunanen, T., Rothenberger, M. A., &amp; Chatterjee, S. (2007). A design science research methodology for information systems research. </w:t>
      </w:r>
      <w:r>
        <w:rPr>
          <w:iCs/>
          <w:i/>
        </w:rPr>
        <w:t xml:space="preserve">Journal of Management Information Systems, 24</w:t>
      </w:r>
      <w:r>
        <w:t xml:space="preserve">(3), 45–77.</w:t>
      </w:r>
    </w:p>
    <w:p>
      <w:pPr>
        <w:pStyle w:val="BodyText"/>
      </w:pPr>
      <w:r>
        <w:t xml:space="preserve">Scott, W. R. (1995). </w:t>
      </w:r>
      <w:r>
        <w:rPr>
          <w:iCs/>
          <w:i/>
        </w:rPr>
        <w:t xml:space="preserve">Institutions and organizations.</w:t>
      </w:r>
      <w:r>
        <w:t xml:space="preserve"> Sage.</w:t>
      </w:r>
    </w:p>
    <w:p>
      <w:pPr>
        <w:pStyle w:val="BodyText"/>
      </w:pPr>
      <w:r>
        <w:t xml:space="preserve">Van Doorn, J., Lemon, K. N., Mittal, V., Nass, S., Pick, D., Pirner, P., &amp; Verhoef, P. C. (2010). Customer engagement behavior: Theoretical foundations and research directions. </w:t>
      </w:r>
      <w:r>
        <w:rPr>
          <w:iCs/>
          <w:i/>
        </w:rPr>
        <w:t xml:space="preserve">Journal of Service Research,</w:t>
      </w:r>
      <w:r>
        <w:rPr>
          <w:bCs/>
          <w:b/>
          <w:iCs/>
          <w:i/>
        </w:rPr>
        <w:t xml:space="preserve"> </w:t>
      </w:r>
      <w:r>
        <w:rPr>
          <w:iCs/>
          <w:i/>
        </w:rPr>
        <w:t xml:space="preserve">13</w:t>
      </w:r>
      <w:r>
        <w:t xml:space="preserve">(3), 253–266. [verify]</w:t>
      </w:r>
    </w:p>
    <w:p>
      <w:pPr>
        <w:pStyle w:val="BodyText"/>
      </w:pPr>
      <w:r>
        <w:t xml:space="preserve">Xu, H., Luo, X. R., Carroll, J. M., &amp; Rosson, M. B. (2011). The personalization privacy paradox: An exploratory study of decision making process for location-aware marketing. </w:t>
      </w:r>
      <w:r>
        <w:rPr>
          <w:iCs/>
          <w:i/>
        </w:rPr>
        <w:t xml:space="preserve">Decision Support Systems, 51</w:t>
      </w:r>
      <w:r>
        <w:t xml:space="preserve">(1), 42–52. [RETRACTED as an item source for REL1–REL3 — checked against the source PDF and found not to contain matching items; retracted, not merely superseded. REL now sources to Srinivasan, Anderson &amp; Ponnavolu (2002) and Yin, Qiu &amp; Wang (2025).]</w:t>
      </w:r>
    </w:p>
    <w:p>
      <w:pPr>
        <w:pStyle w:val="BodyText"/>
      </w:pPr>
      <w:r>
        <w:t xml:space="preserve">--- Added in the AIP/REL/PI correction pass (post v2.9) ---</w:t>
      </w:r>
    </w:p>
    <w:p>
      <w:pPr>
        <w:pStyle w:val="BodyText"/>
      </w:pPr>
      <w:r>
        <w:t xml:space="preserve">Ahluwalia, R., Unnava, H. R., &amp; Burnkrant, R. E. (2001). The moderating role of commitment on the spillover effect of marketing communications. Journal of Marketing Research, 38(4), 458–470. [Verified against PDF; item pair repurposed for REL3 originates from an information-diagnosticity scale (Klar, 1990) reproduced in this paper, not from a relevance construct of its own.]</w:t>
      </w:r>
    </w:p>
    <w:p>
      <w:pPr>
        <w:pStyle w:val="BodyText"/>
      </w:pPr>
      <w:r>
        <w:t xml:space="preserve">De Keyzer, F., Dens, N., &amp; De Pelsmacker, P. (2015). Is this for me? How consumers respond to personalized advertising on social network sites. Journal of Interactive Advertising, 15(2), 124–134. [Verified against PDF; source of REL3’s repurposed-item operationalization, α = .937.]</w:t>
      </w:r>
    </w:p>
    <w:p>
      <w:pPr>
        <w:pStyle w:val="BodyText"/>
      </w:pPr>
      <w:r>
        <w:t xml:space="preserve">Dodds, W. B., Monroe, K. B., &amp; Grewal, D. (1991). Effects of price, brand, and store information on buyers’ product evaluations. Journal of Marketing Research, 28(3), 307–319. [Verified against PDF; source of PI4.]</w:t>
      </w:r>
    </w:p>
    <w:p>
      <w:pPr>
        <w:pStyle w:val="BodyText"/>
      </w:pPr>
      <w:r>
        <w:t xml:space="preserve">Klar, Y. (1990). [Primary source of the diagnosticity item pair reproduced in Ahluwalia et al., 2001, and repurposed for REL3. NOT independently verified by the team — flagged for the team’s judgement before REL3 is formally ratified.]</w:t>
      </w:r>
    </w:p>
    <w:p>
      <w:pPr>
        <w:pStyle w:val="BodyText"/>
      </w:pPr>
      <w:r>
        <w:t xml:space="preserve">Rahman, S. M., Carlson, J., Gudergan, S. P., Wetzels, M., &amp; Grewal, D. (2022). Perceived omnichannel customer experience (OCX): Concept, measurement, and impact. Journal of Retailing, 98(4), 611–632. [Verified against PDF; source of AIP4–AIP5.]</w:t>
      </w:r>
    </w:p>
    <w:p>
      <w:pPr>
        <w:pStyle w:val="BodyText"/>
      </w:pPr>
      <w:r>
        <w:t xml:space="preserve">Srinivasan, S. S., Anderson, R., &amp; Ponnavolu, K. (2002). Customer loyalty in e-commerce: An exploration of its antecedents and consequences. Journal of Retailing, 78(1), 41–50. [Verified against PDF; source of REL1 only — not AIP, despite this paper’s Customization construct having been briefly and incorrectly considered for AIP in an intermediate draft.]</w:t>
      </w:r>
    </w:p>
    <w:p>
      <w:pPr>
        <w:pStyle w:val="BodyText"/>
      </w:pPr>
      <w:r>
        <w:t xml:space="preserve">Yin, J., Qiu, X., &amp; Wang, Y. (2025). The impact of AI-personalized recommendations on clicking intentions: Evidence from Chinese e-commerce. Journal of Theoretical and Applied Electronic Commerce Research, 20(1), Article 21. https://doi.org/10.3390/jtaer20010021 [Verified against the published Appendix, Table A3 (final, CFA-confirmed scale, n = 1097); source of AIP1–AIP3 (Insightful Experience items IS3/IS4/IS6) and REL2/REL3 (Relevance Experience items RE4/RE1).]</w:t>
      </w:r>
    </w:p>
    <w:p>
      <w:pPr>
        <w:pStyle w:val="BodyText"/>
      </w:pPr>
      <w:r>
        <w:t xml:space="preserve">National Assembly of Viet Nam. (2025). </w:t>
      </w:r>
      <w:r>
        <w:rPr>
          <w:iCs/>
          <w:i/>
        </w:rPr>
        <w:t xml:space="preserve">Law on Personal Data Protection</w:t>
      </w:r>
      <w:r>
        <w:t xml:space="preserve"> (Law No. 91/2025/QH15, effective 1 January 2026).</w:t>
      </w:r>
    </w:p>
    <w:p>
      <w:pPr>
        <w:pStyle w:val="BodyText"/>
      </w:pPr>
      <w:r>
        <w:t xml:space="preserve">Government of Viet Nam. (2023). </w:t>
      </w:r>
      <w:r>
        <w:rPr>
          <w:iCs/>
          <w:i/>
        </w:rPr>
        <w:t xml:space="preserve">Decree No. 13/2023/NĐ-CP on Personal</w:t>
      </w:r>
      <w:r>
        <w:rPr>
          <w:bCs/>
          <w:b/>
          <w:iCs/>
          <w:i/>
        </w:rPr>
        <w:t xml:space="preserve"> </w:t>
      </w:r>
      <w:r>
        <w:rPr>
          <w:iCs/>
          <w:i/>
        </w:rPr>
        <w:t xml:space="preserve">Data Protection</w:t>
      </w:r>
      <w:r>
        <w:t xml:space="preserve"> (superseded from 1 January 2026).</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2026-09-08T07:02:48Z</dcterms:created>
  <dcterms:modified xsi:type="dcterms:W3CDTF">2026-09-08T07:02:48Z</dcterms:modified>
</cp:coreProperties>
</file>

<file path=docProps/custom.xml><?xml version="1.0" encoding="utf-8"?>
<Properties xmlns="http://schemas.openxmlformats.org/officeDocument/2006/custom-properties" xmlns:vt="http://schemas.openxmlformats.org/officeDocument/2006/docPropsVTypes"/>
</file>