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THEORETICAL FOUNDATIONS AND REGULATORY COMPARISON</w:t>
      </w:r>
    </w:p>
    <w:p>
      <w:pPr>
        <w:pStyle w:val="BodyText"/>
      </w:pPr>
      <w:r>
        <w:rPr>
          <w:iCs/>
          <w:i/>
        </w:rPr>
        <w:t>Foundational Base Document — Version 2.13 (DRAFT — A-21 pending ratification)</w:t>
      </w:r>
    </w:p>
    <w:p>
      <w:pPr>
        <w:pStyle w:val="BodyText"/>
      </w:pPr>
      <w:r>
        <w:rPr>
          <w:bCs/>
          <w:b/>
        </w:rPr>
        <w:t xml:space="preserve">How AI-Driven Personalization Shapes Customer Engagement in Omnichannel Retail: A Privacy-Aware AI Agent Approach</w:t>
      </w:r>
    </w:p>
    <w:p>
      <w:pPr>
        <w:pStyle w:val="BodyText"/>
      </w:pPr>
      <w:r>
        <w:t xml:space="preserve">Consolidates: Literature Review (52 entries) · Conceptual Review (Trust Theory) · Novelty &amp; Regulatory Comparison</w:t>
      </w:r>
    </w:p>
    <w:p>
      <w:pPr>
        <w:pStyle w:val="BodyText"/>
      </w:pPr>
      <w:r>
        <w:t xml:space="preserve">Status: Team reference — single source of truth for theory, constructs, hypothesis numbering, measurement register, and regulatory framing</w:t>
      </w:r>
    </w:p>
    <w:p>
      <w:pPr>
        <w:pStyle w:val="BodyText"/>
      </w:pPr>
      <w:r>
        <w:rPr>
          <w:bCs/>
          <w:b/>
        </w:rPr>
        <w:t>Supersedes Versions 1.0, 2.0, 2.1, 2.2, 2.3, 2.4, 2.5, 2.6, 2.7, 2.8, 2.9, 2.10, 2.11 and 2.12, and absorbs Amendments A-7 through A-21 in full (A-21 is DRAFT, pending Khải's review and faculty ratification — see the marked entry below). Teams should work from this document alone; the separate amendment files are retained for audit trail only.</w:t>
      </w:r>
      <w:r/>
      <w:r/>
    </w:p>
    <w:p>
      <w:pPr>
        <w:pStyle w:val="BodyText"/>
      </w:pPr>
      <w:r>
        <w:t>20 September 2026 (draft reissue — A-21 pending ratification)</w:t>
      </w:r>
    </w:p>
    <w:bookmarkStart w:id="20" w:name="how-to-read-this-document"/>
    <w:p>
      <w:pPr>
        <w:pStyle w:val="Heading1"/>
      </w:pPr>
      <w:r>
        <w:t xml:space="preserve">How to read this document</w:t>
      </w:r>
    </w:p>
    <w:p>
      <w:pPr>
        <w:pStyle w:val="FirstParagraph"/>
      </w:pPr>
      <w:r>
        <w:t xml:space="preserve">This is a</w:t>
      </w:r>
      <w:r>
        <w:t xml:space="preserve"> </w:t>
      </w:r>
      <w:r>
        <w:rPr>
          <w:bCs/>
          <w:b/>
        </w:rPr>
        <w:t xml:space="preserve">consolidated reissue</w:t>
      </w:r>
      <w:r>
        <w:t xml:space="preserve">,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pPr>
        <w:pStyle w:val="BodyText"/>
      </w:pPr>
      <w:r>
        <w:t xml:space="preserve">Three things changed since Version 2.1, and they are the reason the v2.4 reissue existed:</w:t>
      </w:r>
    </w:p>
    <w:p>
      <w:pPr>
        <w:numPr>
          <w:ilvl w:val="0"/>
          <w:numId w:val="1001"/>
        </w:numPr>
      </w:pPr>
      <w:r>
        <w:rPr>
          <w:bCs/>
          <w:b/>
        </w:rPr>
        <w:t xml:space="preserve">Study allocation</w:t>
      </w:r>
      <w:r>
        <w:t xml:space="preserve"> </w:t>
      </w:r>
      <w:r>
        <w:t xml:space="preserve">was realigned to the approved plan (Amendment A-7). Study 1 is the behavioural study — the 2 × 2 survey-experiment analysed</w:t>
      </w:r>
      <w:r>
        <w:t xml:space="preserve"> </w:t>
      </w:r>
      <w:r>
        <w:rPr>
          <w:iCs/>
          <w:i/>
        </w:rPr>
        <w:t xml:space="preserve">both</w:t>
      </w:r>
      <w:r>
        <w:t xml:space="preserve"> </w:t>
      </w:r>
      <w:r>
        <w:t xml:space="preserve">by PLS-SEM and by ANOVA. Study 2 is the DSR artifact only.</w:t>
      </w:r>
    </w:p>
    <w:p>
      <w:pPr>
        <w:numPr>
          <w:ilvl w:val="0"/>
          <w:numId w:val="1001"/>
        </w:numPr>
      </w:pPr>
      <w:r>
        <w:rPr>
          <w:bCs/>
          <w:b/>
        </w:rPr>
        <w:t xml:space="preserve">H7 was respecified from a third-order to two second-order interactions</w:t>
      </w:r>
      <w:r>
        <w:t xml:space="preserve"> </w:t>
      </w:r>
      <w:r>
        <w:t xml:space="preserve">(Amendment A-8). H7a and H7b replace the single H7. The three-way product term is retired.</w:t>
      </w:r>
    </w:p>
    <w:p>
      <w:pPr>
        <w:numPr>
          <w:ilvl w:val="0"/>
          <w:numId w:val="1001"/>
        </w:numPr>
      </w:pPr>
      <w:r>
        <w:rPr>
          <w:bCs/>
          <w:b/>
        </w:rPr>
        <w:t xml:space="preserve">The measurement register was corrected against the fielded instrument</w:t>
      </w:r>
      <w:r>
        <w:t xml:space="preserve"> </w:t>
      </w:r>
      <w:r>
        <w:t xml:space="preserve">(Amendments A-9 and A-10): REL4 is excluded from the Perceived Relevance construct, and the TRU/ENG item counts are reconciled to what was actually fielded.</w:t>
      </w:r>
    </w:p>
    <w:p>
      <w:pPr>
        <w:pStyle w:val="FirstParagraph"/>
      </w:pPr>
      <w:r>
        <w:t xml:space="preserve">Three further things changed since Version 2.4, and are the reason for this reissue:</w:t>
      </w:r>
    </w:p>
    <w:p>
      <w:pPr>
        <w:numPr>
          <w:ilvl w:val="0"/>
          <w:numId w:val="1002"/>
        </w:numPr>
      </w:pPr>
      <w:r>
        <w:rPr>
          <w:bCs/>
          <w:b/>
        </w:rPr>
        <w:t xml:space="preserve">OD-4 was closed</w:t>
      </w:r>
      <w:r>
        <w:t xml:space="preserve"> </w:t>
      </w:r>
      <w:r>
        <w:t xml:space="preserve">(Amendment A-11). A machine-readable full-text copy of Law 91/2025/QH15 (luat_PDPL.pdf, replacing the unreadable scanned 91qh.signed.pdf in the project files) was read directly and checked article-by-article against every Art. n citation in Part B and §A.5.1. All citations verified accurate; no correction to Part B was required.</w:t>
      </w:r>
    </w:p>
    <w:p>
      <w:pPr>
        <w:numPr>
          <w:ilvl w:val="0"/>
          <w:numId w:val="1002"/>
        </w:numPr>
      </w:pPr>
      <w:r>
        <w:rPr>
          <w:bCs/>
          <w:b/>
        </w:rPr>
        <w:t xml:space="preserve">ENG was given an explicit three-dimension item structure and its measurement citation was corrected</w:t>
      </w:r>
      <w:r>
        <w:t xml:space="preserve"> </w:t>
      </w:r>
      <w:r>
        <w:t xml:space="preserve">(Amendment A-12): Cognitive Processing (ENG1–ENG2), Affection (ENG3, ENG6), and Activation (ENG4–ENG5), sourced to Hollebeek, Glynn, &amp; Brodie (2014) rather than Brodie et al. (2011). Reliability and item-retention diagnostics for ENG were to be computed within dimension, not pooled across all six items</w:t>
      </w:r>
      <w:r>
        <w:t xml:space="preserve"> </w:t>
      </w:r>
      <w:r>
        <w:t xml:space="preserve">014</w:t>
      </w:r>
      <w:r>
        <w:t xml:space="preserve"> </w:t>
      </w:r>
      <w:r>
        <w:rPr>
          <w:bCs/>
          <w:b/>
        </w:rPr>
        <w:t xml:space="preserve">a rule since superseded by Amendment A-20, which restores pooled computation</w:t>
      </w:r>
      <w:r>
        <w:t xml:space="preserve">; A-12’s citation correction, dimension labelling and retention of ENG4 all stand. ENG remains a single first-order composite in the structural model; see §A.4.1.</w:t>
      </w:r>
    </w:p>
    <w:p>
      <w:pPr>
        <w:numPr>
          <w:ilvl w:val="0"/>
          <w:numId w:val="1002"/>
        </w:numPr>
      </w:pPr>
      <w:r>
        <w:rPr>
          <w:bCs/>
          <w:b/>
        </w:rPr>
        <w:t xml:space="preserve">Item wording was finalized for main collection</w:t>
      </w:r>
      <w:r>
        <w:t xml:space="preserve"> </w:t>
      </w:r>
      <w:r>
        <w:t xml:space="preserve">(Amendment A-13): twelve constructs’ items (AIP, INT, TRU, PDPL, PI, plus minor EN-only wording elsewhere) were revised for clarity after pilot; a double-barreled TRU2 item is corrected back to a single claim. Pilot (n = 46) reliability statistics were computed on the pre-A-13 wording and are indicative, not confirmatory, for the finalized text — main collection is the authoritative test.</w:t>
      </w:r>
    </w:p>
    <w:p>
      <w:pPr>
        <w:pStyle w:val="FirstParagraph"/>
      </w:pPr>
      <w:r>
        <w:t xml:space="preserve">One thing changed since Version 2.7 and was issued as Version 2.8, then withdrawn the same day:</w:t>
      </w:r>
    </w:p>
    <w:p>
      <w:pPr>
        <w:numPr>
          <w:ilvl w:val="0"/>
          <w:numId w:val="1003"/>
        </w:numPr>
        <w:pStyle w:val="Compact"/>
      </w:pPr>
      <w:r>
        <w:rPr>
          <w:bCs/>
          <w:b/>
        </w:rPr>
        <w:t xml:space="preserve">[WITHDRAWN — SEE A-17 BELOW.]</w:t>
      </w:r>
      <w:r>
        <w:t xml:space="preserve"> </w:t>
      </w:r>
      <w:r>
        <w:t xml:space="preserve">Amendment A-16 had closed OD-11 by splitting block M_PDPL’s preamble into a generic segment before PDPL1 and a second segment naming Law 91/2025/QH15 after PDPL1, before PDPL2. That fix is superseded by Amendment A-17 below: further faculty-advisor clarification established that the statute name should not appear anywhere in the fielded survey administration – neither in the items (already true) nor in the preamble (A-16’s change). A-16 is retained in Table 0e for audit trail only and is not operative.</w:t>
      </w:r>
    </w:p>
    <w:p>
      <w:pPr>
        <w:pStyle w:val="FirstParagraph"/>
      </w:pPr>
      <w:r>
        <w:t xml:space="preserve">One further thing changed since Version 2.8, and is the reason for this reissue:</w:t>
      </w:r>
    </w:p>
    <w:p>
      <w:pPr>
        <w:numPr>
          <w:ilvl w:val="0"/>
          <w:numId w:val="1004"/>
        </w:numPr>
        <w:pStyle w:val="Compact"/>
      </w:pPr>
      <w:r>
        <w:rPr>
          <w:bCs/>
          <w:b/>
        </w:rPr>
        <w:t xml:space="preserve">OD-11 is re-closed via the Method/Limitations route</w:t>
      </w:r>
      <w:r>
        <w:t xml:space="preserve"> </w:t>
      </w:r>
      <w:r>
        <w:t xml:space="preserve">(Amendment A-17, superseding A-16). PDPL1-PDPL4 item stems remain generic, as they always have been. Block M_PDPL’s fielded preamble reverts to the single generic segment used before A-16 – no segment naming Law 91/2025/QH15 is added anywhere in survey administration. The statute’s name, effective date, and its relationship to the four items are documented only in the literature review (Chapter 2) and the instrument-development narrative of the Method section – the faculty advisor’s original point (confirmed again on inspection of the A-16 draft): naming the statute in-instrument is unnecessary because all four items are already anchored to specific articles (Table 5, Section C.4), and leaving items and preamble generic is standard practice for scales built on established constructs. See Section A.5.2 (revised) and Section C.4, Table 5.</w:t>
      </w:r>
    </w:p>
    <w:p>
      <w:pPr>
        <w:pStyle w:val="FirstParagraph"/>
      </w:pPr>
      <w:r>
        <w:t xml:space="preserve">One further thing changed since Version 2.9, and is the reason for this reissue:</w:t>
      </w:r>
    </w:p>
    <w:p>
      <w:pPr>
        <w:numPr>
          <w:ilvl w:val="0"/>
          <w:numId w:val="1005"/>
        </w:numPr>
        <w:pStyle w:val="Compact"/>
      </w:pPr>
      <w:r>
        <w:rPr>
          <w:bCs/>
          <w:b/>
        </w:rPr>
        <w:t xml:space="preserve">Main collection continues on the unrevised instrument; two open construct-validity risks are logged</w:t>
      </w:r>
      <w:r>
        <w:t xml:space="preserve"> </w:t>
      </w:r>
      <w:r>
        <w:t xml:space="preserve">(Amendment A-18): the AIP manipulation check has not cleared the pre-committed d ≥ 0.50 gate at any pilot batch to date, and the team decided not to execute the pre-committed vignette rewrite (task B2.10) before continuing to field; a differential-attrition pattern by AIP condition (Low retains ≈ 71% vs. High ≈ 42%) was also identified from the raw export. Both risks are open pending faculty-advisor ratification (new OD-12, §C.6). Separately, a LOC (province/city) control variable was added mid-collection on the same survey link; responses collected before and after this addition are pooled into one main-collection sample under a timestamp-based collection_phase flag, not split into a discarded pilot and a fresh main wave.</w:t>
      </w:r>
    </w:p>
    <w:p>
      <w:pPr>
        <w:pStyle w:val="FirstParagraph"/>
      </w:pPr>
      <w:r>
        <w:t xml:space="preserve">One further thing changed since Version 2.10, and is the reason for this reissue:</w:t>
      </w:r>
    </w:p>
    <w:p>
      <w:pPr>
        <w:numPr>
          <w:ilvl w:val="0"/>
          <w:numId w:val="1006"/>
        </w:numPr>
        <w:pStyle w:val="Compact"/>
      </w:pPr>
      <w:r>
        <w:rPr>
          <w:bCs/>
          <w:b/>
        </w:rPr>
        <w:t xml:space="preserve">The MC_AIP effect size at n = 55 is read as underpowered, not null</w:t>
      </w:r>
      <w:r>
        <w:t xml:space="preserve"> </w:t>
      </w:r>
      <w:r>
        <w:t xml:space="preserve">(Amendment A-19): three consecutive checkpoints on the finalized vignette wording have stabilized near d ≈ 0.40–0.50, so the team’s next step is additional pilot data collection and/or vignette revision (task B2.10) — not a switch to a continuous AIP predictor. The pilot/main sample-role boundary keyed to the LOC field’s addition (2026-09-12 02:15:56) is confirmed as an administrative convention only; it does not signal that the manipulation-check gate or the AIP–REL discriminant-validity issue is resolved. OD-12 remains open pending faculty-advisor ratification.</w:t>
      </w:r>
    </w:p>
    <w:bookmarkEnd w:id="20"/>
    <w:bookmarkStart w:id="29" w:name="X52fbab523e8d44507c2e101a9e6481b3b519b97"/>
    <w:p>
      <w:pPr>
        <w:pStyle w:val="Heading1"/>
      </w:pPr>
      <w:r>
        <w:t xml:space="preserve">One further thing changed since Version 2.11, and is the reason for this reissue:</w:t>
      </w:r>
    </w:p>
    <w:p>
      <w:pPr>
        <w:numPr>
          <w:ilvl w:val="0"/>
          <w:numId w:val="1007"/>
        </w:numPr>
        <w:pStyle w:val="Compact"/>
      </w:pPr>
      <w:r>
        <w:rPr>
          <w:bCs/>
          <w:b/>
        </w:rPr>
        <w:t xml:space="preserve">Cross-artifact reconciliation to B1.5 v3</w:t>
      </w:r>
      <w:r>
        <w:t xml:space="preserve"> </w:t>
      </w:r>
      <w:r>
        <w:t xml:space="preserve">(Amendment A-20). An item-level audit against the live Qualtrics export settled three specification conflicts that had been live between this document, the Master Codebook and B1.5 — Measurement Scales.</w:t>
      </w:r>
      <w:r>
        <w:t xml:space="preserve"> </w:t>
      </w:r>
      <w:r>
        <w:rPr>
          <w:bCs/>
          <w:b/>
        </w:rPr>
        <w:t xml:space="preserve">(i)</w:t>
      </w:r>
      <w:r>
        <w:t xml:space="preserve"> </w:t>
      </w:r>
      <w:r>
        <w:t xml:space="preserve">TRU is</w:t>
      </w:r>
      <w:r>
        <w:t xml:space="preserve"> </w:t>
      </w:r>
      <w:r>
        <w:rPr>
          <w:bCs/>
          <w:b/>
        </w:rPr>
        <w:t xml:space="preserve">six</w:t>
      </w:r>
      <w:r>
        <w:t xml:space="preserve"> </w:t>
      </w:r>
      <w:r>
        <w:t xml:space="preserve">items (TRU1–TRU6); A-10’s five-item reconciliation is superseded for TRU.</w:t>
      </w:r>
      <w:r>
        <w:t xml:space="preserve"> </w:t>
      </w:r>
      <w:r>
        <w:rPr>
          <w:bCs/>
          <w:b/>
        </w:rPr>
        <w:t xml:space="preserve">(ii)</w:t>
      </w:r>
      <w:r>
        <w:t xml:space="preserve"> </w:t>
      </w:r>
      <w:r>
        <w:t xml:space="preserve">REL4’s provenance is the single chain Klar (1990) → Ahluwalia, Unnava &amp; Burnkrant (2001) → De Keyzer, Dens &amp; De Pelsmacker (2015); every statement in this document attributing REL4 to Yin, Qiu &amp; Wang (2025) is withdrawn as an error.</w:t>
      </w:r>
      <w:r>
        <w:t xml:space="preserve"> </w:t>
      </w:r>
      <w:r>
        <w:rPr>
          <w:bCs/>
          <w:b/>
        </w:rPr>
        <w:t xml:space="preserve">(iii)</w:t>
      </w:r>
      <w:r>
        <w:t xml:space="preserve"> </w:t>
      </w:r>
      <w:r>
        <w:t xml:space="preserve">ENG reliability, EFA/CFA, outer loadings, CR, AVE and item-retention are computed on the</w:t>
      </w:r>
      <w:r>
        <w:t xml:space="preserve"> </w:t>
      </w:r>
      <w:r>
        <w:rPr>
          <w:bCs/>
          <w:b/>
        </w:rPr>
        <w:t xml:space="preserve">pooled six-item set</w:t>
      </w:r>
      <w:r>
        <w:t xml:space="preserve">; A-12’s within-dimension-only prohibition is superseded on that point, though its citation correction, its dimension labelling and its retention of ENG4 all stand. B1.5 v3 is confirmed as the item-level source of truth for all 34 stems.</w:t>
      </w:r>
    </w:p>
    <w:p>
      <w:pPr>
        <w:pStyle w:val="Heading1"/>
      </w:pPr>
      <w:r>
        <w:t>One further thing changed since Version 2.12, and is the reason for this reissue:</w:t>
      </w:r>
    </w:p>
    <w:p>
      <w:pPr>
        <w:pStyle w:val="Compact"/>
      </w:pPr>
      <w:r>
        <w:t>First full structural model and confirmatory H3 ANOVA obtained; H7a/H7b sign settled; two citation-integrity corrections closed (Amendment A-21, DRAFT). (i) Structural model (n = 394, sample-role not filtered): 4 of 10 hypotheses supported — H1 AIP→REL (β = 0.716, p &lt; .001), H4 REL→TRU (β = 0.350, p &lt; .001), H6a INT→TRU (β = −0.239, p &lt; .001), H6c INT→PI (β = −0.141, p &lt; .001); not supported — H2 AIP→INT (β = 0.039, p = .539), H3 DISC→INT (confirmatory two-way ANOVA per §C.1: F = 1.320, p = .251, η²p = 0.003), H5 REL→ENG (β = 0.103, p = .094), H6b INT→ENG (β = −0.020, p = .664), H7a PDPL×INT→TRU (β_M1 = −0.084, p = .180), H7b DISC×INT→TRU (β_M2 = −0.062, p = .258); established paths E1 TRU→ENG (β = 0.399) and E2 ENG→PI (β = 0.613), both p &lt; .001. Measurement model is clean at this sample (no α, CR, AVE, HTMT or VIF threshold violation reported), so the six null results are not attributable to measurement error. Manipulation checks pass: MC_AIP d = 0.658, MC_DISC d = 1.119, both above the pre-registered d ≥ 0.50 gate. An exploratory AIP×DISC interaction on INT (F = 4.816, p = .029) did not survive exclusion of extreme MC reversers (p rose to .583) and is diagnosed as a Low-AIP vignette discrimination artifact, not a substantive interaction; it is not promoted to a hypothesis. (ii) H7a/H7b direction, now settled per the Reporting-integrity rule and the partial-support pre-commitment (§C.2): both β_M1 and β_M2 are negative, opposite the hypothesized buffering direction, and neither is significant — no buffering direction was observed in this sample. Per §C.2's own instruction, this is reported as non-support for both H7a and H7b individually, never as generic “support for H7,” and per the reporting-integrity rule these results stand as reported: no alternative estimation method was substituted for the governance-locked two-stage PLS-SEM approach (§C.2, Becker et al., 2018) in search of significance for either interaction. A moderated-OLS-regression robustness check may still be run and reported alongside these results, never in place of them. (iii) Introduction citation correction — Aydin (2026) market-size figures were citation-laundering, not original findings: Aydin's own paper cites them from its own references. Corrected to primary sources — Wasilewski, A., &amp; Kolaczek, G. (2024). One size does not fit all: multivariant user interface personalization in e-commerce. IEEE Access, 12, 65570–65582, for the 18% (2017) → 41% (2027) e-commerce retail-share figure; Xie, G. (2026). The impact of generative AI shopping assistants on e-commerce consumer motivation and behavior. International Journal of Information Management, 86, 102983, for the USD 4–6bn (2022) → 18–22bn (2032) AI-in-e-commerce market figure. The verified Aydin, S. (2026) paper (Sustainability, 18, 1073, brand trust as a buffer between privacy concerns and psychological well-being in Turkish e-commerce) is now cited on its own merits in the manuscript's Literature Review positioning section. (iv) Kumar et al. (2019), cited in the Introduction, is confirmed as Kumar, V., Rajan, B., Venkatesan, R., &amp; Lecinski, J. (2019). Understanding the role of artificial intelligence in personalized engagement marketing. California Management Review, 61(4), 135–155 — closing the last of five previously-missing Introduction citations. Neither (iii) nor (iv) touches this document's Key References list, which is scoped to theoretical-foundation citations only; both are Introduction-only market-context citations tracked in the manuscript's own reference list. (v) OPEN FLAG, not yet resolved by this amendment: verifying the Aydin (2026) paper described in (iii) surfaced a mismatch with this document's own §A.1 and §A.7 citations of “Aydin (2026),” which describe a relevance/intrusiveness→trust mechanism that does not appear in the verified Sustainability paper (whose constructs are relevance/specificity→privacy concerns→well-being, with brand trust as a moderator, not an outcome, and no intrusiveness construct at all). Because §A.7 uses this citation as the stated novelty-gap justification for H7a, this mismatch is flagged in place at both paragraphs (see bracketed caution insertions) rather than silently corrected, pending the team's determination of which “Aydin (2026)” source was actually intended and, if needed, a rebuilt novelty-gap argument on verified grounds. This does not affect H7a/H7b's empirical status in (ii) above, only the theoretical novelty framing that motivated them.</w:t>
      </w:r>
    </w:p>
    <w:p>
      <w:pPr>
        <w:pStyle w:val="FirstParagraph"/>
      </w:pPr>
      <w:r>
        <w:t xml:space="preserve">Change Log</w:t>
      </w:r>
    </w:p>
    <w:bookmarkStart w:id="21" w:name="Xa969c465f673a207c97496ae4f69a2aaffd6918"/>
    <w:p>
      <w:pPr>
        <w:pStyle w:val="Heading2"/>
      </w:pPr>
      <w:r>
        <w:t xml:space="preserve">Table 0a. Ratified revisions, Version 1.0 → Version 2.0</w:t>
      </w:r>
    </w:p>
    <w:tbl>
      <w:tblPr>
        <w:tblStyle w:val="Table"/>
        <w:tblW w:type="pct" w:w="4977"/>
        <w:tblLook w:firstRow="1" w:lastRow="0" w:firstColumn="0" w:lastColumn="0" w:noHBand="0" w:noVBand="0" w:val="0020"/>
        <w:jc w:val="start"/>
      </w:tblPr>
      <w:tblGrid>
        <w:gridCol w:w="444"/>
        <w:gridCol w:w="3034"/>
        <w:gridCol w:w="4404"/>
      </w:tblGrid>
      <w:tr>
        <w:trPr>
          <w:tblHeader w:val="true"/>
        </w:trPr>
        <w:tc>
          <w:tcPr/>
          <w:p>
            <w:pPr>
              <w:pStyle w:val="Compact"/>
              <w:jc w:val="left"/>
            </w:pPr>
            <w:r>
              <w:rPr>
                <w:bCs/>
                <w:b/>
              </w:rPr>
              <w:t xml:space="preserve">ID</w:t>
            </w:r>
          </w:p>
        </w:tc>
        <w:tc>
          <w:tcPr/>
          <w:p>
            <w:pPr>
              <w:pStyle w:val="Compact"/>
              <w:jc w:val="left"/>
            </w:pPr>
            <w:r>
              <w:rPr>
                <w:bCs/>
                <w:b/>
              </w:rPr>
              <w:t xml:space="preserve">Change</w:t>
            </w:r>
          </w:p>
        </w:tc>
        <w:tc>
          <w:tcPr/>
          <w:p>
            <w:pPr>
              <w:pStyle w:val="Compact"/>
              <w:jc w:val="left"/>
            </w:pPr>
            <w:r>
              <w:rPr>
                <w:bCs/>
                <w:b/>
              </w:rPr>
              <w:t xml:space="preserve">Rationale and authority</w:t>
            </w:r>
          </w:p>
        </w:tc>
      </w:tr>
      <w:tr>
        <w:tc>
          <w:tcPr/>
          <w:p>
            <w:pPr>
              <w:pStyle w:val="Compact"/>
              <w:jc w:val="left"/>
            </w:pPr>
            <w:r>
              <w:t xml:space="preserve">C-1</w:t>
            </w:r>
          </w:p>
        </w:tc>
        <w:tc>
          <w:tcPr/>
          <w:p>
            <w:pPr>
              <w:pStyle w:val="Compact"/>
              <w:jc w:val="left"/>
            </w:pPr>
            <w:r>
              <w:t xml:space="preserve">Hypothesis numbering realigned to the approved planning doczument:</w:t>
            </w:r>
            <w:r>
              <w:t xml:space="preserve"> </w:t>
            </w:r>
            <w:r>
              <w:rPr>
                <w:bCs/>
                <w:b/>
              </w:rPr>
              <w:t xml:space="preserve">H3 = DISC → INT (−)</w:t>
            </w:r>
            <w:r>
              <w:t xml:space="preserve"> </w:t>
            </w:r>
            <w:r>
              <w:t xml:space="preserve">and</w:t>
            </w:r>
            <w:r>
              <w:t xml:space="preserve"> </w:t>
            </w:r>
            <w:r>
              <w:rPr>
                <w:bCs/>
                <w:b/>
              </w:rPr>
              <w:t xml:space="preserve">H5 = REL → ENG (+)</w:t>
            </w:r>
            <w:r>
              <w:t xml:space="preserve">.</w:t>
            </w:r>
          </w:p>
        </w:tc>
        <w:tc>
          <w:tcPr/>
          <w:p>
            <w:pPr>
              <w:pStyle w:val="Compact"/>
              <w:jc w:val="left"/>
            </w:pPr>
            <w:r>
              <w:t xml:space="preserve">v1.0 had independently renumbered (H3 = REL → ENG; H5 = TRU → PI), so the governance document and the approved plan disagreed on what</w:t>
            </w:r>
            <w:r>
              <w:t xml:space="preserve"> </w:t>
            </w:r>
            <w:r>
              <w:t xml:space="preserve">“</w:t>
            </w:r>
            <w:r>
              <w:t xml:space="preserve">H3</w:t>
            </w:r>
            <w:r>
              <w:t xml:space="preserve">”</w:t>
            </w:r>
            <w:r>
              <w:t xml:space="preserve"> </w:t>
            </w:r>
            <w:r>
              <w:t xml:space="preserve">denotes. Planning numbering prevails; all downstream artefacts must be renumbered, not the plan.</w:t>
            </w:r>
          </w:p>
        </w:tc>
      </w:tr>
      <w:tr>
        <w:tc>
          <w:tcPr/>
          <w:p>
            <w:pPr>
              <w:pStyle w:val="Compact"/>
              <w:jc w:val="left"/>
            </w:pPr>
            <w:r>
              <w:t xml:space="preserve">C-2</w:t>
            </w:r>
          </w:p>
        </w:tc>
        <w:tc>
          <w:tcPr/>
          <w:p>
            <w:pPr>
              <w:pStyle w:val="Compact"/>
              <w:jc w:val="left"/>
            </w:pPr>
            <w:r>
              <w:rPr>
                <w:bCs/>
                <w:b/>
              </w:rPr>
              <w:t xml:space="preserve">H6 reduced to H6a and H6b.</w:t>
            </w:r>
            <w:r>
              <w:t xml:space="preserve"> </w:t>
            </w:r>
            <w:r>
              <w:t xml:space="preserve">INT → PI demoted to established path E4.</w:t>
            </w:r>
            <w:r>
              <w:t xml:space="preserve"> </w:t>
            </w:r>
            <w:r>
              <w:rPr>
                <w:bCs/>
                <w:b/>
              </w:rPr>
              <w:t xml:space="preserve">[REVERSED in v2.1 — see A-1.]</w:t>
            </w:r>
          </w:p>
        </w:tc>
        <w:tc>
          <w:tcPr/>
          <w:p>
            <w:pPr>
              <w:pStyle w:val="Compact"/>
              <w:jc w:val="left"/>
            </w:pPr>
            <w:r>
              <w:t xml:space="preserve">Team decision, 30 July 2026; reversed the same day on inspection of the ratified research model figure, in which INT → PI is drawn as a solid hypothesised path.</w:t>
            </w:r>
          </w:p>
        </w:tc>
      </w:tr>
      <w:tr>
        <w:tc>
          <w:tcPr/>
          <w:p>
            <w:pPr>
              <w:pStyle w:val="Compact"/>
              <w:jc w:val="left"/>
            </w:pPr>
            <w:r>
              <w:t xml:space="preserve">C-3</w:t>
            </w:r>
          </w:p>
        </w:tc>
        <w:tc>
          <w:tcPr/>
          <w:p>
            <w:pPr>
              <w:pStyle w:val="Compact"/>
              <w:jc w:val="left"/>
            </w:pPr>
            <w:r>
              <w:rPr>
                <w:bCs/>
                <w:b/>
              </w:rPr>
              <w:t xml:space="preserve">TRU → PI demoted</w:t>
            </w:r>
            <w:r>
              <w:t xml:space="preserve"> </w:t>
            </w:r>
            <w:r>
              <w:t xml:space="preserve">from hypothesis to established path E3.</w:t>
            </w:r>
            <w:r>
              <w:t xml:space="preserve"> </w:t>
            </w:r>
            <w:r>
              <w:rPr>
                <w:bCs/>
                <w:b/>
              </w:rPr>
              <w:t xml:space="preserve">[SUPERSEDED in v2.1 — see A-2.]</w:t>
            </w:r>
          </w:p>
        </w:tc>
        <w:tc>
          <w:tcPr/>
          <w:p>
            <w:pPr>
              <w:pStyle w:val="Compact"/>
              <w:jc w:val="left"/>
            </w:pPr>
            <w:r>
              <w:t xml:space="preserve">The approved plan does not number this path. v2.1 goes further: the path is removed from the estimated model altogether and reported as a competing-model robustness check.</w:t>
            </w:r>
          </w:p>
        </w:tc>
      </w:tr>
      <w:tr>
        <w:tc>
          <w:tcPr/>
          <w:p>
            <w:pPr>
              <w:pStyle w:val="Compact"/>
              <w:jc w:val="left"/>
            </w:pPr>
            <w:r>
              <w:t xml:space="preserve">C-4</w:t>
            </w:r>
          </w:p>
        </w:tc>
        <w:tc>
          <w:tcPr/>
          <w:p>
            <w:pPr>
              <w:pStyle w:val="Compact"/>
              <w:jc w:val="left"/>
            </w:pPr>
            <w:r>
              <w:rPr>
                <w:bCs/>
                <w:b/>
              </w:rPr>
              <w:t xml:space="preserve">H7 respecified as a moderated moderation.</w:t>
            </w:r>
            <w:r>
              <w:t xml:space="preserve"> </w:t>
            </w:r>
            <w:r>
              <w:rPr>
                <w:bCs/>
                <w:b/>
              </w:rPr>
              <w:t xml:space="preserve">[SUPERSEDED in v2.3 — see A-8.]</w:t>
            </w:r>
          </w:p>
        </w:tc>
        <w:tc>
          <w:tcPr/>
          <w:p>
            <w:pPr>
              <w:pStyle w:val="Compact"/>
              <w:jc w:val="left"/>
            </w:pPr>
            <w:r>
              <w:t xml:space="preserve">Restored the planning wording</w:t>
            </w:r>
            <w:r>
              <w:t xml:space="preserve"> </w:t>
            </w:r>
            <w:r>
              <w:t xml:space="preserve">“</w:t>
            </w:r>
            <w:r>
              <w:t xml:space="preserve">PDPD awareness × Disclosure level → mod(Intrusiveness→Trust)</w:t>
            </w:r>
            <w:r>
              <w:t xml:space="preserve">”</w:t>
            </w:r>
            <w:r>
              <w:t xml:space="preserve"> </w:t>
            </w:r>
            <w:r>
              <w:t xml:space="preserve">as a three-way product term. That reading is withdrawn by A-8; see Table 0c.</w:t>
            </w:r>
          </w:p>
        </w:tc>
      </w:tr>
      <w:tr>
        <w:tc>
          <w:tcPr/>
          <w:p>
            <w:pPr>
              <w:pStyle w:val="Compact"/>
              <w:jc w:val="left"/>
            </w:pPr>
            <w:r>
              <w:t xml:space="preserve">C-5</w:t>
            </w:r>
          </w:p>
        </w:tc>
        <w:tc>
          <w:tcPr/>
          <w:p>
            <w:pPr>
              <w:pStyle w:val="Compact"/>
              <w:jc w:val="left"/>
            </w:pPr>
            <w:r>
              <w:rPr>
                <w:bCs/>
                <w:b/>
              </w:rPr>
              <w:t xml:space="preserve">Governance rule on DISC amended.</w:t>
            </w:r>
            <w:r>
              <w:t xml:space="preserve"> </w:t>
            </w:r>
            <w:r>
              <w:t xml:space="preserve">DISC remains never a Likert construct, but enters the Study 1 structural model as a dummy-coded (0/1) experimental variable.</w:t>
            </w:r>
          </w:p>
        </w:tc>
        <w:tc>
          <w:tcPr/>
          <w:p>
            <w:pPr>
              <w:pStyle w:val="Compact"/>
              <w:jc w:val="left"/>
            </w:pPr>
            <w:r>
              <w:t xml:space="preserve">Mechanically required by C-1 and C-4. v1.0’s statement that</w:t>
            </w:r>
            <w:r>
              <w:t xml:space="preserve"> </w:t>
            </w:r>
            <w:r>
              <w:t xml:space="preserve">“</w:t>
            </w:r>
            <w:r>
              <w:t xml:space="preserve">DISC does not enter Study 1</w:t>
            </w:r>
            <w:r>
              <w:t xml:space="preserve">”</w:t>
            </w:r>
            <w:r>
              <w:t xml:space="preserve"> </w:t>
            </w:r>
            <w:r>
              <w:t xml:space="preserve">is incompatible with both and is withdrawn. Unaffected by A-8: DISC is still in the structural model, now as the H7b moderator.</w:t>
            </w:r>
          </w:p>
        </w:tc>
      </w:tr>
      <w:tr>
        <w:tc>
          <w:tcPr/>
          <w:p>
            <w:pPr>
              <w:pStyle w:val="Compact"/>
              <w:jc w:val="left"/>
            </w:pPr>
            <w:r>
              <w:t xml:space="preserve">C-6</w:t>
            </w:r>
          </w:p>
        </w:tc>
        <w:tc>
          <w:tcPr/>
          <w:p>
            <w:pPr>
              <w:pStyle w:val="Compact"/>
              <w:jc w:val="left"/>
            </w:pPr>
            <w:r>
              <w:t xml:space="preserve">Established paths formalized as a labelled register</w:t>
            </w:r>
            <w:r>
              <w:t xml:space="preserve"> </w:t>
            </w:r>
            <w:r>
              <w:rPr>
                <w:bCs/>
                <w:b/>
              </w:rPr>
              <w:t xml:space="preserve">E1–E4</w:t>
            </w:r>
            <w:r>
              <w:t xml:space="preserve"> </w:t>
            </w:r>
            <w:r>
              <w:t xml:space="preserve">(§C.1.1), replacing the unlabelled prose list of v1.0.</w:t>
            </w:r>
          </w:p>
        </w:tc>
        <w:tc>
          <w:tcPr/>
          <w:p>
            <w:pPr>
              <w:pStyle w:val="Compact"/>
              <w:jc w:val="left"/>
            </w:pPr>
            <w:r>
              <w:t xml:space="preserve">Prevents demoted paths from being silently re-promoted to hypotheses in downstream drafts. Reduced to E1–E2 by A-3.</w:t>
            </w:r>
          </w:p>
        </w:tc>
      </w:tr>
      <w:tr>
        <w:tc>
          <w:tcPr/>
          <w:p>
            <w:pPr>
              <w:pStyle w:val="Compact"/>
              <w:jc w:val="left"/>
            </w:pPr>
            <w:r>
              <w:t xml:space="preserve">C-7</w:t>
            </w:r>
          </w:p>
        </w:tc>
        <w:tc>
          <w:tcPr/>
          <w:p>
            <w:pPr>
              <w:pStyle w:val="Compact"/>
              <w:jc w:val="left"/>
            </w:pPr>
            <w:r>
              <w:rPr>
                <w:bCs/>
                <w:b/>
              </w:rPr>
              <w:t xml:space="preserve">Measurement register added</w:t>
            </w:r>
            <w:r>
              <w:t xml:space="preserve"> </w:t>
            </w:r>
            <w:r>
              <w:t xml:space="preserve">(§C.4), reproducing the planning-designated scale origins with an explicit verification status for each construct.</w:t>
            </w:r>
          </w:p>
        </w:tc>
        <w:tc>
          <w:tcPr/>
          <w:p>
            <w:pPr>
              <w:pStyle w:val="Compact"/>
              <w:jc w:val="left"/>
            </w:pPr>
            <w:r>
              <w:t xml:space="preserve">Implements the citation-sourcing rule: every item traced to its Scopus-indexed primary source, never through a secondary adaptation.</w:t>
            </w:r>
          </w:p>
        </w:tc>
      </w:tr>
      <w:tr>
        <w:tc>
          <w:tcPr/>
          <w:p>
            <w:pPr>
              <w:pStyle w:val="Compact"/>
              <w:jc w:val="left"/>
            </w:pPr>
            <w:r>
              <w:t xml:space="preserve">C-8</w:t>
            </w:r>
          </w:p>
        </w:tc>
        <w:tc>
          <w:tcPr/>
          <w:p>
            <w:pPr>
              <w:pStyle w:val="Compact"/>
              <w:jc w:val="left"/>
            </w:pPr>
            <w:r>
              <w:rPr>
                <w:bCs/>
                <w:b/>
              </w:rPr>
              <w:t xml:space="preserve">Open-decision and residual-risk register added</w:t>
            </w:r>
            <w:r>
              <w:t xml:space="preserve"> </w:t>
            </w:r>
            <w:r>
              <w:t xml:space="preserve">(§C.6).</w:t>
            </w:r>
          </w:p>
        </w:tc>
        <w:tc>
          <w:tcPr/>
          <w:p>
            <w:pPr>
              <w:pStyle w:val="Compact"/>
              <w:jc w:val="left"/>
            </w:pPr>
            <w:r>
              <w:t xml:space="preserve">Records, rather than conceals, the consequences the team must accept or revisit.</w:t>
            </w:r>
          </w:p>
        </w:tc>
      </w:tr>
    </w:tbl>
    <w:p>
      <w:pPr>
        <w:pStyle w:val="BodyText"/>
      </w:pPr>
      <w:r>
        <w:t xml:space="preserve">Rows marked [REVERSED] or [SUPERSEDED] are retained for audit trail and are not operative.</w:t>
      </w:r>
    </w:p>
    <w:bookmarkEnd w:id="21"/>
    <w:bookmarkStart w:id="22" w:name="X3e59f96bdcf940d00025c03d480763d6272fe99"/>
    <w:p>
      <w:pPr>
        <w:pStyle w:val="Heading2"/>
      </w:pPr>
      <w:r>
        <w:t xml:space="preserve">Table 0b. Amendments, Version 2.0 → Version 2.2</w:t>
      </w:r>
    </w:p>
    <w:tbl>
      <w:tblPr>
        <w:tblStyle w:val="Table"/>
        <w:tblW w:type="pct" w:w="4984"/>
        <w:tblLook w:firstRow="1" w:lastRow="0" w:firstColumn="0" w:lastColumn="0" w:noHBand="0" w:noVBand="0" w:val="0020"/>
        <w:jc w:val="start"/>
      </w:tblPr>
      <w:tblGrid>
        <w:gridCol w:w="309"/>
        <w:gridCol w:w="3902"/>
        <w:gridCol w:w="3683"/>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w:t>
            </w:r>
          </w:p>
        </w:tc>
        <w:tc>
          <w:tcPr/>
          <w:p>
            <w:pPr>
              <w:pStyle w:val="Compact"/>
              <w:jc w:val="left"/>
            </w:pPr>
            <w:r>
              <w:rPr>
                <w:bCs/>
                <w:b/>
              </w:rPr>
              <w:t xml:space="preserve">INT → PI restored as H6c</w:t>
            </w:r>
            <w:r>
              <w:t xml:space="preserve">, a tested hypothesis. C-2 reversed; E4 withdrawn.</w:t>
            </w:r>
          </w:p>
        </w:tc>
        <w:tc>
          <w:tcPr/>
          <w:p>
            <w:pPr>
              <w:pStyle w:val="Compact"/>
              <w:jc w:val="left"/>
            </w:pPr>
            <w:r>
              <w:t xml:space="preserve">The ratified figure draws INT → PI as a solid arrow labelled</w:t>
            </w:r>
            <w:r>
              <w:t xml:space="preserve"> </w:t>
            </w:r>
            <w:r>
              <w:t xml:space="preserve">“</w:t>
            </w:r>
            <w:r>
              <w:t xml:space="preserve">H6c −</w:t>
            </w:r>
            <w:r>
              <w:t xml:space="preserve">”</w:t>
            </w:r>
            <w:r>
              <w:t xml:space="preserve">, and B1.4 v3.0 develops it as a full hypothesis on Pavlou (2003) and Featherman &amp; Pavlou (2003). Closes OD-1.</w:t>
            </w:r>
          </w:p>
        </w:tc>
      </w:tr>
      <w:tr>
        <w:tc>
          <w:tcPr/>
          <w:p>
            <w:pPr>
              <w:pStyle w:val="Compact"/>
              <w:jc w:val="left"/>
            </w:pPr>
            <w:r>
              <w:t xml:space="preserve">A-2</w:t>
            </w:r>
          </w:p>
        </w:tc>
        <w:tc>
          <w:tcPr/>
          <w:p>
            <w:pPr>
              <w:pStyle w:val="Compact"/>
              <w:jc w:val="left"/>
            </w:pPr>
            <w:r>
              <w:rPr>
                <w:bCs/>
                <w:b/>
              </w:rPr>
              <w:t xml:space="preserve">TRU → PI is not estimated in the main model.</w:t>
            </w:r>
            <w:r>
              <w:t xml:space="preserve"> </w:t>
            </w:r>
            <w:r>
              <w:t xml:space="preserve">Reported as a competing-model robustness check in the Discussion, without a hypothesis number and without an E-label. C-3 superseded; E3 withdrawn.</w:t>
            </w:r>
          </w:p>
        </w:tc>
        <w:tc>
          <w:tcPr/>
          <w:p>
            <w:pPr>
              <w:pStyle w:val="Compact"/>
              <w:jc w:val="left"/>
            </w:pPr>
            <w:r>
              <w:t xml:space="preserve">The ratified figure contains no TRU → PI arrow. Answers the anticipated reviewer question without adding an unplanned hypothesis.</w:t>
            </w:r>
          </w:p>
        </w:tc>
      </w:tr>
      <w:tr>
        <w:tc>
          <w:tcPr/>
          <w:p>
            <w:pPr>
              <w:pStyle w:val="Compact"/>
              <w:jc w:val="left"/>
            </w:pPr>
            <w:r>
              <w:t xml:space="preserve">A-3</w:t>
            </w:r>
          </w:p>
        </w:tc>
        <w:tc>
          <w:tcPr/>
          <w:p>
            <w:pPr>
              <w:pStyle w:val="Compact"/>
              <w:jc w:val="left"/>
            </w:pPr>
            <w:r>
              <w:rPr>
                <w:bCs/>
                <w:b/>
              </w:rPr>
              <w:t xml:space="preserve">Established-path register returns to E1 and E2 only</w:t>
            </w:r>
            <w:r>
              <w:t xml:space="preserve"> </w:t>
            </w:r>
            <w:r>
              <w:t xml:space="preserve">(TRU → ENG; ENG → PI).</w:t>
            </w:r>
          </w:p>
        </w:tc>
        <w:tc>
          <w:tcPr/>
          <w:p>
            <w:pPr>
              <w:pStyle w:val="Compact"/>
              <w:jc w:val="left"/>
            </w:pPr>
            <w:r>
              <w:t xml:space="preserve">Direct consequence of A-1 and A-2.</w:t>
            </w:r>
          </w:p>
        </w:tc>
      </w:tr>
      <w:tr>
        <w:tc>
          <w:tcPr/>
          <w:p>
            <w:pPr>
              <w:pStyle w:val="Compact"/>
              <w:jc w:val="left"/>
            </w:pPr>
            <w:r>
              <w:t xml:space="preserve">A-4</w:t>
            </w:r>
          </w:p>
        </w:tc>
        <w:tc>
          <w:tcPr/>
          <w:p>
            <w:pPr>
              <w:pStyle w:val="Compact"/>
              <w:jc w:val="left"/>
            </w:pPr>
            <w:r>
              <w:rPr>
                <w:bCs/>
                <w:b/>
              </w:rPr>
              <w:t xml:space="preserve">Moderation terms receive a separate symbol family: β_M1 … β_M4.</w:t>
            </w:r>
            <w:r>
              <w:t xml:space="preserve"> </w:t>
            </w:r>
            <w:r>
              <w:rPr>
                <w:bCs/>
                <w:b/>
              </w:rPr>
              <w:t xml:space="preserve">[AMENDED in v2.3 — see A-8.]</w:t>
            </w:r>
          </w:p>
        </w:tc>
        <w:tc>
          <w:tcPr/>
          <w:p>
            <w:pPr>
              <w:pStyle w:val="Compact"/>
              <w:jc w:val="left"/>
            </w:pPr>
            <w:r>
              <w:t xml:space="preserve">v2.0 wrote the three-way coefficient as β₇ while B1.4 v3.0 uses β₇ for TRU → ENG. Separating the families removed the collision. A-8 retires β_M3 and β_M4; the family is now β_M1 and β_M2 only.</w:t>
            </w:r>
          </w:p>
        </w:tc>
      </w:tr>
      <w:tr>
        <w:tc>
          <w:tcPr/>
          <w:p>
            <w:pPr>
              <w:pStyle w:val="Compact"/>
              <w:jc w:val="left"/>
            </w:pPr>
            <w:r>
              <w:t xml:space="preserve">A-5</w:t>
            </w:r>
          </w:p>
        </w:tc>
        <w:tc>
          <w:tcPr/>
          <w:p>
            <w:pPr>
              <w:pStyle w:val="Compact"/>
              <w:jc w:val="left"/>
            </w:pPr>
            <w:r>
              <w:rPr>
                <w:bCs/>
                <w:b/>
              </w:rPr>
              <w:t xml:space="preserve">H3 has exactly one confirmatory test</w:t>
            </w:r>
            <w:r>
              <w:t xml:space="preserve"> </w:t>
            </w:r>
            <w:r>
              <w:t xml:space="preserve">— the two-way ANOVA main effect of Disclosure on INT. The DISC → INT path in the SEM is a specification requirement (Aiken &amp; West, 1991), reported descriptively and never as a second test of H3.</w:t>
            </w:r>
          </w:p>
        </w:tc>
        <w:tc>
          <w:tcPr/>
          <w:p>
            <w:pPr>
              <w:pStyle w:val="Compact"/>
              <w:jc w:val="left"/>
            </w:pPr>
            <w:r>
              <w:t xml:space="preserve">Prevents one hypothesis carrying two test statistics with no rule on which is authoritative. Substance unaffected by A-7; only the study label attached to the ANOVA changed.</w:t>
            </w:r>
          </w:p>
        </w:tc>
      </w:tr>
      <w:tr>
        <w:tc>
          <w:tcPr/>
          <w:p>
            <w:pPr>
              <w:pStyle w:val="Compact"/>
              <w:jc w:val="left"/>
            </w:pPr>
            <w:r>
              <w:t xml:space="preserve">A-6</w:t>
            </w:r>
          </w:p>
        </w:tc>
        <w:tc>
          <w:tcPr/>
          <w:p>
            <w:pPr>
              <w:pStyle w:val="Compact"/>
              <w:jc w:val="left"/>
            </w:pPr>
            <w:r>
              <w:rPr>
                <w:bCs/>
                <w:b/>
              </w:rPr>
              <w:t xml:space="preserve">DISC enters the Study 1 structural model as a dummy (0/1) but never the measurement model.</w:t>
            </w:r>
            <w:r>
              <w:t xml:space="preserve"> </w:t>
            </w:r>
            <w:r>
              <w:t xml:space="preserve">No outer loadings, no AVE, no CR, no HTMT row.</w:t>
            </w:r>
          </w:p>
        </w:tc>
        <w:tc>
          <w:tcPr/>
          <w:p>
            <w:pPr>
              <w:pStyle w:val="Compact"/>
              <w:jc w:val="left"/>
            </w:pPr>
            <w:r>
              <w:t xml:space="preserve">Required by the H7 specification. The prohibition on treating DISC as a reflective construct is unchanged and remains governance rule 4.</w:t>
            </w:r>
          </w:p>
        </w:tc>
      </w:tr>
      <w:tr>
        <w:tc>
          <w:tcPr/>
          <w:p>
            <w:pPr>
              <w:pStyle w:val="Compact"/>
              <w:jc w:val="left"/>
            </w:pPr>
            <w:r>
              <w:t xml:space="preserve">A-7</w:t>
            </w:r>
          </w:p>
        </w:tc>
        <w:tc>
          <w:tcPr/>
          <w:p>
            <w:pPr>
              <w:pStyle w:val="Compact"/>
              <w:jc w:val="left"/>
            </w:pPr>
            <w:r>
              <w:rPr>
                <w:bCs/>
                <w:b/>
              </w:rPr>
              <w:t xml:space="preserve">Study allocation realigned to the approved plan.</w:t>
            </w:r>
            <w:r>
              <w:t xml:space="preserve"> </w:t>
            </w:r>
            <w:r>
              <w:t xml:space="preserve">Study 1 is the behavioural study: the single integrated 2 × 2 Qualtrics survey-experiment, analysed both by PLS-SEM and by two-way ANOVA, carrying all hypotheses including H3. Study 2 is the DSR component only and carries no H-numbered hypothesis.</w:t>
            </w:r>
          </w:p>
        </w:tc>
        <w:tc>
          <w:tcPr/>
          <w:p>
            <w:pPr>
              <w:pStyle w:val="Compact"/>
              <w:jc w:val="left"/>
            </w:pPr>
            <w:r>
              <w:t xml:space="preserve">Planning §1.1 and §5.1 read with governance rule 2. TF v2.1 §C.3 had placed the vignette ANOVA in Study 2, conflicting with the plan’s</w:t>
            </w:r>
            <w:r>
              <w:t xml:space="preserve"> </w:t>
            </w:r>
            <w:r>
              <w:t xml:space="preserve">“</w:t>
            </w:r>
            <w:r>
              <w:t xml:space="preserve">Study 1 (PLS-SEM + 2×2 experiment)</w:t>
            </w:r>
            <w:r>
              <w:t xml:space="preserve">”</w:t>
            </w:r>
            <w:r>
              <w:t xml:space="preserve">. A relabelling amendment: no hypothesis, path, sign, symbol, scale item, vignette or Qualtrics element changed.</w:t>
            </w:r>
          </w:p>
        </w:tc>
      </w:tr>
    </w:tbl>
    <w:bookmarkEnd w:id="22"/>
    <w:bookmarkStart w:id="23" w:name="Xfecaf103cd472c3f851e08667f2681a2471a4a4"/>
    <w:p>
      <w:pPr>
        <w:pStyle w:val="Heading2"/>
      </w:pPr>
      <w:r>
        <w:t xml:space="preserve">Table 0c. Amendments, Version 2.2 → Version 2.4</w:t>
      </w:r>
    </w:p>
    <w:tbl>
      <w:tblPr>
        <w:tblStyle w:val="Table"/>
        <w:tblW w:type="pct" w:w="4992"/>
        <w:tblLook w:firstRow="1" w:lastRow="0" w:firstColumn="0" w:lastColumn="0" w:noHBand="0" w:noVBand="0" w:val="0020"/>
        <w:jc w:val="start"/>
      </w:tblPr>
      <w:tblGrid>
        <w:gridCol w:w="156"/>
        <w:gridCol w:w="2922"/>
        <w:gridCol w:w="4827"/>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A-8</w:t>
            </w:r>
          </w:p>
        </w:tc>
        <w:tc>
          <w:tcPr/>
          <w:p>
            <w:pPr>
              <w:pStyle w:val="Compact"/>
              <w:jc w:val="left"/>
            </w:pPr>
            <w:r>
              <w:rPr>
                <w:bCs/>
                <w:b/>
              </w:rPr>
              <w:t xml:space="preserve">H7 respecified from a third-order to two second-order interactions.</w:t>
            </w:r>
            <w:r>
              <w:t xml:space="preserve"> </w:t>
            </w:r>
            <w:r>
              <w:t xml:space="preserve">H7 is replaced by</w:t>
            </w:r>
            <w:r>
              <w:t xml:space="preserve"> </w:t>
            </w:r>
            <w:r>
              <w:rPr>
                <w:bCs/>
                <w:b/>
              </w:rPr>
              <w:t xml:space="preserve">H7a</w:t>
            </w:r>
            <w:r>
              <w:t xml:space="preserve"> </w:t>
            </w:r>
            <w:r>
              <w:t xml:space="preserve">(PDPL × INT → mod(INT→TRU), β_M1) and</w:t>
            </w:r>
            <w:r>
              <w:t xml:space="preserve"> </w:t>
            </w:r>
            <w:r>
              <w:rPr>
                <w:bCs/>
                <w:b/>
              </w:rPr>
              <w:t xml:space="preserve">H7b</w:t>
            </w:r>
            <w:r>
              <w:t xml:space="preserve"> </w:t>
            </w:r>
            <w:r>
              <w:t xml:space="preserve">(DISC × INT → mod(INT→TRU), β_M2), estimated as two independent two-way terms in one model. The product term INT × PDPL × DISC is removed from the estimated model, the hypothesis register and the symbol family.</w:t>
            </w:r>
            <w:r>
              <w:t xml:space="preserve"> </w:t>
            </w:r>
            <w:r>
              <w:rPr>
                <w:bCs/>
                <w:b/>
              </w:rPr>
              <w:t xml:space="preserve">β_M3 and β_M4 are retired.</w:t>
            </w:r>
          </w:p>
        </w:tc>
        <w:tc>
          <w:tcPr/>
          <w:p>
            <w:pPr>
              <w:pStyle w:val="Compact"/>
              <w:jc w:val="left"/>
            </w:pPr>
            <w:r>
              <w:t xml:space="preserve">Planning §1.1 states H7 as</w:t>
            </w:r>
            <w:r>
              <w:t xml:space="preserve"> </w:t>
            </w:r>
            <w:r>
              <w:t xml:space="preserve">“</w:t>
            </w:r>
            <w:r>
              <w:t xml:space="preserve">PDPL awareness × Disclosure level → mod(Intrusiveness→Trust)</w:t>
            </w:r>
            <w:r>
              <w:t xml:space="preserve">”</w:t>
            </w:r>
            <w:r>
              <w:t xml:space="preserve">.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r>
        <w:tc>
          <w:tcPr/>
          <w:p>
            <w:pPr>
              <w:pStyle w:val="Compact"/>
              <w:jc w:val="left"/>
            </w:pPr>
            <w:r>
              <w:t xml:space="preserve">A-9</w:t>
            </w:r>
          </w:p>
        </w:tc>
        <w:tc>
          <w:tcPr/>
          <w:p>
            <w:pPr>
              <w:pStyle w:val="Compact"/>
              <w:jc w:val="left"/>
            </w:pPr>
            <w:r>
              <w:rPr>
                <w:bCs/>
                <w:b/>
              </w:rPr>
              <w:t xml:space="preserve">RETIRED RULE. REL4 is no longer excluded from the Perceived Relevance construct — the REL4 this rule applied to (Tam &amp; Ho, 2006, decision-usefulness wording) has been removed from the instrument entirely.</w:t>
            </w:r>
            <w:r>
              <w:t xml:space="preserve"> </w:t>
            </w:r>
            <w:r>
              <w:t xml:space="preserve">REL is measured by</w:t>
            </w:r>
            <w:r>
              <w:t xml:space="preserve"> </w:t>
            </w:r>
            <w:r>
              <w:rPr>
                <w:bCs/>
                <w:b/>
              </w:rPr>
              <w:t xml:space="preserve">REL1–REL4</w:t>
            </w:r>
            <w:r>
              <w:t xml:space="preserve"> </w:t>
            </w:r>
            <w:r>
              <w:t xml:space="preserve">(the current REL4 is a different, unrelated item; its provenance is Klar 1990 → Ahluwalia et al. 2001 → De Keyzer et al. 2015 — the attribution to Yin, Qiu &amp; Wang, 2025 printed in earlier versions of thi</w:t>
            </w:r>
          </w:p>
        </w:tc>
        <w:tc>
          <w:tcPr/>
          <w:p>
            <w:pPr>
              <w:pStyle w:val="Compact"/>
              <w:jc w:val="left"/>
            </w:pPr>
            <w:r>
              <w:t xml:space="preserve">s row is withdrawn as an error, Amendment A-20). All four items enter the measurement model, the reliability statistics, the AVE/HTMT computation, and the construct score. Two independent grounds, recorded in that order of weight.</w:t>
            </w:r>
            <w:r>
              <w:t xml:space="preserve"> </w:t>
            </w:r>
            <w:r>
              <w:rPr>
                <w:bCs/>
                <w:b/>
              </w:rPr>
              <w:t xml:space="preserve">(i) Content validity:</w:t>
            </w:r>
            <w:r>
              <w:t xml:space="preserve"> </w:t>
            </w:r>
            <w:r>
              <w:t xml:space="preserve">REL1–REL3 all measure</w:t>
            </w:r>
            <w:r>
              <w:t xml:space="preserve"> </w:t>
            </w:r>
            <w:r>
              <w:rPr>
                <w:iCs/>
                <w:i/>
              </w:rPr>
              <w:t xml:space="preserve">fit</w:t>
            </w:r>
            <w:r>
              <w:t xml:space="preserve"> </w:t>
            </w:r>
            <w:r>
              <w:t xml:space="preserve">(matches my needs / my preferences / relevant and suitable to me). REL4 measures</w:t>
            </w:r>
            <w:r>
              <w:t xml:space="preserve"> </w:t>
            </w:r>
            <w:r>
              <w:rPr>
                <w:iCs/>
                <w:i/>
              </w:rPr>
              <w:t xml:space="preserve">decision usefulness</w:t>
            </w:r>
            <w:r>
              <w:t xml:space="preserve"> </w:t>
            </w:r>
            <w:r>
              <w:t xml:space="preserve">— whether recommendations make it easy to find suitable products for a purchase decision — which is a search-effort-reduction facet closer to perceived usefulness than to relevance, and therefore a second dimension inside a construct specified as unidimensional.</w:t>
            </w:r>
            <w:r>
              <w:t xml:space="preserve"> </w:t>
            </w:r>
            <w:r>
              <w:rPr>
                <w:bCs/>
                <w:b/>
              </w:rPr>
              <w:t xml:space="preserve">(ii) Empirical corroboration:</w:t>
            </w:r>
            <w:r>
              <w:t xml:space="preserve"> </w:t>
            </w:r>
            <w:r>
              <w:t xml:space="preserve">the pilot (n = 35) two-factor AIP–REL EFA flagged REL4 with a primary loading below 0.60 and a narrow primary-to-secondary gap, which is the pattern a misplaced facet produces. Ratified by project lead, 26 August 2026.</w:t>
            </w:r>
          </w:p>
        </w:tc>
      </w:tr>
      <w:tr>
        <w:tc>
          <w:tcPr/>
          <w:p>
            <w:pPr>
              <w:pStyle w:val="Compact"/>
              <w:jc w:val="left"/>
            </w:pPr>
            <w:r>
              <w:t xml:space="preserve">A-10</w:t>
            </w:r>
          </w:p>
        </w:tc>
        <w:tc>
          <w:tcPr/>
          <w:p>
            <w:pPr>
              <w:pStyle w:val="Compact"/>
              <w:jc w:val="left"/>
            </w:pPr>
            <w:r>
              <w:rPr>
                <w:bCs/>
                <w:b/>
              </w:rPr>
              <w:t xml:space="preserve">Measurement register reconciled to the fielded instrument: TRU = 5 items (TRU1–TRU5), ENG = 6 items (ENG1–ENG6).</w:t>
            </w:r>
            <w:r>
              <w:t xml:space="preserve"> </w:t>
            </w:r>
            <w:r>
              <w:t xml:space="preserve">Table 5 of v2.1 recorded TRU = 6 and ENG = 5, which does not match PROJ_MAIN. Every prose reference to</w:t>
            </w:r>
            <w:r>
              <w:t xml:space="preserve"> </w:t>
            </w:r>
            <w:r>
              <w:t xml:space="preserve">“</w:t>
            </w:r>
            <w:r>
              <w:t xml:space="preserve">TRU4–TRU6</w:t>
            </w:r>
            <w:r>
              <w:t xml:space="preserve">”</w:t>
            </w:r>
            <w:r>
              <w:t xml:space="preserve"> </w:t>
            </w:r>
            <w:r>
              <w:t xml:space="preserve">and</w:t>
            </w:r>
            <w:r>
              <w:t xml:space="preserve"> </w:t>
            </w:r>
            <w:r>
              <w:t xml:space="preserve">“</w:t>
            </w:r>
            <w:r>
              <w:t xml:space="preserve">ENG1–ENG5</w:t>
            </w:r>
            <w:r>
              <w:t xml:space="preserve">”</w:t>
            </w:r>
            <w:r>
              <w:t xml:space="preserve"> </w:t>
            </w:r>
            <w:r>
              <w:t xml:space="preserve">is corrected accordingly.</w:t>
            </w:r>
          </w:p>
        </w:tc>
        <w:tc>
          <w:tcPr/>
          <w:p>
            <w:pPr>
              <w:pStyle w:val="Compact"/>
              <w:jc w:val="left"/>
            </w:pPr>
            <w:r>
              <w:t xml:space="preserve">The discrepancy was a register error, not an instrument error: the totals reconcile to 33 either way (6+4+5+6+5+3+4 = 6+4+5+5+6+3+4), which is why it survived earlier audits. The instrument has been fielded and the pilot has run on TRU1–TRU5 / ENG1–ENG6; there is no version of this project in which the register’s counts are the operative ones. The register is corrected to the fielded reality rather than the instrument re-fielded to the register. Ratified by project lead, 26 August 2026.</w:t>
            </w:r>
          </w:p>
        </w:tc>
      </w:tr>
      <w:tr>
        <w:tc>
          <w:tcPr/>
          <w:p>
            <w:pPr>
              <w:pStyle w:val="Compact"/>
            </w:pPr>
          </w:p>
        </w:tc>
        <w:tc>
          <w:tcPr/>
          <w:p>
            <w:pPr>
              <w:pStyle w:val="Compact"/>
            </w:pPr>
          </w:p>
        </w:tc>
        <w:tc>
          <w:tcPr/>
          <w:p>
            <w:pPr>
              <w:pStyle w:val="Compact"/>
              <w:jc w:val="left"/>
            </w:pPr>
            <w:r>
              <w:rPr>
                <w:bCs/>
                <w:b/>
              </w:rPr>
              <w:t xml:space="preserve">SUPERSEDED (post-B1.5 correction pass) for TRU only:</w:t>
            </w:r>
            <w:r>
              <w:t xml:space="preserve"> </w:t>
            </w:r>
            <w:r>
              <w:t xml:space="preserve">the team and faculty advisor confirmed the current, correct standard is TRU = 6 items (TRU1–TRU6: TRU1–3 cognitive; TRU4–6 affective — secure, comfortable, content — Komiak &amp; Benbasat, 2006), as fielded in B1.5. This reverses A-10’s 5-item reconciliation for TRU specifically; A-10’s ENG reconciliation (6 items, ENG1–ENG6) is unaffected and still stands. All current-state references elsewhere in this document have been updated to TRU1–TRU6; this table row is retained unmodified as the historical record of A-10 itself.</w:t>
            </w:r>
          </w:p>
        </w:tc>
      </w:tr>
    </w:tbl>
    <w:bookmarkEnd w:id="23"/>
    <w:bookmarkStart w:id="24" w:name="X10689e47c4cd569bb7ed17714af2d6d31d2b514"/>
    <w:p>
      <w:pPr>
        <w:pStyle w:val="Heading2"/>
      </w:pPr>
      <w:r>
        <w:t xml:space="preserve">Table 0d. Amendments, Version 2.4 → Version 2.7</w:t>
      </w:r>
    </w:p>
    <w:tbl>
      <w:tblPr>
        <w:tblStyle w:val="Table"/>
        <w:tblW w:type="pct" w:w="4994"/>
        <w:tblLook w:firstRow="1" w:lastRow="0" w:firstColumn="0" w:lastColumn="0" w:noHBand="0" w:noVBand="0" w:val="0020"/>
        <w:jc w:val="start"/>
      </w:tblPr>
      <w:tblGrid>
        <w:gridCol w:w="111"/>
        <w:gridCol w:w="6883"/>
        <w:gridCol w:w="916"/>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A-11</w:t>
            </w:r>
          </w:p>
        </w:tc>
        <w:tc>
          <w:tcPr/>
          <w:p>
            <w:pPr>
              <w:pStyle w:val="Compact"/>
              <w:jc w:val="left"/>
            </w:pPr>
            <w:r>
              <w:rPr>
                <w:bCs/>
                <w:b/>
              </w:rPr>
              <w:t xml:space="preserve">OD-4 closed: article-level citations to Law 91/2025/QH15 verified against the full statute text.</w:t>
            </w:r>
            <w:r>
              <w:t xml:space="preserve"> </w:t>
            </w:r>
            <w:r>
              <w:t xml:space="preserve">A machine-readable copy (luat_PDPL.pdf) was obtained and read directly — the earlier scanned copy (91qh.signed.pdf) had no usable text layer and blocked verification. Every Art. n citation in Part B (Tables 2a–2d, §B.5) and §A.5.1 was checked article-by-article against the statute. Result:</w:t>
            </w:r>
            <w:r>
              <w:t xml:space="preserve"> </w:t>
            </w:r>
            <w:r>
              <w:rPr>
                <w:bCs/>
                <w:b/>
              </w:rPr>
              <w:t xml:space="preserve">all citations verified accurate; no correction required.</w:t>
            </w:r>
            <w:r>
              <w:t xml:space="preserve"> </w:t>
            </w:r>
            <w:r>
              <w:t xml:space="preserve">Two findings strengthen, rather than change, the existing framing: (i) Art. 28(8) explicitly names</w:t>
            </w:r>
            <w:r>
              <w:t xml:space="preserve"> </w:t>
            </w:r>
            <w:r>
              <w:rPr>
                <w:iCs/>
                <w:i/>
              </w:rPr>
              <w:t xml:space="preserve">cá nhân hóa quảng cáo</w:t>
            </w:r>
            <w:r>
              <w:t xml:space="preserve"> </w:t>
            </w:r>
            <w:r>
              <w:t xml:space="preserve">(</w:t>
            </w:r>
            <w:r>
              <w:t xml:space="preserve">“</w:t>
            </w:r>
            <w:r>
              <w:t xml:space="preserve">personalized advertising</w:t>
            </w:r>
            <w:r>
              <w:t xml:space="preserve">”</w:t>
            </w:r>
            <w:r>
              <w:t xml:space="preserve">) as its own regulated sub-case — the most precise available statutory anchor for the Study 2 Disclosure Optimizer, more specific than the general Art. 28 framing used until now; (ii) Art. 30(4)’s risk-based-classification duty for AI processing is a direct statutory anchor for the Intelligence Layer’s Privacy Scorer, not previously cited at the sub-article level. Minor completeness note: Table 2b cites</w:t>
            </w:r>
            <w:r>
              <w:t xml:space="preserve"> </w:t>
            </w:r>
            <w:r>
              <w:t xml:space="preserve">“</w:t>
            </w:r>
            <w:r>
              <w:t xml:space="preserve">Art. 19(1)(a)–(d)</w:t>
            </w:r>
            <w:r>
              <w:t xml:space="preserve">”</w:t>
            </w:r>
            <w:r>
              <w:t xml:space="preserve">; the statute’s point đ) — a generic</w:t>
            </w:r>
            <w:r>
              <w:t xml:space="preserve"> </w:t>
            </w:r>
            <w:r>
              <w:t xml:space="preserve">“</w:t>
            </w:r>
            <w:r>
              <w:t xml:space="preserve">other cases per law</w:t>
            </w:r>
            <w:r>
              <w:t xml:space="preserve">”</w:t>
            </w:r>
            <w:r>
              <w:t xml:space="preserve"> </w:t>
            </w:r>
            <w:r>
              <w:t xml:space="preserve">catch-all — is omitted as low-content and does not require a table correction.</w:t>
            </w:r>
          </w:p>
        </w:tc>
        <w:tc>
          <w:tcPr/>
          <w:p>
            <w:pPr>
              <w:pStyle w:val="Compact"/>
              <w:jc w:val="left"/>
            </w:pPr>
            <w:r>
              <w:t xml:space="preserve">Ratified by project lead, 26 August 2026. Closes OD-4.</w:t>
            </w:r>
          </w:p>
        </w:tc>
      </w:tr>
      <w:tr>
        <w:tc>
          <w:tcPr/>
          <w:p>
            <w:pPr>
              <w:pStyle w:val="Compact"/>
              <w:jc w:val="left"/>
            </w:pPr>
            <w:r>
              <w:t xml:space="preserve">A-12 [SUPERSEDED IN PART</w:t>
            </w:r>
          </w:p>
        </w:tc>
        <w:tc>
          <w:tcPr/>
          <w:p>
            <w:pPr>
              <w:pStyle w:val="Compact"/>
              <w:jc w:val="left"/>
            </w:pPr>
            <w:r>
              <w:t xml:space="preserve">, A-20]</w:t>
            </w:r>
            <w:r>
              <w:t xml:space="preserve"> </w:t>
            </w:r>
            <w:r>
              <w:rPr>
                <w:bCs/>
                <w:b/>
              </w:rPr>
              <w:t xml:space="preserve">ENG respecified with an explicit three-dimension item structure (Cognitive Processing, Affection, Activation) and its measurement citation corrected.</w:t>
            </w:r>
            <w:r>
              <w:t xml:space="preserve"> </w:t>
            </w:r>
            <w:r>
              <w:t xml:space="preserve">ENG1–ENG6 are adapted from Hollebeek, Glynn, &amp; Brodie (2014)’s Consumer Brand Engagement scale, not from Brodie et al. (2011), which is conceptual/definitional and supplies no item battery. Reliability and item-retention diagnostics for ENG must be computed within each dimension (Cognitive: ENG1–ENG2; Affection: ENG3, ENG6; Activation: ENG4–ENG5), never pooled across all six items.</w:t>
            </w:r>
            <w:r>
              <w:t xml:space="preserve"> </w:t>
            </w:r>
            <w:r>
              <w:rPr>
                <w:bCs/>
                <w:b/>
              </w:rPr>
              <w:t xml:space="preserve">[This computation rule is superseded by Amendment A-20, which reverts ENG diagnostics to the pooled six-item set; the citation correction, the dimension labelling and the retention of ENG4 below are unaffected and remain operative.]</w:t>
            </w:r>
            <w:r>
              <w:t xml:space="preserve"> </w:t>
            </w:r>
            <w:r>
              <w:t xml:space="preserve">This reverses the provisional plan to exclude ENG4 (which had been evaluated the same way as REL4 under Amendment A-9): within-dimension reanalysis (pilot n = 46) shows Activation-facet reliability is weak (alpha = 0.345) but ENG4 is retained, since dropping it would leave Activation as an unassessable single-item facet. ENG remains a single first-order reflective composite in the structural model (H5, H6b, E1, E2) — this amendment does not introduce a second-order specification, for the same parsimony reason TRU (§A.3.2) is not modeled as second-order despite an equally multidimensional source theory.</w:t>
            </w:r>
          </w:p>
        </w:tc>
        <w:tc>
          <w:tcPr/>
          <w:p>
            <w:pPr>
              <w:pStyle w:val="Compact"/>
              <w:jc w:val="left"/>
            </w:pPr>
            <w:r>
              <w:t xml:space="preserve">Raised by faculty advisor (methodological review of pooled vs. within-dimension reliability computation), 26 August 2026. Ratified by project lead the same day. See §A.4.1 for full development.</w:t>
            </w:r>
          </w:p>
        </w:tc>
      </w:tr>
      <w:tr>
        <w:tc>
          <w:tcPr/>
          <w:p>
            <w:pPr>
              <w:pStyle w:val="Compact"/>
              <w:jc w:val="left"/>
            </w:pPr>
            <w:r>
              <w:rPr>
                <w:bCs/>
                <w:b/>
              </w:rPr>
              <w:t xml:space="preserve">A-13</w:t>
            </w:r>
          </w:p>
        </w:tc>
        <w:tc>
          <w:tcPr/>
          <w:p>
            <w:pPr>
              <w:pStyle w:val="Compact"/>
              <w:jc w:val="left"/>
            </w:pPr>
            <w:r>
              <w:rPr>
                <w:bCs/>
                <w:b/>
              </w:rPr>
              <w:t xml:space="preserve">Item wording finalized for main collection (PROJ_MAIN_final_v2), superseding the pilot-stage wording recorded in Master Codebook v2.0/2.1.</w:t>
            </w:r>
            <w:r>
              <w:t xml:space="preserve"> </w:t>
            </w:r>
            <w:r>
              <w:t xml:space="preserve">Twelve constructs’ items received editorial revision after pilot (AIP1–6, INT1–5, TRU1, TRU3, PDPL1–4, PI1–2, plus minor EN-only wording on ENG2–3/5–6 and REL4) — mostly clause additions/rewording for clarity, not construct redefinition.</w:t>
            </w:r>
            <w:r>
              <w:t xml:space="preserve"> </w:t>
            </w:r>
            <w:r>
              <w:rPr>
                <w:bCs/>
                <w:b/>
              </w:rPr>
              <w:t xml:space="preserve">One substantive correction is included:</w:t>
            </w:r>
            <w:r>
              <w:t xml:space="preserve"> </w:t>
            </w:r>
            <w:r>
              <w:t xml:space="preserve">TRU2 was fielded to the pilot as a double-barreled item (</w:t>
            </w:r>
            <w:r>
              <w:t xml:space="preserve">“</w:t>
            </w:r>
            <w:r>
              <w:t xml:space="preserve">…trung thực và đáng tin cậy</w:t>
            </w:r>
            <w:r>
              <w:t xml:space="preserve"> </w:t>
            </w:r>
            <w:r>
              <w:rPr>
                <w:bCs/>
                <w:b/>
              </w:rPr>
              <w:t xml:space="preserve">/ luôn giữ đúng những gì họ cam kết với khách hàng</w:t>
            </w:r>
            <w:r>
              <w:t xml:space="preserve">”</w:t>
            </w:r>
            <w:r>
              <w:t xml:space="preserve"> </w:t>
            </w:r>
            <w:r>
              <w:t xml:space="preserve">— conflating honesty/reliability with commitment-keeping in one item under a</w:t>
            </w:r>
            <w:r>
              <w:t xml:space="preserve"> </w:t>
            </w:r>
            <w:r>
              <w:t xml:space="preserve">“</w:t>
            </w:r>
            <w:r>
              <w:t xml:space="preserve">/</w:t>
            </w:r>
            <w:r>
              <w:t xml:space="preserve">”</w:t>
            </w:r>
            <w:r>
              <w:t xml:space="preserve">). This is reverted to the original single-barrel wording (</w:t>
            </w:r>
            <w:r>
              <w:t xml:space="preserve">“</w:t>
            </w:r>
            <w:r>
              <w:t xml:space="preserve">…trung thực và đáng tin cậy.</w:t>
            </w:r>
            <w:r>
              <w:t xml:space="preserve">”</w:t>
            </w:r>
            <w:r>
              <w:t xml:space="preserve">) in PROJ_MAIN_final_v2 — not carried forward as finalized.</w:t>
            </w:r>
            <w:r>
              <w:t xml:space="preserve"> </w:t>
            </w:r>
            <w:r>
              <w:rPr>
                <w:bCs/>
                <w:b/>
              </w:rPr>
              <w:t xml:space="preserve">Governance consequence:</w:t>
            </w:r>
            <w:r>
              <w:t xml:space="preserve"> </w:t>
            </w:r>
            <w:r>
              <w:t xml:space="preserve">the pilot (n = 46) reliability, EFA, and HTMT statistics reported in this document and in 03_reliability_efa.py output were computed against the</w:t>
            </w:r>
            <w:r>
              <w:t xml:space="preserve"> </w:t>
            </w:r>
            <w:r>
              <w:rPr>
                <w:iCs/>
                <w:i/>
              </w:rPr>
              <w:t xml:space="preserve">pre-A-13</w:t>
            </w:r>
            <w:r>
              <w:t xml:space="preserve"> </w:t>
            </w:r>
            <w:r>
              <w:t xml:space="preserve">item wording. They remain valid evidence that the underlying constructs behave as reflective, unidimensional (or, for ENG, dimension-structured per A-12) scales, but they are</w:t>
            </w:r>
            <w:r>
              <w:t xml:space="preserve"> </w:t>
            </w:r>
            <w:r>
              <w:rPr>
                <w:bCs/>
                <w:b/>
              </w:rPr>
              <w:t xml:space="preserve">not confirmatory of the exact finalized wording</w:t>
            </w:r>
            <w:r>
              <w:t xml:space="preserve"> </w:t>
            </w:r>
            <w:r>
              <w:t xml:space="preserve">for the twelve revised constructs. Main collection (n ≥ 400) is the authoritative reliability/validity test for the finalized item set; do not cite pilot alpha/loadings as validating PROJ_MAIN_final_v2 wording verbatim without this caveat in the Method section.</w:t>
            </w:r>
          </w:p>
        </w:tc>
        <w:tc>
          <w:tcPr/>
          <w:p>
            <w:pPr>
              <w:pStyle w:val="Compact"/>
              <w:jc w:val="left"/>
            </w:pPr>
            <w:r>
              <w:t xml:space="preserve">Ratified by project lead, 1 September 2026, on review of PROJ_MAIN_fixed.docx. TRU2 correction identified during this review; item-wording diff verified item-by-item against Master Codebook v2.1.</w:t>
            </w:r>
          </w:p>
        </w:tc>
      </w:tr>
    </w:tbl>
    <w:bookmarkEnd w:id="24"/>
    <w:bookmarkStart w:id="25" w:name="Xcc6379478559644b4ba07e76a611a4c4e7b35f6"/>
    <w:p>
      <w:pPr>
        <w:pStyle w:val="Heading2"/>
      </w:pPr>
      <w:r>
        <w:t xml:space="preserve">Table 0e. Amendment, Version 2.7 → Version 2.8 [SUPERSEDED — see Table 0f]</w:t>
      </w:r>
    </w:p>
    <w:tbl>
      <w:tblPr>
        <w:tblStyle w:val="Table"/>
        <w:tblW w:type="pct" w:w="4996"/>
        <w:tblLook w:firstRow="1" w:lastRow="0" w:firstColumn="0" w:lastColumn="0" w:noHBand="0" w:noVBand="0" w:val="0020"/>
        <w:jc w:val="start"/>
      </w:tblPr>
      <w:tblGrid>
        <w:gridCol w:w="96"/>
        <w:gridCol w:w="4821"/>
        <w:gridCol w:w="2994"/>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A-16 [SUPERSEDED, A-17]</w:t>
            </w:r>
          </w:p>
        </w:tc>
        <w:tc>
          <w:tcPr/>
          <w:p>
            <w:pPr>
              <w:pStyle w:val="Compact"/>
              <w:jc w:val="left"/>
            </w:pPr>
            <w:r>
              <w:rPr>
                <w:bCs/>
                <w:b/>
              </w:rPr>
              <w:t xml:space="preserve">OD-11 closed: PDPL1–PDPL4 item stems remain generic (no statute name); the statutory anchor is relocated to a split administration preamble instead.</w:t>
            </w:r>
            <w:r>
              <w:t xml:space="preserve"> </w:t>
            </w:r>
            <w:r>
              <w:t xml:space="preserve">(i)</w:t>
            </w:r>
            <w:r>
              <w:t xml:space="preserve"> </w:t>
            </w:r>
            <w:r>
              <w:rPr>
                <w:bCs/>
                <w:b/>
              </w:rPr>
              <w:t xml:space="preserve">Item stems unchanged from PROJ_MAIN_final_v2</w:t>
            </w:r>
            <w:r>
              <w:t xml:space="preserve"> </w:t>
            </w:r>
            <w:r>
              <w:t xml:space="preserve">— PDPL1–PDPL4 do not name Law 91/2025/QH15 and are not revised under this amendment; this closes OD-11 by adopting the</w:t>
            </w:r>
            <w:r>
              <w:t xml:space="preserve"> </w:t>
            </w:r>
            <w:r>
              <w:t xml:space="preserve">“</w:t>
            </w:r>
            <w:r>
              <w:t xml:space="preserve">state the limitation via design, not by editing the items</w:t>
            </w:r>
            <w:r>
              <w:t xml:space="preserve">”</w:t>
            </w:r>
            <w:r>
              <w:t xml:space="preserve"> </w:t>
            </w:r>
            <w:r>
              <w:t xml:space="preserve">branch, refined into an active design decision rather than a passive disclosure. (ii)</w:t>
            </w:r>
            <w:r>
              <w:t xml:space="preserve"> </w:t>
            </w:r>
            <w:r>
              <w:rPr>
                <w:bCs/>
                <w:b/>
              </w:rPr>
              <w:t xml:space="preserve">Block M_PDPL’s single preamble is split into two administration segments.</w:t>
            </w:r>
            <w:r>
              <w:t xml:space="preserve"> </w:t>
            </w:r>
            <w:r>
              <w:t xml:space="preserve">Segment 1 (generic, no statute name —</w:t>
            </w:r>
            <w:r>
              <w:t xml:space="preserve"> </w:t>
            </w:r>
            <w:r>
              <w:t xml:space="preserve">“</w:t>
            </w:r>
            <w:r>
              <w:t xml:space="preserve">Các câu hỏi sau đây liên quan đến quyền và nghĩa vụ theo quy định pháp luật Việt Nam về bảo vệ dữ liệu cá nhân.</w:t>
            </w:r>
            <w:r>
              <w:t xml:space="preserve">”</w:t>
            </w:r>
            <w:r>
              <w:t xml:space="preserve">) precedes PDPL1. Segment 2 (names Law 91/2025/QH15, effective 1 January 2026) is inserted immediately after PDPL1 and before PDPL2. (iii)</w:t>
            </w:r>
            <w:r>
              <w:t xml:space="preserve"> </w:t>
            </w:r>
            <w:r>
              <w:rPr>
                <w:bCs/>
                <w:b/>
              </w:rPr>
              <w:t xml:space="preserve">Measurement-register note added</w:t>
            </w:r>
            <w:r>
              <w:t xml:space="preserve"> </w:t>
            </w:r>
            <w:r>
              <w:t xml:space="preserve">(Table 5, § C.4): PDPL1 is the sole</w:t>
            </w:r>
            <w:r>
              <w:t xml:space="preserve"> </w:t>
            </w:r>
            <w:r>
              <w:rPr>
                <w:iCs/>
                <w:i/>
              </w:rPr>
              <w:t xml:space="preserve">pre-anchor</w:t>
            </w:r>
            <w:r>
              <w:t xml:space="preserve"> </w:t>
            </w:r>
            <w:r>
              <w:t xml:space="preserve">item (spontaneous/baseline awareness of the regime’s existence, uncontaminated by information given in the same block); PDPL2–PDPL4 are</w:t>
            </w:r>
            <w:r>
              <w:t xml:space="preserve"> </w:t>
            </w:r>
            <w:r>
              <w:rPr>
                <w:iCs/>
                <w:i/>
              </w:rPr>
              <w:t xml:space="preserve">post-anchor</w:t>
            </w:r>
            <w:r>
              <w:t xml:space="preserve"> </w:t>
            </w:r>
            <w:r>
              <w:t xml:space="preserve">items (awareness of specific entitlements under the now-named statute, not generic privacy belief). This distinction must be carried into the Method section’s instrument-development narrative and must not be collapsed into a single</w:t>
            </w:r>
            <w:r>
              <w:t xml:space="preserve"> </w:t>
            </w:r>
            <w:r>
              <w:t xml:space="preserve">“</w:t>
            </w:r>
            <w:r>
              <w:t xml:space="preserve">PDPL Awareness, 4 items</w:t>
            </w:r>
            <w:r>
              <w:t xml:space="preserve">”</w:t>
            </w:r>
            <w:r>
              <w:t xml:space="preserve"> </w:t>
            </w:r>
            <w:r>
              <w:t xml:space="preserve">description without the pre-/post-anchor qualifier.</w:t>
            </w:r>
          </w:p>
        </w:tc>
        <w:tc>
          <w:tcPr/>
          <w:p>
            <w:pPr>
              <w:pStyle w:val="Compact"/>
              <w:jc w:val="left"/>
            </w:pPr>
            <w:r>
              <w:t xml:space="preserve">Raised by Thiện Phan Đức on inspection of the fielded preamble (7 September 2026): a preamble naming the statute</w:t>
            </w:r>
            <w:r>
              <w:t xml:space="preserve"> </w:t>
            </w:r>
            <w:r>
              <w:rPr>
                <w:iCs/>
                <w:i/>
              </w:rPr>
              <w:t xml:space="preserve">before</w:t>
            </w:r>
            <w:r>
              <w:t xml:space="preserve"> </w:t>
            </w:r>
            <w:r>
              <w:t xml:space="preserve">PDPL1 primes the bare-awareness item with the very fact it tests, converting it into a near-manipulation-check and risking a ceiling effect. Faculty advisor confirmed (8 September 2026) that the four item stems themselves should not name the statute — that anchor belongs in context (preamble / Chapter 2 / Method), not in item text — which rules out the alternative fix of naming the law inside PDPL1’s stem. Ratified by project lead, 8 September 2026. Closes OD-11 (Table 6, prior status</w:t>
            </w:r>
            <w:r>
              <w:t xml:space="preserve"> </w:t>
            </w:r>
            <w:r>
              <w:t xml:space="preserve">“</w:t>
            </w:r>
            <w:r>
              <w:t xml:space="preserve">open, non-blocking for the pilot</w:t>
            </w:r>
            <w:r>
              <w:t xml:space="preserve">”</w:t>
            </w:r>
            <w:r>
              <w:t xml:space="preserve">). Supersedes the interim fix of adding</w:t>
            </w:r>
            <w:r>
              <w:t xml:space="preserve"> </w:t>
            </w:r>
            <w:r>
              <w:t xml:space="preserve">“</w:t>
            </w:r>
            <w:r>
              <w:t xml:space="preserve">(Law No. 91/2025/QH15)</w:t>
            </w:r>
            <w:r>
              <w:t xml:space="preserve">”</w:t>
            </w:r>
            <w:r>
              <w:t xml:space="preserve"> </w:t>
            </w:r>
            <w:r>
              <w:t xml:space="preserve">directly to the PDPL1 stem, which was drafted and then reverted before fielding — that wording is never valid and must not reappear in PROJ_MAIN.</w:t>
            </w:r>
          </w:p>
        </w:tc>
      </w:tr>
    </w:tbl>
    <w:bookmarkEnd w:id="25"/>
    <w:bookmarkStart w:id="26" w:name="X9cb7143e2d02becded0c54e64e4443c05b8be24"/>
    <w:p>
      <w:pPr>
        <w:pStyle w:val="Heading2"/>
      </w:pPr>
      <w:r>
        <w:t xml:space="preserve">Table 0f. Amendment, Version 2.8 -&gt; Version 2.9</w:t>
      </w:r>
    </w:p>
    <w:tbl>
      <w:tblPr>
        <w:tblStyle w:val="Table"/>
        <w:tblW w:type="pct" w:w="4995"/>
        <w:tblLook w:firstRow="1" w:lastRow="0" w:firstColumn="0" w:lastColumn="0" w:noHBand="0" w:noVBand="0" w:val="0020"/>
        <w:jc w:val="start"/>
      </w:tblPr>
      <w:tblGrid>
        <w:gridCol w:w="91"/>
        <w:gridCol w:w="4491"/>
        <w:gridCol w:w="3329"/>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A-17</w:t>
            </w:r>
          </w:p>
        </w:tc>
        <w:tc>
          <w:tcPr/>
          <w:p>
            <w:pPr>
              <w:pStyle w:val="Compact"/>
              <w:jc w:val="left"/>
            </w:pPr>
            <w:r>
              <w:rPr>
                <w:bCs/>
                <w:b/>
              </w:rPr>
              <w:t xml:space="preserve">Supersedes A-16 in full. OD-11 is re-closed via the</w:t>
            </w:r>
            <w:r>
              <w:rPr>
                <w:bCs/>
                <w:b/>
              </w:rPr>
              <w:t xml:space="preserve"> </w:t>
            </w:r>
            <w:r>
              <w:rPr>
                <w:bCs/>
                <w:b/>
              </w:rPr>
              <w:t xml:space="preserve">“</w:t>
            </w:r>
            <w:r>
              <w:rPr>
                <w:bCs/>
                <w:b/>
              </w:rPr>
              <w:t xml:space="preserve">state the limitation, do not alter the instrument</w:t>
            </w:r>
            <w:r>
              <w:rPr>
                <w:bCs/>
                <w:b/>
              </w:rPr>
              <w:t xml:space="preserve">”</w:t>
            </w:r>
            <w:r>
              <w:rPr>
                <w:bCs/>
                <w:b/>
              </w:rPr>
              <w:t xml:space="preserve"> </w:t>
            </w:r>
            <w:r>
              <w:rPr>
                <w:bCs/>
                <w:b/>
              </w:rPr>
              <w:t xml:space="preserve">branch, not the instrument-design branch.</w:t>
            </w:r>
            <w:r>
              <w:t xml:space="preserve"> </w:t>
            </w:r>
            <w:r>
              <w:t xml:space="preserve">(i)</w:t>
            </w:r>
            <w:r>
              <w:t xml:space="preserve"> </w:t>
            </w:r>
            <w:r>
              <w:rPr>
                <w:bCs/>
                <w:b/>
              </w:rPr>
              <w:t xml:space="preserve">PDPL1-PDPL4 item stems are unchanged</w:t>
            </w:r>
            <w:r>
              <w:t xml:space="preserve"> </w:t>
            </w:r>
            <w:r>
              <w:t xml:space="preserve">and remain generic – no statute name, as under A-13 and A-16 alike. (ii)</w:t>
            </w:r>
            <w:r>
              <w:t xml:space="preserve"> </w:t>
            </w:r>
            <w:r>
              <w:rPr>
                <w:bCs/>
                <w:b/>
              </w:rPr>
              <w:t xml:space="preserve">Block M_PDPL’s preamble reverts to a single generic segment before PDPL1.</w:t>
            </w:r>
            <w:r>
              <w:t xml:space="preserve"> </w:t>
            </w:r>
            <w:r>
              <w:t xml:space="preserve">The second, statute-naming segment introduced by A-16 (to be inserted after PDPL1, before PDPL2) is withdrawn; it is not administered in PROJ_MAIN. (iii)</w:t>
            </w:r>
            <w:r>
              <w:t xml:space="preserve"> </w:t>
            </w:r>
            <w:r>
              <w:rPr>
                <w:bCs/>
                <w:b/>
              </w:rPr>
              <w:t xml:space="preserve">The pre-anchor / post-anchor distinction introduced by A-16 is withdrawn along with it</w:t>
            </w:r>
            <w:r>
              <w:t xml:space="preserve"> </w:t>
            </w:r>
            <w:r>
              <w:t xml:space="preserve">– with no segment naming the statute anywhere in the block, PDPL1-PDPL4 are administered identically (all under the single generic preamble), and the Master Codebook’s</w:t>
            </w:r>
            <w:r>
              <w:t xml:space="preserve"> </w:t>
            </w:r>
            <w:r>
              <w:t xml:space="preserve">“</w:t>
            </w:r>
            <w:r>
              <w:t xml:space="preserve">Anchor status</w:t>
            </w:r>
            <w:r>
              <w:t xml:space="preserve">”</w:t>
            </w:r>
            <w:r>
              <w:t xml:space="preserve"> </w:t>
            </w:r>
            <w:r>
              <w:t xml:space="preserve">column is removed. (iv)</w:t>
            </w:r>
            <w:r>
              <w:t xml:space="preserve"> </w:t>
            </w:r>
            <w:r>
              <w:rPr>
                <w:bCs/>
                <w:b/>
              </w:rPr>
              <w:t xml:space="preserve">The statutory anchor for PDPL Awareness is documented exclusively outside the fielded instrument:</w:t>
            </w:r>
            <w:r>
              <w:t xml:space="preserve"> </w:t>
            </w:r>
            <w:r>
              <w:t xml:space="preserve">in the literature review (Chapter 2, construct operationalization), and in the instrument-development narrative of the Method section, which must state plainly that PDPL1-PDPL4 are generic by design and name Law 91/2025/QH15 only in surrounding text, not in administration.</w:t>
            </w:r>
          </w:p>
        </w:tc>
        <w:tc>
          <w:tcPr/>
          <w:p>
            <w:pPr>
              <w:pStyle w:val="Compact"/>
              <w:jc w:val="left"/>
            </w:pPr>
            <w:r>
              <w:t xml:space="preserve">Faculty advisor’s guidance, re-confirmed 8 September 2026 on inspection of the A-16 preamble-split draft: no part of the fielded instrument – items or preamble – needs to name the statute, because all four items already trace to specific articles (Table 5, Section C.4) and this is standard practice for scales built on an established construct; the statute belongs in the manuscript’s own context sections only. Ratified by project lead, 8 September 2026, the same day A-16 was ratified and superseded. Re-closes OD-11 (Table 6): status changes from</w:t>
            </w:r>
            <w:r>
              <w:t xml:space="preserve"> </w:t>
            </w:r>
            <w:r>
              <w:t xml:space="preserve">“</w:t>
            </w:r>
            <w:r>
              <w:t xml:space="preserve">Closed by A-16</w:t>
            </w:r>
            <w:r>
              <w:t xml:space="preserve">”</w:t>
            </w:r>
            <w:r>
              <w:t xml:space="preserve"> </w:t>
            </w:r>
            <w:r>
              <w:t xml:space="preserve">to</w:t>
            </w:r>
            <w:r>
              <w:t xml:space="preserve"> </w:t>
            </w:r>
            <w:r>
              <w:t xml:space="preserve">“</w:t>
            </w:r>
            <w:r>
              <w:t xml:space="preserve">Closed by A-17</w:t>
            </w:r>
            <w:r>
              <w:t xml:space="preserve">”</w:t>
            </w:r>
            <w:r>
              <w:t xml:space="preserve">; the underlying resolution (generic items, limitation stated in Method/Limitations) had in fact been the team’s working option since the original OD-11 entry – A-16 and A-17 together are the record of a same-day exploration and correction, not two independent substantive changes.</w:t>
            </w:r>
          </w:p>
        </w:tc>
      </w:tr>
    </w:tbl>
    <w:p>
      <w:pPr>
        <w:pStyle w:val="BodyText"/>
      </w:pPr>
      <w:r>
        <w:rPr>
          <w:bCs/>
          <w:b/>
        </w:rPr>
        <w:t xml:space="preserve">Item-count consequence of A-9 and A-10 — RETIRED, see below.</w:t>
      </w:r>
      <w:r>
        <w:t xml:space="preserve"> </w:t>
      </w:r>
      <w:r>
        <w:t xml:space="preserve">A-9’s REL4-exclusion and A-10’s TRU reduction have both been reversed in the post-B1.5 correction pass. The instrument now fields</w:t>
      </w:r>
      <w:r>
        <w:t xml:space="preserve"> </w:t>
      </w:r>
      <w:r>
        <w:rPr>
          <w:bCs/>
          <w:b/>
        </w:rPr>
        <w:t xml:space="preserve">34 reflective items</w:t>
      </w:r>
      <w:r>
        <w:t xml:space="preserve">, and the measurement model analyses all</w:t>
      </w:r>
      <w:r>
        <w:t xml:space="preserve"> </w:t>
      </w:r>
      <w:r>
        <w:rPr>
          <w:bCs/>
          <w:b/>
        </w:rPr>
        <w:t xml:space="preserve">34</w:t>
      </w:r>
      <w:r>
        <w:t xml:space="preserve">: fielded and analysed counts are identical, with no fielded-but-excluded item. Downstream code constants keyed to</w:t>
      </w:r>
      <w:r>
        <w:t xml:space="preserve"> </w:t>
      </w:r>
      <w:r>
        <w:t xml:space="preserve">“</w:t>
      </w:r>
      <w:r>
        <w:t xml:space="preserve">33 items</w:t>
      </w:r>
      <w:r>
        <w:t xml:space="preserve">”</w:t>
      </w:r>
      <w:r>
        <w:t xml:space="preserve"> </w:t>
      </w:r>
      <w:r>
        <w:t xml:space="preserve">or</w:t>
      </w:r>
      <w:r>
        <w:t xml:space="preserve"> </w:t>
      </w:r>
      <w:r>
        <w:t xml:space="preserve">“</w:t>
      </w:r>
      <w:r>
        <w:t xml:space="preserve">32 items</w:t>
      </w:r>
      <w:r>
        <w:t xml:space="preserve">”</w:t>
      </w:r>
      <w:r>
        <w:t xml:space="preserve"> </w:t>
      </w:r>
      <w:r>
        <w:t xml:space="preserve">(missing-data proportion, straightlining SD) must be updated to 34 — see §C.4.1.</w:t>
      </w:r>
    </w:p>
    <w:bookmarkEnd w:id="26"/>
    <w:bookmarkStart w:id="27" w:name="X525330a853ef356a979dfce981ca770dd493351"/>
    <w:p>
      <w:pPr>
        <w:pStyle w:val="Heading2"/>
      </w:pPr>
      <w:r>
        <w:t xml:space="preserve">Table 0g. Amendment, Version 2.9 → Version 2.10</w:t>
      </w:r>
    </w:p>
    <w:tbl>
      <w:tblPr>
        <w:tblStyle w:val="Table"/>
        <w:tblW w:type="pct" w:w="4997"/>
        <w:tblLook w:firstRow="1" w:lastRow="0" w:firstColumn="0" w:lastColumn="0" w:noHBand="0" w:noVBand="0" w:val="0020"/>
        <w:jc w:val="start"/>
      </w:tblPr>
      <w:tblGrid>
        <w:gridCol w:w="64"/>
        <w:gridCol w:w="6433"/>
        <w:gridCol w:w="1416"/>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A-18</w:t>
            </w:r>
          </w:p>
        </w:tc>
        <w:tc>
          <w:tcPr/>
          <w:p>
            <w:pPr>
              <w:pStyle w:val="Compact"/>
              <w:jc w:val="left"/>
            </w:pPr>
            <w:r>
              <w:rPr>
                <w:bCs/>
                <w:b/>
              </w:rPr>
              <w:t xml:space="preserve">Manipulation-check gate failure logged; vignette rewrite declined.</w:t>
            </w:r>
            <w:r>
              <w:t xml:space="preserve"> </w:t>
            </w:r>
            <w:r>
              <w:t xml:space="preserve">(i) Across five successive pilot batches (n = 46, 22, 29, 38, 55), the AIP manipulation check has not cleared the pre-committed Cohen’s d ≥ 0.50 gate (d = 1.036 → 0.604 → 0.498 → 0.406 → 0.449; non-significant, p .05, from n = 38 onward), while the DISC manipulation check has remained robust throughout (d = 0.840–0.905, p &lt; .05). Per §C.3’s pre-committed rule, this triggers vignette rewriting (task B2.10) before main collection opens. A revised vignette (concrete framing/ranking differentiation between conditions, plus an early binary recognition check, CC_Gate: CC1/CC2) was drafted, but the team decided not to deploy it; data collection continues on the original, unrevised instrument.</w:t>
            </w:r>
            <w:r>
              <w:t xml:space="preserve"> </w:t>
            </w:r>
            <w:r>
              <w:rPr>
                <w:bCs/>
                <w:b/>
              </w:rPr>
              <w:t xml:space="preserve">This is a deviation from the pre-committed B2.10 rule</w:t>
            </w:r>
            <w:r>
              <w:t xml:space="preserve"> </w:t>
            </w:r>
            <w:r>
              <w:t xml:space="preserve">and must be disclosed as a limitation in the Method/Limitations section, not silently absorbed. See new OD-12, §C.6. (ii)</w:t>
            </w:r>
            <w:r>
              <w:t xml:space="preserve"> </w:t>
            </w:r>
            <w:r>
              <w:rPr>
                <w:bCs/>
                <w:b/>
              </w:rPr>
              <w:t xml:space="preserve">Differential attrition by AIP condition identified.</w:t>
            </w:r>
            <w:r>
              <w:t xml:space="preserve"> </w:t>
            </w:r>
            <w:r>
              <w:t xml:space="preserve">Direct inspection of the raw Qualtrics export confirms random assignment to AIP_COND is balanced (≈ 50/48 split), but post-exclusion retention differs sharply by condition: AIP_COND = 0 (Low) retains ≈ 71% of respondents through the data-quality filters versus AIP_COND = 1 (High) at ≈ 42%. This selection-on-condition pattern is a candidate explanation for the attenuated MC_AIP effect size — surviving High-condition respondents may be disproportionately fast, low-attention completers — and is a second, independent construct-validity risk alongside (i). The team elected to monitor this via per-batch checkpoint logging rather than pause collection. (iii)</w:t>
            </w:r>
            <w:r>
              <w:t xml:space="preserve"> </w:t>
            </w:r>
            <w:r>
              <w:rPr>
                <w:bCs/>
                <w:b/>
              </w:rPr>
              <w:t xml:space="preserve">LOC (province/city of residence) added; main collection continuity via timestamp-based phase split.</w:t>
            </w:r>
            <w:r>
              <w:t xml:space="preserve"> </w:t>
            </w:r>
            <w:r>
              <w:t xml:space="preserve">A LOC item was added to the fielded Qualtrics survey on the same production link partway through data collection. Responses recorded before the LOC field went live (RecordedDate &lt; 2026-09-12 02:15:56) carry structural missing data on LOC — this is not a data-quality exclusion and must not be scored against those respondents’ missingness threshold. All responses on this link, before and after the LOC addition, are pooled into a single main-collection sample rather than treated as a discarded pilot; a collection_phase flag (pre_LOC / post_LOC) is retained in the codebook for transparency but does not gate inclusion. Tea</w:t>
            </w:r>
          </w:p>
        </w:tc>
        <w:tc>
          <w:tcPr/>
          <w:p>
            <w:pPr>
              <w:pStyle w:val="Compact"/>
              <w:jc w:val="left"/>
            </w:pPr>
            <w:r>
              <w:t xml:space="preserve">m decision, 12 September 2026. Parts (i) and (ii) are</w:t>
            </w:r>
            <w:r>
              <w:t xml:space="preserve"> </w:t>
            </w:r>
            <w:r>
              <w:rPr>
                <w:bCs/>
                <w:b/>
              </w:rPr>
              <w:t xml:space="preserve">not yet ratified by the faculty advisor</w:t>
            </w:r>
            <w:r>
              <w:t xml:space="preserve"> </w:t>
            </w:r>
            <w:r>
              <w:t xml:space="preserve">— flagged as an open item requiring sign-off before the Method/Limitations section is drafted (see new OD-12, §C.6). Part (iii) is a data-management continuity decision, consistent with OD-10’s precedent of preserving pilot–main comparability on a frozen/near-frozen instrument. Cell-imbalance finding based on direct inspection of pilot_real.csv (raw Qualtrics export) cross-tabulated against the cleaned pipeline output.</w:t>
            </w:r>
          </w:p>
        </w:tc>
      </w:tr>
    </w:tbl>
    <w:p>
      <w:pPr>
        <w:pStyle w:val="BodyText"/>
      </w:pPr>
      <w:r>
        <w:t xml:space="preserve">Item-count and instrument wording are unaffected by A-18; the fielded instrument (34 items, 2 attention checks, 2 manipulation-check items, plus CC_Gate as drafted-but-not-deployed) is unchanged from the A-13/A-17 baseline.</w:t>
      </w:r>
    </w:p>
    <w:bookmarkEnd w:id="27"/>
    <w:bookmarkStart w:id="28" w:name="X9ed30f1718276923f12b13ac9f47bec92b9bbab"/>
    <w:p>
      <w:pPr>
        <w:pStyle w:val="Heading2"/>
      </w:pPr>
      <w:r>
        <w:t xml:space="preserve">Table 0h. Amendment, Version 2.10 → Version 2.11</w:t>
      </w:r>
    </w:p>
    <w:tbl>
      <w:tblPr>
        <w:tblStyle w:val="Table"/>
        <w:tblW w:type="pct" w:w="4996"/>
        <w:tblLook w:firstRow="1" w:lastRow="0" w:firstColumn="0" w:lastColumn="0" w:noHBand="0" w:noVBand="0" w:val="0020"/>
        <w:jc w:val="start"/>
      </w:tblPr>
      <w:tblGrid>
        <w:gridCol w:w="84"/>
        <w:gridCol w:w="6234"/>
        <w:gridCol w:w="1593"/>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A-19</w:t>
            </w:r>
          </w:p>
        </w:tc>
        <w:tc>
          <w:tcPr/>
          <w:p>
            <w:pPr>
              <w:pStyle w:val="Compact"/>
              <w:jc w:val="left"/>
            </w:pPr>
            <w:r>
              <w:rPr>
                <w:bCs/>
                <w:b/>
              </w:rPr>
              <w:t xml:space="preserve">Refined interpretation of the MC_AIP effect size; sample-role boundary formally adopted.</w:t>
            </w:r>
            <w:r>
              <w:t xml:space="preserve"> </w:t>
            </w:r>
            <w:r>
              <w:t xml:space="preserve">(i) The n = 55 manipulation-check estimate (d = 0.449, p = 0.068) is treated as</w:t>
            </w:r>
            <w:r>
              <w:t xml:space="preserve"> </w:t>
            </w:r>
            <w:r>
              <w:rPr>
                <w:bCs/>
                <w:b/>
              </w:rPr>
              <w:t xml:space="preserve">underpowered rather than a null effect</w:t>
            </w:r>
            <w:r>
              <w:t xml:space="preserve">: across three consecutive cumulative checkpoints on the finalized (post-A-13) vignette wording (n = 29, d = 0.498; n = 38, d = 0.406; n = 55, d = 0.449), the estimate has stabilized in the 0.40–0.50 range rather than trending upward, which is treated as weak evidence that this range is close to the true effect — not as proof the true effect exceeds 0.50. The n = 46 first-pilot estimate (d = 1.036) used pre-A-13 item wording and is</w:t>
            </w:r>
            <w:r>
              <w:t xml:space="preserve"> </w:t>
            </w:r>
            <w:r>
              <w:rPr>
                <w:bCs/>
                <w:b/>
              </w:rPr>
              <w:t xml:space="preserve">not comparable</w:t>
            </w:r>
            <w:r>
              <w:t xml:space="preserve"> </w:t>
            </w:r>
            <w:r>
              <w:t xml:space="preserve">to the four checkpoints on the finalized wording.</w:t>
            </w:r>
            <w:r>
              <w:t xml:space="preserve"> </w:t>
            </w:r>
            <w:r>
              <w:rPr>
                <w:bCs/>
                <w:b/>
              </w:rPr>
              <w:t xml:space="preserve">Next step, per existing governance (§C.3, task B2.10): collect additional pilot data and/or revise the vignette</w:t>
            </w:r>
            <w:r>
              <w:t xml:space="preserve"> </w:t>
            </w:r>
            <w:r>
              <w:t xml:space="preserve">— not a switch to a continuous AIP predictor, which remains a discussed-but-unadopted fallback (OD-12).</w:t>
            </w:r>
            <w:r>
              <w:t xml:space="preserve"> </w:t>
            </w:r>
            <w:r>
              <w:rPr>
                <w:bCs/>
                <w:b/>
              </w:rPr>
              <w:t xml:space="preserve">OD-12 remains open; this amendment refines its stated interpretation, it does not close it.</w:t>
            </w:r>
            <w:r>
              <w:t xml:space="preserve"> </w:t>
            </w:r>
            <w:r>
              <w:t xml:space="preserve">(ii)</w:t>
            </w:r>
            <w:r>
              <w:t xml:space="preserve"> </w:t>
            </w:r>
            <w:r>
              <w:rPr>
                <w:bCs/>
                <w:b/>
              </w:rPr>
              <w:t xml:space="preserve">Sample-role boundary (</w:t>
            </w:r>
            <w:r>
              <w:rPr>
                <w:bCs/>
                <w:b/>
              </w:rPr>
              <w:t xml:space="preserve">“</w:t>
            </w:r>
            <w:r>
              <w:rPr>
                <w:bCs/>
                <w:b/>
              </w:rPr>
              <w:t xml:space="preserve">phuong an B</w:t>
            </w:r>
            <w:r>
              <w:rPr>
                <w:bCs/>
                <w:b/>
              </w:rPr>
              <w:t xml:space="preserve">”</w:t>
            </w:r>
            <w:r>
              <w:rPr>
                <w:bCs/>
                <w:b/>
              </w:rPr>
              <w:t xml:space="preserve">) formally adopted for data management.</w:t>
            </w:r>
            <w:r>
              <w:t xml:space="preserve"> </w:t>
            </w:r>
            <w:r>
              <w:t xml:space="preserve">Responses recorded before MAIN_DATA_START_TIMESTAMP (= LOC_ADDED_TIMESTAMP, 2026-09-12 02:15:56) are labelled sample_role = pilot; responses from that timestamp onward are labelled sample_role = main. This boundary is</w:t>
            </w:r>
            <w:r>
              <w:t xml:space="preserve"> </w:t>
            </w:r>
            <w:r>
              <w:rPr>
                <w:bCs/>
                <w:b/>
              </w:rPr>
              <w:t xml:space="preserve">administrative, not a measurement-readiness determination</w:t>
            </w:r>
            <w:r>
              <w:t xml:space="preserve">: it coincides with the addition of the LOC control variable, not with resolution of the AIP–REL discriminant-validity issue (HTMT = 0.919 at n = 55, unchanged in substance since n = 46) or the manipulation-check gate in (i). Both remain open risks carried forward into data labelled</w:t>
            </w:r>
            <w:r>
              <w:t xml:space="preserve"> </w:t>
            </w:r>
            <w:r>
              <w:t xml:space="preserve">‘</w:t>
            </w:r>
            <w:r>
              <w:t xml:space="preserve">main</w:t>
            </w:r>
            <w:r>
              <w:t xml:space="preserve">’</w:t>
            </w:r>
            <w:r>
              <w:t xml:space="preserve"> </w:t>
            </w:r>
            <w:r>
              <w:t xml:space="preserve">under this boundary, per OD-12 and §C.4’s HTMT(AIP, REL) flag.</w:t>
            </w:r>
          </w:p>
        </w:tc>
        <w:tc>
          <w:tcPr/>
          <w:p>
            <w:pPr>
              <w:pStyle w:val="Compact"/>
              <w:jc w:val="left"/>
            </w:pPr>
            <w:r>
              <w:t xml:space="preserve">Team decision, 13 September 2026, following review of the n = 55 checkpoint output. Refines, without superseding, Amendment A-18 and OD-12. Part (ii) operationalizes the</w:t>
            </w:r>
            <w:r>
              <w:t xml:space="preserve"> </w:t>
            </w:r>
            <w:r>
              <w:t xml:space="preserve">“</w:t>
            </w:r>
            <w:r>
              <w:t xml:space="preserve">pilot vs. main by LOC timestamp</w:t>
            </w:r>
            <w:r>
              <w:t xml:space="preserve">”</w:t>
            </w:r>
            <w:r>
              <w:t xml:space="preserve"> </w:t>
            </w:r>
            <w:r>
              <w:t xml:space="preserve">convention the team adopted for practical data-tracking purposes;</w:t>
            </w:r>
            <w:r>
              <w:t xml:space="preserve"> </w:t>
            </w:r>
            <w:r>
              <w:rPr>
                <w:bCs/>
                <w:b/>
              </w:rPr>
              <w:t xml:space="preserve">faculty-advisor ratification of the underlying manipulation-check and discriminant-validity risks (OD-12) is still pending</w:t>
            </w:r>
            <w:r>
              <w:t xml:space="preserve"> </w:t>
            </w:r>
            <w:r>
              <w:t xml:space="preserve">and is unaffected by this administrative boundary.</w:t>
            </w:r>
          </w:p>
        </w:tc>
      </w:tr>
    </w:tbl>
    <w:bookmarkEnd w:id="28"/>
    <w:bookmarkEnd w:id="29"/>
    <w:bookmarkStart w:id="30" w:name="section"/>
    <w:p>
      <w:pPr>
        <w:pStyle w:val="Heading1"/>
      </w:pPr>
    </w:p>
    <w:p>
      <w:pPr>
        <w:pStyle w:val="FirstParagraph"/>
      </w:pPr>
      <w:r>
        <w:t xml:space="preserve">Table 0i. Amendment, Version 2.11 → Version 2.12</w:t>
      </w:r>
    </w:p>
    <w:tbl>
      <w:tblPr>
        <w:tblStyle w:val="Table"/>
        <w:tblW w:type="pct" w:w="4963"/>
        <w:tblLook w:firstRow="1" w:lastRow="0" w:firstColumn="0" w:lastColumn="0" w:noHBand="0" w:noVBand="0" w:val="0020"/>
        <w:jc w:val="start"/>
      </w:tblPr>
      <w:tblGrid>
        <w:gridCol w:w="704"/>
        <w:gridCol w:w="5162"/>
        <w:gridCol w:w="1994"/>
      </w:tblGrid>
      <w:tr>
        <w:trPr>
          <w:tblHeader w:val="true"/>
        </w:trPr>
        <w:tc>
          <w:tcPr/>
          <w:p>
            <w:pPr>
              <w:pStyle w:val="Compact"/>
              <w:jc w:val="left"/>
            </w:pPr>
            <w:r>
              <w:t xml:space="preserve">ID</w:t>
            </w:r>
          </w:p>
        </w:tc>
        <w:tc>
          <w:tcPr/>
          <w:p>
            <w:pPr>
              <w:pStyle w:val="Compact"/>
              <w:jc w:val="left"/>
            </w:pPr>
            <w:r>
              <w:t xml:space="preserve">Amendment</w:t>
            </w:r>
          </w:p>
        </w:tc>
        <w:tc>
          <w:tcPr/>
          <w:p>
            <w:pPr>
              <w:pStyle w:val="Compact"/>
              <w:jc w:val="center"/>
            </w:pPr>
            <w:r>
              <w:t xml:space="preserve">Rationale and authority</w:t>
            </w:r>
          </w:p>
        </w:tc>
      </w:tr>
      <w:tr>
        <w:tc>
          <w:tcPr/>
          <w:p>
            <w:pPr>
              <w:pStyle w:val="Compact"/>
              <w:jc w:val="left"/>
            </w:pPr>
            <w:r>
              <w:rPr>
                <w:bCs/>
                <w:b/>
              </w:rPr>
              <w:t xml:space="preserve">A-20</w:t>
            </w:r>
          </w:p>
        </w:tc>
        <w:tc>
          <w:tcPr/>
          <w:p>
            <w:pPr>
              <w:pStyle w:val="Compact"/>
              <w:jc w:val="left"/>
            </w:pPr>
            <w:r>
              <w:rPr>
                <w:bCs/>
                <w:b/>
              </w:rPr>
              <w:t xml:space="preserve">Cross-artifact reconciliation to B1.5 v3; three specification conflicts closed.</w:t>
            </w:r>
            <w:r>
              <w:t xml:space="preserve"> </w:t>
            </w:r>
            <w:r>
              <w:rPr>
                <w:bCs/>
                <w:b/>
              </w:rPr>
              <w:t xml:space="preserve">(i) TRU = 6 items.</w:t>
            </w:r>
            <w:r>
              <w:t xml:space="preserve"> </w:t>
            </w:r>
            <w:r>
              <w:t xml:space="preserve">TRU1–TRU6 as recorded in B1.5: TRU1–TRU3 cognitive trusting beliefs (</w:t>
            </w:r>
          </w:p>
        </w:tc>
        <w:tc>
          <w:tcPr/>
          <w:p>
            <w:pPr>
              <w:pStyle w:val="Compact"/>
              <w:jc w:val="center"/>
            </w:pPr>
            <w:r>
              <w:t xml:space="preserve">competence, integrity, benevolence; McKnight, Choudhury &amp; Kacmar, 2002); TRU4–TRU6 discrete affective trusting-intention items — secure, comfortable, content (Komiak &amp; Benbasat, 2006). Amendment A-10’s reduction to five items is superseded for TRU; A-10’s ENG reconciliation (six items) is unaffected and still stands. Master Codebook v2.4–v2.6, which recorded TRU = 5 with wording that was never fielded in that form, is corrected to v2.7.</w:t>
            </w:r>
            <w:r>
              <w:t xml:space="preserve"> </w:t>
            </w:r>
            <w:r>
              <w:rPr>
                <w:bCs/>
                <w:b/>
              </w:rPr>
              <w:t xml:space="preserve">(ii) REL4 provenance fixed to one chain.</w:t>
            </w:r>
            <w:r>
              <w:t xml:space="preserve"> </w:t>
            </w:r>
            <w:r>
              <w:t xml:space="preserve">REL4 (</w:t>
            </w:r>
            <w:r>
              <w:t xml:space="preserve">“</w:t>
            </w:r>
            <w:r>
              <w:t xml:space="preserve">Overall, the product list I saw was useful to me</w:t>
            </w:r>
            <w:r>
              <w:t xml:space="preserve">”</w:t>
            </w:r>
            <w:r>
              <w:t xml:space="preserve">) derives from Klar (1990), as reproduced in Ahluwalia, Unnava &amp; Burnkrant (2001),</w:t>
            </w:r>
            <w:r>
              <w:t xml:space="preserve"> </w:t>
            </w:r>
            <w:r>
              <w:rPr>
                <w:iCs/>
                <w:i/>
              </w:rPr>
              <w:t xml:space="preserve">JMR</w:t>
            </w:r>
            <w:r>
              <w:t xml:space="preserve"> </w:t>
            </w:r>
            <w:r>
              <w:t xml:space="preserve">38(4), repurposed as perceived relevance by De Keyzer, Dens &amp; De Pelsmacker (2015),</w:t>
            </w:r>
            <w:r>
              <w:t xml:space="preserve"> </w:t>
            </w:r>
            <w:r>
              <w:rPr>
                <w:iCs/>
                <w:i/>
              </w:rPr>
              <w:t xml:space="preserve">JIA</w:t>
            </w:r>
            <w:r>
              <w:t xml:space="preserve"> </w:t>
            </w:r>
            <w:r>
              <w:t xml:space="preserve">15(2), α = .937. Every statement in this document, in the A-9 amendment row and in the Master Codebook attributing REL4 to Yin, Qiu &amp; Wang (2025) is</w:t>
            </w:r>
            <w:r>
              <w:t xml:space="preserve"> </w:t>
            </w:r>
            <w:r>
              <w:rPr>
                <w:bCs/>
                <w:b/>
              </w:rPr>
              <w:t xml:space="preserve">withdrawn as an error</w:t>
            </w:r>
            <w:r>
              <w:t xml:space="preserve">: Yin’s Relevance Experience dimension supplies REL2 and REL3 only and contains no item matching REL4’s wording. The open flag on Klar (1990) — not independently verified at item level — is</w:t>
            </w:r>
            <w:r>
              <w:t xml:space="preserve"> </w:t>
            </w:r>
            <w:r>
              <w:rPr>
                <w:bCs/>
                <w:b/>
              </w:rPr>
              <w:t xml:space="preserve">carried, not closed</w:t>
            </w:r>
            <w:r>
              <w:t xml:space="preserve"> </w:t>
            </w:r>
            <w:r>
              <w:t xml:space="preserve">(new OD-16).</w:t>
            </w:r>
            <w:r>
              <w:t xml:space="preserve"> </w:t>
            </w:r>
            <w:r>
              <w:rPr>
                <w:bCs/>
                <w:b/>
              </w:rPr>
              <w:t xml:space="preserve">(iii) ENG diagnostics revert to the pooled six-item set.</w:t>
            </w:r>
            <w:r>
              <w:t xml:space="preserve"> </w:t>
            </w:r>
            <w:r>
              <w:t xml:space="preserve">Cronbach’s α, ρ_A, item-rest correlation, outer loadings, CR, AVE and EFA/CFA for ENG are computed across ENG1–ENG6, as for every other construct. A-12’s</w:t>
            </w:r>
            <w:r>
              <w:t xml:space="preserve"> </w:t>
            </w:r>
            <w:r>
              <w:t xml:space="preserve">“</w:t>
            </w:r>
            <w:r>
              <w:t xml:space="preserve">within dimension, never pooled</w:t>
            </w:r>
            <w:r>
              <w:t xml:space="preserve">”</w:t>
            </w:r>
            <w:r>
              <w:t xml:space="preserve"> </w:t>
            </w:r>
            <w:r>
              <w:t xml:space="preserve">prohibition is superseded on this point only; A-12’s citation correction (Hollebeek, Glynn &amp; Brodie, 2014, not Brodie et al., 2011), its three-dimension content labelling, its retention of ENG4 and its refusal of a second-order specification all stand unchanged.</w:t>
            </w:r>
            <w:r>
              <w:t xml:space="preserve"> </w:t>
            </w:r>
            <w:r>
              <w:rPr>
                <w:bCs/>
                <w:b/>
              </w:rPr>
              <w:t xml:space="preserve">(iv) Item wording and statutory anchors aligned.</w:t>
            </w:r>
            <w:r>
              <w:t xml:space="preserve"> </w:t>
            </w:r>
            <w:r>
              <w:t xml:space="preserve">ENG, PI1–PI2 and the INT English stems are aligned to B1.5 and to the export; PDPL statutory anchors are aligned to B1.5’s mapping and re-flagged for verification (new OD-13). Ratified by project lead, 15 September 2026. Evidence base: all 34 item stems were checked character-by-character against the question-text header row of the live Qualtrics export (</w:t>
            </w:r>
            <w:r>
              <w:rPr>
                <w:rStyle w:val="VerbatimChar"/>
              </w:rPr>
              <w:t xml:space="preserve">data/raw/pilot_real.csv</w:t>
            </w:r>
            <w:r>
              <w:t xml:space="preserve">, 481 responses). All 34 match B1.5 v3 exactly, including six TRU items with the Komiak &amp; Benbasat wording. Where this document or the Master Codebook disagreed with B1.5, the fielded instrument decided the question; no item was changed, only the register describing it. Rationale for (iii) recorded in §A.4.1.</w:t>
            </w:r>
          </w:p>
        </w:tc>
      </w:tr>
    </w:tbl>
    <w:p>
      <w:pPr>
        <w:pStyle w:val="FirstParagraph"/>
      </w:pPr>
      <w:r>
        <w:t xml:space="preserve">Table 0j. Amendment, Version 2.12 → Version 2.13 [DRAFT — pending ratification]</w:t>
      </w:r>
    </w:p>
    <w:tbl>
      <w:tblPr>
        <w:tblStyle w:val="Table"/>
        <w:tblW w:type="pct" w:w="4963"/>
        <w:tblLook w:firstRow="1" w:lastRow="0" w:firstColumn="0" w:lastColumn="0" w:noHBand="0" w:noVBand="0" w:val="0020"/>
        <w:jc w:val="start"/>
      </w:tblPr>
      <w:tblGrid>
        <w:gridCol w:w="704"/>
        <w:gridCol w:w="5162"/>
        <w:gridCol w:w="1994"/>
      </w:tblGrid>
      <w:tr>
        <w:trPr>
          <w:tblHeader w:val="true"/>
        </w:trPr>
        <w:tc>
          <w:tcPr/>
          <w:p>
            <w:pPr>
              <w:pStyle w:val="Compact"/>
              <w:jc w:val="left"/>
            </w:pPr>
            <w:r>
              <w:t xml:space="preserve">ID</w:t>
            </w:r>
          </w:p>
        </w:tc>
        <w:tc>
          <w:tcPr/>
          <w:p>
            <w:pPr>
              <w:pStyle w:val="Compact"/>
              <w:jc w:val="left"/>
            </w:pPr>
            <w:r>
              <w:t xml:space="preserve">Amendment</w:t>
            </w:r>
          </w:p>
        </w:tc>
        <w:tc>
          <w:tcPr/>
          <w:p>
            <w:pPr>
              <w:pStyle w:val="Compact"/>
              <w:jc w:val="center"/>
            </w:pPr>
            <w:r>
              <w:t xml:space="preserve">Rationale and authority</w:t>
            </w:r>
          </w:p>
        </w:tc>
      </w:tr>
      <w:tr>
        <w:tc>
          <w:tcPr/>
          <w:p>
            <w:pPr>
              <w:pStyle w:val="Compact"/>
              <w:jc w:val="left"/>
            </w:pPr>
            <w:r>
              <w:rPr>
                <w:bCs/>
                <w:b/>
              </w:rPr>
              <w:t xml:space="preserve">A-21</w:t>
            </w:r>
          </w:p>
        </w:tc>
        <w:tc>
          <w:tcPr/>
          <w:p>
            <w:pPr>
              <w:pStyle w:val="Compact"/>
              <w:jc w:val="left"/>
            </w:pPr>
            <w:r>
              <w:rPr>
                <w:bCs/>
                <w:b/>
              </w:rPr>
              <w:t xml:space="preserve">First full structural model and confirmatory H3 ANOVA obtained (n = 394); H7a/H7b sign settled as non-buffering and non-significant; Introduction citation-laundering on “Aydin (2026)” market-size figures corrected to primary sources (Wasilewski &amp; Kolaczek, 2024; Xie, 2026); Kumar et al. (2019) resolved as the last of five previously-missing Introduction citations; a mismatch between the verified Aydin, S. (2026) Sustainability paper and this document's own §A.1/§A.7 characterization of “Aydin (2026)” for the H7a novelty-gap argument is flagged in place, open, not yet resolved (see §A.1, §A.7 bracketed cautions and the narrative entry above).</w:t>
            </w:r>
            <w:r>
              <w:t xml:space="preserve"/>
            </w:r>
            <w:r>
              <w:rPr>
                <w:bCs/>
                <w:b/>
              </w:rPr>
              <w:t xml:space="preserve"/>
            </w:r>
            <w:r>
              <w:t xml:space="preserve"/>
            </w:r>
            <w:r>
              <w:t xml:space="preserve"/>
            </w:r>
          </w:p>
        </w:tc>
        <w:tc>
          <w:tcPr/>
          <w:p>
            <w:pPr>
              <w:pStyle w:val="Compact"/>
              <w:jc w:val="center"/>
            </w:pPr>
            <w:r>
              <w:t xml:space="preserve">DRAFT — pending Khải's review and faculty-advisor ratification (Tống Gia Tường); not yet ratified. Compiled by Claude at Khải's request, 20 September 2026, from the first full structural model output and from citation verification performed against primary-source PDFs (California Management Review 61(4); IEEE Access 12; International Journal of Information Management 86; Sustainability 18). Per the Reporting-integrity rule (§C.1) and the estimation strategy locked in §C.2, no alternative estimation method was substituted for the governance-locked two-stage PLS-SEM approach in search of significance for H7a or H7b; both are reported as non-supported.</w:t>
            </w:r>
            <w:r>
              <w:t xml:space="preserve"/>
            </w:r>
            <w:r>
              <w:rPr>
                <w:bCs/>
                <w:b/>
              </w:rPr>
              <w:t xml:space="preserve"/>
            </w:r>
            <w:r>
              <w:t xml:space="preserve"/>
            </w:r>
            <w:r>
              <w:t xml:space="preserve"/>
            </w:r>
            <w:r>
              <w:t xml:space="preserve"/>
            </w:r>
            <w:r>
              <w:t xml:space="preserve"/>
            </w:r>
            <w:r>
              <w:t xml:space="preserve"/>
            </w:r>
            <w:r>
              <w:t xml:space="preserve"/>
            </w:r>
            <w:r>
              <w:t xml:space="preserve"/>
            </w:r>
            <w:r>
              <w:rPr>
                <w:iCs/>
                <w:i/>
              </w:rPr>
              <w:t xml:space="preserve"/>
            </w:r>
            <w:r>
              <w:t xml:space="preserve"/>
            </w:r>
            <w:r>
              <w:t xml:space="preserve"/>
            </w:r>
            <w:r>
              <w:t xml:space="preserve"/>
            </w:r>
            <w:r>
              <w:rPr>
                <w:iCs/>
                <w:i/>
              </w:rPr>
              <w:t xml:space="preserve"/>
            </w:r>
            <w:r>
              <w:t xml:space="preserve"/>
            </w:r>
            <w:r>
              <w:t xml:space="preserve"/>
            </w:r>
            <w:r>
              <w:t xml:space="preserve"/>
            </w:r>
            <w:r>
              <w:rPr>
                <w:bCs/>
                <w:b/>
              </w:rPr>
              <w:t xml:space="preserve"/>
            </w:r>
            <w:r>
              <w:t xml:space="preserve"/>
            </w:r>
            <w:r>
              <w:t xml:space="preserve"/>
            </w:r>
            <w:r>
              <w:rPr>
                <w:bCs/>
                <w:b/>
              </w:rPr>
              <w:t xml:space="preserve"/>
            </w:r>
            <w:r>
              <w:t xml:space="preserve"/>
            </w:r>
            <w:r>
              <w:t xml:space="preserve"/>
            </w:r>
            <w:r>
              <w:t xml:space="preserve"/>
            </w:r>
            <w:r>
              <w:rPr>
                <w:bCs/>
                <w:b/>
              </w:rPr>
              <w:t xml:space="preserve"/>
            </w:r>
            <w:r>
              <w:t xml:space="preserve"/>
            </w:r>
            <w:r>
              <w:t xml:space="preserve"/>
            </w:r>
            <w:r>
              <w:t xml:space="preserve"/>
            </w:r>
            <w:r>
              <w:t xml:space="preserve"/>
            </w:r>
            <w:r>
              <w:t xml:space="preserve"/>
            </w:r>
            <w:r>
              <w:t xml:space="preserve"/>
            </w:r>
            <w:r>
              <w:t xml:space="preserve"/>
            </w:r>
            <w:r>
              <w:t xml:space="preserve"/>
            </w:r>
            <w:r>
              <w:t xml:space="preserve"/>
            </w:r>
            <w:r>
              <w:rPr>
                <w:bCs/>
                <w:b/>
              </w:rPr>
              <w:t xml:space="preserve"/>
            </w:r>
            <w:r>
              <w:t xml:space="preserve"/>
            </w:r>
            <w:r>
              <w:t xml:space="preserve"/>
            </w:r>
            <w:r>
              <w:rPr>
                <w:rStyle w:val="VerbatimChar"/>
              </w:rPr>
              <w:t xml:space="preserve"/>
            </w:r>
            <w:r>
              <w:t xml:space="preserve"/>
            </w:r>
          </w:p>
        </w:tc>
      </w:tr>
    </w:tbl>
    <w:p>
      <w:pPr>
        <w:pStyle w:val="BodyText"/>
      </w:pPr>
      <w:r>
        <w:t xml:space="preserve">Purpose and Governance of This Document</w:t>
      </w:r>
    </w:p>
    <w:p>
      <w:pPr>
        <w:pStyle w:val="BodyText"/>
      </w:pPr>
      <w:r>
        <w:t xml:space="preserve">This document consolidates the project’s three source components — the</w:t>
      </w:r>
      <w:r>
        <w:t xml:space="preserve"> </w:t>
      </w:r>
      <w:r>
        <w:rPr>
          <w:bCs/>
          <w:b/>
        </w:rPr>
        <w:t xml:space="preserve">literature review</w:t>
      </w:r>
      <w:r>
        <w:t xml:space="preserve"> </w:t>
      </w:r>
      <w:r>
        <w:t xml:space="preserve">(52 catalogued papers), the</w:t>
      </w:r>
      <w:r>
        <w:t xml:space="preserve"> </w:t>
      </w:r>
      <w:r>
        <w:rPr>
          <w:bCs/>
          <w:b/>
        </w:rPr>
        <w:t xml:space="preserve">conceptual review of Trust Theory</w:t>
      </w:r>
      <w:r>
        <w:t xml:space="preserve">, and the</w:t>
      </w:r>
      <w:r>
        <w:t xml:space="preserve"> </w:t>
      </w:r>
      <w:r>
        <w:rPr>
          <w:bCs/>
          <w:b/>
        </w:rPr>
        <w:t xml:space="preserve">novelty and regulatory comparison analysis</w:t>
      </w:r>
      <w:r>
        <w:t xml:space="preserve"> </w:t>
      </w:r>
      <w:r>
        <w:t xml:space="preserve">— into a single, internally consistent theoretical and 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pPr>
        <w:pStyle w:val="BodyText"/>
      </w:pPr>
      <w:r>
        <w:t xml:space="preserve">Four governance rules apply.</w:t>
      </w:r>
    </w:p>
    <w:p>
      <w:pPr>
        <w:numPr>
          <w:ilvl w:val="0"/>
          <w:numId w:val="1008"/>
        </w:numPr>
      </w:pPr>
      <w:r>
        <w:rPr>
          <w:bCs/>
          <w:b/>
        </w:rPr>
        <w:t xml:space="preserve">(1) Construct naming is locked</w:t>
      </w:r>
      <w:r>
        <w:t xml:space="preserve"> </w:t>
      </w:r>
      <w:r>
        <w:t xml:space="preserve">to the labels in Table 1. In particular, the regulatory-awareness moderator is standardized as</w:t>
      </w:r>
      <w:r>
        <w:t xml:space="preserve"> </w:t>
      </w:r>
      <w:r>
        <w:rPr>
          <w:bCs/>
          <w:b/>
        </w:rPr>
        <w:t xml:space="preserve">PDPL Awareness</w:t>
      </w:r>
      <w:r>
        <w:t xml:space="preserve"> </w:t>
      </w:r>
      <w:r>
        <w:t xml:space="preserve">(Personal Data Protection Law Awareness), superseding earlier drafts that used</w:t>
      </w:r>
      <w:r>
        <w:t xml:space="preserve"> </w:t>
      </w:r>
      <w:r>
        <w:t xml:space="preserve">“</w:t>
      </w:r>
      <w:r>
        <w:t xml:space="preserve">PDPD Awareness</w:t>
      </w:r>
      <w:r>
        <w:t xml:space="preserve">”</w:t>
      </w:r>
      <w:r>
        <w:t xml:space="preserve">, because Law 91/2025/QH15 replaced Decree 13/2023/NĐ-CP as the operative instrument from 1 January 2026. Any deliverable, project brief, or instruction file still reading</w:t>
      </w:r>
      <w:r>
        <w:t xml:space="preserve"> </w:t>
      </w:r>
      <w:r>
        <w:t xml:space="preserve">“</w:t>
      </w:r>
      <w:r>
        <w:t xml:space="preserve">PDPD</w:t>
      </w:r>
      <w:r>
        <w:t xml:space="preserve">”</w:t>
      </w:r>
      <w:r>
        <w:t xml:space="preserve">,</w:t>
      </w:r>
      <w:r>
        <w:t xml:space="preserve"> </w:t>
      </w:r>
      <w:r>
        <w:t xml:space="preserve">“</w:t>
      </w:r>
      <w:r>
        <w:t xml:space="preserve">PDP Law Awareness</w:t>
      </w:r>
      <w:r>
        <w:t xml:space="preserve">”</w:t>
      </w:r>
      <w:r>
        <w:t xml:space="preserve">, or</w:t>
      </w:r>
      <w:r>
        <w:t xml:space="preserve"> </w:t>
      </w:r>
      <w:r>
        <w:t xml:space="preserve">“</w:t>
      </w:r>
      <w:r>
        <w:t xml:space="preserve">Decree 13</w:t>
      </w:r>
      <w:r>
        <w:t xml:space="preserve">”</w:t>
      </w:r>
      <w:r>
        <w:t xml:space="preserve"> </w:t>
      </w:r>
      <w:r>
        <w:t xml:space="preserve">is out of date and must be corrected before distribution.</w:t>
      </w:r>
    </w:p>
    <w:p>
      <w:pPr>
        <w:numPr>
          <w:ilvl w:val="0"/>
          <w:numId w:val="1008"/>
        </w:numPr>
      </w:pPr>
      <w:r>
        <w:rPr>
          <w:bCs/>
          <w:b/>
        </w:rPr>
        <w:t xml:space="preserve">(2) Hypothesis numbering is bound to the approved planning document</w:t>
      </w:r>
      <w:r>
        <w:t xml:space="preserve"> </w:t>
      </w:r>
      <w:r>
        <w:t xml:space="preserve">and is fixed by Table 3 (§C.1). The locked set is</w:t>
      </w:r>
      <w:r>
        <w:t xml:space="preserve"> </w:t>
      </w:r>
      <w:r>
        <w:rPr>
          <w:bCs/>
          <w:b/>
        </w:rPr>
        <w:t xml:space="preserve">H1, H2, H3, H4, H5, H6a, H6b, H6c, H7a, H7b</w:t>
      </w:r>
      <w:r>
        <w:t xml:space="preserve">. No downstream deliverable may renumber them for local convenience; if a renumbering is genuinely required, this document is revised first and the version number is incremented.</w:t>
      </w:r>
    </w:p>
    <w:p>
      <w:pPr>
        <w:numPr>
          <w:ilvl w:val="0"/>
          <w:numId w:val="1008"/>
        </w:numPr>
      </w:pPr>
      <w:r>
        <w:rPr>
          <w:bCs/>
          <w:b/>
        </w:rPr>
        <w:t xml:space="preserve">(3) Tested hypotheses are visually and analytically distinguished from established paths (E1, E2).</w:t>
      </w:r>
      <w:r>
        <w:t xml:space="preserve"> </w:t>
      </w:r>
      <w:r>
        <w:t xml:space="preserve">Established paths are estimated and reported but are justified by prior theory rather than framed as novel contributions. In every model figure: solid arrows denote the hypothesised direct paths H1–H6c;</w:t>
      </w:r>
      <w:r>
        <w:t xml:space="preserve"> </w:t>
      </w:r>
      <w:r>
        <w:rPr>
          <w:bCs/>
          <w:b/>
        </w:rPr>
        <w:t xml:space="preserve">two separate dashed arrows</w:t>
      </w:r>
      <w:r>
        <w:t xml:space="preserve"> </w:t>
      </w:r>
      <w:r>
        <w:t xml:space="preserve">denote the H7a and H7b moderations; dotted arrows denote E1 and E2. Non-hypothesised lower-order specification terms are not drawn as arrows — they are declared in a figure note.</w:t>
      </w:r>
    </w:p>
    <w:p>
      <w:pPr>
        <w:numPr>
          <w:ilvl w:val="0"/>
          <w:numId w:val="1008"/>
        </w:numPr>
      </w:pPr>
      <w:r>
        <w:rPr>
          <w:bCs/>
          <w:b/>
        </w:rPr>
        <w:t xml:space="preserve">(4) Disclosure Level (DISC) is never measured as a Likert-scale construct</w:t>
      </w:r>
      <w:r>
        <w:t xml:space="preserve"> </w:t>
      </w:r>
      <w:r>
        <w:t xml:space="preserve">— it is a manipulated factor, dummy-coded 0 = No Disclosure / 1 = With Disclosure. It nonetheless</w:t>
      </w:r>
      <w:r>
        <w:t xml:space="preserve"> </w:t>
      </w:r>
      <w:r>
        <w:rPr>
          <w:bCs/>
          <w:b/>
        </w:rPr>
        <w:t xml:space="preserve">does enter the Study 1 structural model</w:t>
      </w:r>
      <w:r>
        <w:t xml:space="preserve">, as the predictor in H3 and as the moderator in H7b. This amends the v1.0 rule that</w:t>
      </w:r>
      <w:r>
        <w:t xml:space="preserve"> </w:t>
      </w:r>
      <w:r>
        <w:t xml:space="preserve">“</w:t>
      </w:r>
      <w:r>
        <w:t xml:space="preserve">DISC does not enter Study 1</w:t>
      </w:r>
      <w:r>
        <w:t xml:space="preserve">”</w:t>
      </w:r>
      <w:r>
        <w:t xml:space="preserve">, which is incompatible with the ratified H3 and H7 specifications.</w:t>
      </w:r>
    </w:p>
    <w:p>
      <w:pPr>
        <w:pStyle w:val="FirstParagraph"/>
      </w:pPr>
      <w:r>
        <w:rPr>
          <w:iCs/>
          <w:i/>
        </w:rPr>
        <w:t xml:space="preserve">Fielding consequence of rule 4.</w:t>
      </w:r>
      <w:r>
        <w:t xml:space="preserve"> </w:t>
      </w:r>
      <w:r>
        <w:t xml:space="preserve">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bookmarkEnd w:id="30"/>
    <w:bookmarkStart w:id="45" w:name="part-a.-theoretical-foundations"/>
    <w:p>
      <w:pPr>
        <w:pStyle w:val="Heading1"/>
      </w:pPr>
      <w:r>
        <w:t xml:space="preserve">Part A. Theoretical Foundations</w:t>
      </w:r>
    </w:p>
    <w:bookmarkStart w:id="31" w:name="X772e2c0c299e527f1fb008ac7b23dc777e0137f"/>
    <w:p>
      <w:pPr>
        <w:pStyle w:val="Heading2"/>
      </w:pPr>
      <w:r>
        <w:t xml:space="preserve">A.1 Meta-Framework: The Stimulus–Organism–Response (SOR) Architecture</w:t>
      </w:r>
    </w:p>
    <w:p>
      <w:pPr>
        <w:pStyle w:val="FirstParagraph"/>
      </w:pPr>
      <w:r>
        <w:t xml:space="preserve">The research model is organized by the SOR paradigm (Mehrabian &amp; Russell, 1974; applied to AI personalization by Teepapal, 2025,</w:t>
      </w:r>
      <w:r>
        <w:t xml:space="preserve"> </w:t>
      </w:r>
      <w:r>
        <w:rPr>
          <w:iCs/>
          <w:i/>
        </w:rPr>
        <w:t xml:space="preserve">Computers in Human Behavior</w:t>
      </w:r>
      <w:r>
        <w:t xml:space="preserve">). SOR supplies the causal ordering into which the three theoretical pillars are slotted: environmental stimuli trigger internal organismic states, which in turn drive behavioral responses. In the present model:</w:t>
      </w:r>
    </w:p>
    <w:p>
      <w:pPr>
        <w:numPr>
          <w:ilvl w:val="0"/>
          <w:numId w:val="1009"/>
        </w:numPr>
      </w:pPr>
      <w:r>
        <w:rPr>
          <w:bCs/>
          <w:b/>
        </w:rPr>
        <w:t xml:space="preserve">Stimulus (S):</w:t>
      </w:r>
      <w:r>
        <w:t xml:space="preserve"> </w:t>
      </w:r>
      <w:r>
        <w:t xml:space="preserve">AI Personalization Intensity (AIP) — the degree to which the omnichannel retail environment deploys AI-driven, individually tailored recommendations, offers, and communications across touchpoints.</w:t>
      </w:r>
      <w:r>
        <w:t xml:space="preserve"> </w:t>
      </w:r>
      <w:r>
        <w:rPr>
          <w:bCs/>
          <w:b/>
        </w:rPr>
        <w:t xml:space="preserve">Disclosure Level (DISC)</w:t>
      </w:r>
      <w:r>
        <w:t xml:space="preserve"> </w:t>
      </w:r>
      <w:r>
        <w:t xml:space="preserve">is a second, experimentally manipulated stimulus (No Disclosure vs. With Disclosure). DISC is not merely a background factor: it carries its own hypothesized effect on the organism layer (H3) and independently conditions the intrusiveness–trust relationship (H7b).</w:t>
      </w:r>
    </w:p>
    <w:p>
      <w:pPr>
        <w:numPr>
          <w:ilvl w:val="0"/>
          <w:numId w:val="1009"/>
        </w:numPr>
      </w:pPr>
      <w:r>
        <w:rPr>
          <w:bCs/>
          <w:b/>
        </w:rPr>
        <w:t xml:space="preserve">Organism (O):</w:t>
      </w:r>
      <w:r>
        <w:t xml:space="preserve"> </w:t>
      </w:r>
      <w:r>
        <w:t xml:space="preserve">the consumer’s internal evaluative states — Perceived Relevance (REL), Perceived Intrusiveness (INT), and Consumer Trust (TRU, cognitive + affective). The organism layer is where Privacy Calculus Theory and Trust Theory operate.</w:t>
      </w:r>
    </w:p>
    <w:p>
      <w:pPr>
        <w:numPr>
          <w:ilvl w:val="0"/>
          <w:numId w:val="1009"/>
        </w:numPr>
      </w:pPr>
      <w:r>
        <w:rPr>
          <w:bCs/>
          <w:b/>
        </w:rPr>
        <w:t xml:space="preserve">Response (R):</w:t>
      </w:r>
      <w:r>
        <w:t xml:space="preserve"> </w:t>
      </w:r>
      <w:r>
        <w:t xml:space="preserve">Customer Engagement (ENG) and Purchase Intention (PI) — the attitudinal-behavioral outcomes. PI is predicted from two sources: the direct residual cost path INT → PI (H6c) and the engagement route (H5, H6b, then E2). It is therefore a hypothesis-bearing outcome, not merely a distal criterion.</w:t>
      </w:r>
    </w:p>
    <w:p>
      <w:pPr>
        <w:pStyle w:val="FirstParagraph"/>
      </w:pPr>
      <w:r>
        <w:t xml:space="preserve">SOR is deliberately used as a</w:t>
      </w:r>
      <w:r>
        <w:t xml:space="preserve"> </w:t>
      </w:r>
      <w:r>
        <w:rPr>
          <w:iCs/>
          <w:i/>
        </w:rPr>
        <w:t xml:space="preserve">meta-framework</w:t>
      </w:r>
      <w:r>
        <w:t xml:space="preserve"> </w:t>
      </w:r>
      <w:r>
        <w:t xml:space="preserve">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 — CAUTION: two papers under the</w:t>
      </w:r>
      <w:r>
        <w:t xml:space="preserve"> </w:t>
      </w:r>
      <w:r>
        <w:t xml:space="preserve">“</w:t>
      </w:r>
      <w:r>
        <w:t xml:space="preserve">Aydin (2026)</w:t>
      </w:r>
      <w:r>
        <w:t xml:space="preserve">”</w:t>
      </w:r>
      <w:r>
        <w:t xml:space="preserve"> </w:t>
      </w:r>
      <w:r>
        <w:t>name were found during item-sourcing verification to attribute fabricated item text to a third-party source (Shanahan et al., 2019); this project no longer cites Aydin (2026) for instrument items, and its theoretical claims cited here have not been independently verified and should be treated with caution pending that review). [A-21 UPDATE, 20 Sep 2026: full-text verification of the one Aydin (2026) paper the team has in hand — Aydin, S., 2026, Sustainability, 18, 1073, on brand trust buffering privacy concerns’ effect on well-being — finds NO relevance–intrusiveness duality and NO intrusiveness construct at all in that paper; its dimensions are relevance and specificity, mapped to privacy concerns and well-being, with trust as a moderator, not an outcome. This citation's use here for the relevance–intrusiveness mechanism does not match verified content. OPEN: confirm whether a different “Aydin (2026)” source was intended, or correct this claim's citation. See the Version 2.12→Version 2.13 changelog entry, item (v).]</w:t>
      </w:r>
    </w:p>
    <w:bookmarkEnd w:id="31"/>
    <w:bookmarkStart w:id="32" w:name="X4fd5343d21cf0dfaff75e29ed90608dfe5d87d2"/>
    <w:p>
      <w:pPr>
        <w:pStyle w:val="Heading2"/>
      </w:pPr>
      <w:r>
        <w:t xml:space="preserve">A.2 Pillar 1 — Privacy Calculus Theory (Dinev &amp; Hart, 2006)</w:t>
      </w:r>
    </w:p>
    <w:p>
      <w:pPr>
        <w:pStyle w:val="FirstParagraph"/>
      </w:pPr>
      <w:r>
        <w:t xml:space="preserve">Privacy Calculus Theory (Dinev &amp; Hart, 2006,</w:t>
      </w:r>
      <w:r>
        <w:t xml:space="preserve"> </w:t>
      </w:r>
      <w:r>
        <w:rPr>
          <w:iCs/>
          <w:i/>
        </w:rPr>
        <w:t xml:space="preserve">Information Systems Research</w:t>
      </w:r>
      <w: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w:t>
      </w:r>
      <w:r>
        <w:t xml:space="preserve"> </w:t>
      </w:r>
      <w:r>
        <w:rPr>
          <w:bCs/>
          <w:b/>
        </w:rPr>
        <w:t xml:space="preserve">benefit-side perception — Perceived Relevance (REL)</w:t>
      </w:r>
      <w:r>
        <w:t xml:space="preserve"> </w:t>
      </w:r>
      <w:r>
        <w:t xml:space="preserve">— and a</w:t>
      </w:r>
      <w:r>
        <w:t xml:space="preserve"> </w:t>
      </w:r>
      <w:r>
        <w:rPr>
          <w:bCs/>
          <w:b/>
        </w:rPr>
        <w:t xml:space="preserve">cost-side perception — Perceived Intrusiveness (INT)</w:t>
      </w:r>
      <w:r>
        <w:t xml:space="preserve">. This duality is the personalization–privacy paradox documented repeatedly in the reviewed corpus (Sutanto et al.’s paradox framing in Canhoto et al., 2024; Aydin, 2026; Teepapal, 2025; social-exchange variants in entries 18, 33, 34 of the literature review).</w:t>
      </w:r>
    </w:p>
    <w:p>
      <w:pPr>
        <w:pStyle w:val="BodyText"/>
      </w:pPr>
      <w:r>
        <w:rPr>
          <w:bCs/>
          <w:b/>
        </w:rPr>
        <w:t xml:space="preserve">Perceived Relevance (REL)</w:t>
      </w:r>
      <w:r>
        <w:t xml:space="preserve"> </w:t>
      </w:r>
      <w:r>
        <w:t xml:space="preserve">captures the consumer’s judgment that AI-personalized content matches their needs, preferences, and situational context — the utility term of the calculus. REL is measured by REL1–REL4, all of which are</w:t>
      </w:r>
      <w:r>
        <w:t xml:space="preserve"> </w:t>
      </w:r>
      <w:r>
        <w:rPr>
          <w:iCs/>
          <w:i/>
        </w:rPr>
        <w:t xml:space="preserve">fit/consistency/usefulness</w:t>
      </w:r>
      <w:r>
        <w:t xml:space="preserve"> </w:t>
      </w:r>
      <w:r>
        <w:t xml:space="preserve">judgements about the output, deliberately worded to avoid the mechanism vocabulary (</w:t>
      </w:r>
      <w:r>
        <w:t xml:space="preserve">“</w:t>
      </w:r>
      <w:r>
        <w:t xml:space="preserve">tailor,</w:t>
      </w:r>
      <w:r>
        <w:t xml:space="preserve">”</w:t>
      </w:r>
      <w:r>
        <w:t xml:space="preserve"> </w:t>
      </w:r>
      <w:r>
        <w:t xml:space="preserve">“</w:t>
      </w:r>
      <w:r>
        <w:t xml:space="preserve">customize,</w:t>
      </w:r>
      <w:r>
        <w:t xml:space="preserve">”</w:t>
      </w:r>
      <w:r>
        <w:t xml:space="preserve"> </w:t>
      </w:r>
      <w:r>
        <w:t xml:space="preserve">“</w:t>
      </w:r>
      <w:r>
        <w:t xml:space="preserve">analyze</w:t>
      </w:r>
      <w:r>
        <w:t xml:space="preserve">”</w:t>
      </w:r>
      <w:r>
        <w:t xml:space="preserve">) reserved for AIP. Amendment A-9’s exclusion logic, which applied to an earlier REL4 item (search-effort/decision-usefulness wording, Tam &amp; Ho, 2006), is retired — that item was removed from the instrument entirely, not merely excluded, and the current REL4 is a different, fully-included item sourced from</w:t>
      </w:r>
      <w:r>
        <w:t xml:space="preserve"> </w:t>
      </w:r>
      <w:r>
        <w:rPr>
          <w:bCs/>
          <w:b/>
        </w:rPr>
        <w:t xml:space="preserve">Klar (1990) → Ahluwalia, Unnava &amp; Burnkrant (2001) → De Keyzer, Dens &amp; De Pelsmacker (2015)</w:t>
      </w:r>
      <w:r>
        <w:t xml:space="preserve"> </w:t>
      </w:r>
      <w:r>
        <w:t xml:space="preserve">(Amendment A-20). Earlier drafts of this paragraph attributed the current REL4 to Yin, Qiu &amp; Wang (2025); that attribution is withdrawn as an error.</w:t>
      </w:r>
      <w:r>
        <w:t xml:space="preserve"> </w:t>
      </w:r>
      <w:r>
        <w:rPr>
          <w:bCs/>
          <w:b/>
        </w:rPr>
        <w:t xml:space="preserve">Perceived Intrusiveness (INT)</w:t>
      </w:r>
      <w:r>
        <w:t xml:space="preserve"> </w:t>
      </w:r>
      <w:r>
        <w:t xml:space="preserve">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pPr>
        <w:pStyle w:val="BodyText"/>
      </w:pPr>
      <w:r>
        <w:t xml:space="preserve">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pPr>
        <w:pStyle w:val="BodyText"/>
      </w:pPr>
      <w:r>
        <w:rPr>
          <w:iCs/>
          <w:i/>
        </w:rPr>
        <w:t xml:space="preserve">Positioning against the corpus.</w:t>
      </w:r>
      <w:r>
        <w:t xml:space="preserve"> </w:t>
      </w:r>
      <w:r>
        <w:t xml:space="preserve">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bookmarkEnd w:id="32"/>
    <w:bookmarkStart w:id="37" w:name="X6faa8b1ce723aba97182a2dd19ca6586f15dff7"/>
    <w:p>
      <w:pPr>
        <w:pStyle w:val="Heading2"/>
      </w:pPr>
      <w:r>
        <w:t xml:space="preserve">A.3 Pillar 2 — Trust Theory (McKnight, Choudhury, &amp; Kacmar, 2002)</w:t>
      </w:r>
    </w:p>
    <w:p>
      <w:pPr>
        <w:pStyle w:val="FirstParagraph"/>
      </w:pPr>
      <w:r>
        <w:t xml:space="preserve">McKnight et al. (2002,</w:t>
      </w:r>
      <w:r>
        <w:t xml:space="preserve"> </w:t>
      </w:r>
      <w:r>
        <w:rPr>
          <w:iCs/>
          <w:i/>
        </w:rPr>
        <w:t xml:space="preserve">Information Systems Research</w:t>
      </w:r>
      <w:r>
        <w:t xml:space="preserve">, 13(3), 334–359) provide the multidimensional trust typology from which the model’s Consumer Trust construct is drawn. Three of their dimensions are mobilized, each with a distinct role.</w:t>
      </w:r>
    </w:p>
    <w:bookmarkStart w:id="33" w:name="a.3.1-cognitive-trust-trusting-beliefs"/>
    <w:p>
      <w:pPr>
        <w:pStyle w:val="Heading3"/>
      </w:pPr>
      <w:r>
        <w:t xml:space="preserve">A.3.1 Cognitive trust — trusting beliefs</w:t>
      </w:r>
    </w:p>
    <w:p>
      <w:pPr>
        <w:pStyle w:val="FirstParagraph"/>
      </w:pPr>
      <w:r>
        <w:t xml:space="preserve">Cognitive trust corresponds to McKnight et al.’s</w:t>
      </w:r>
      <w:r>
        <w:t xml:space="preserve"> </w:t>
      </w:r>
      <w:r>
        <w:rPr>
          <w:iCs/>
          <w:i/>
        </w:rPr>
        <w:t xml:space="preserve">trusting beliefs</w:t>
      </w:r>
      <w:r>
        <w:t xml:space="preserve">: a rational, evidence-based assessment that a specific trustee possesses four qualities —</w:t>
      </w:r>
      <w:r>
        <w:t xml:space="preserve"> </w:t>
      </w:r>
      <w:r>
        <w:rPr>
          <w:bCs/>
          <w:b/>
        </w:rPr>
        <w:t xml:space="preserve">competence</w:t>
      </w:r>
      <w:r>
        <w:t xml:space="preserve"> </w:t>
      </w:r>
      <w:r>
        <w:t xml:space="preserve">(ability to deliver on functional promises, e.g., accurate AI recommendations),</w:t>
      </w:r>
      <w:r>
        <w:t xml:space="preserve"> </w:t>
      </w:r>
      <w:r>
        <w:rPr>
          <w:bCs/>
          <w:b/>
        </w:rPr>
        <w:t xml:space="preserve">benevolence</w:t>
      </w:r>
      <w:r>
        <w:t xml:space="preserve"> </w:t>
      </w:r>
      <w:r>
        <w:t xml:space="preserve">(genuine care for the customer’s interests),</w:t>
      </w:r>
      <w:r>
        <w:t xml:space="preserve"> </w:t>
      </w:r>
      <w:r>
        <w:rPr>
          <w:bCs/>
          <w:b/>
        </w:rPr>
        <w:t xml:space="preserve">integrity</w:t>
      </w:r>
      <w:r>
        <w:t xml:space="preserve"> </w:t>
      </w:r>
      <w:r>
        <w:t xml:space="preserve">(honesty and adherence to disclosed principles, e.g., using data only as stated), and</w:t>
      </w:r>
      <w:r>
        <w:t xml:space="preserve"> </w:t>
      </w:r>
      <w:r>
        <w:rPr>
          <w:bCs/>
          <w:b/>
        </w:rPr>
        <w:t xml:space="preserve">predictability</w:t>
      </w:r>
      <w:r>
        <w:t xml:space="preserve"> </w:t>
      </w:r>
      <w:r>
        <w:t xml:space="preserve">(behavioral consistency across interactions). Trusting beliefs are trustee-specific: they concern the consumer’s evaluation of a particular AI agent or retailer, not the marketplace at large. In the measurement model, items</w:t>
      </w:r>
      <w:r>
        <w:t xml:space="preserve"> </w:t>
      </w:r>
      <w:r>
        <w:rPr>
          <w:bCs/>
          <w:b/>
        </w:rPr>
        <w:t xml:space="preserve">TRU1–TRU3</w:t>
      </w:r>
      <w:r>
        <w:t xml:space="preserve"> </w:t>
      </w:r>
      <w:r>
        <w:t xml:space="preserve">operationalize this facet. Cognitive trust is the natural downstream target of Perceived Relevance (relevance signals competence) and the natural point of erosion from Perceived Intrusiveness (intrusiveness damages benevolence and integrity).</w:t>
      </w:r>
    </w:p>
    <w:bookmarkEnd w:id="33"/>
    <w:bookmarkStart w:id="34" w:name="X5fe4fed7c35ab8b35e6ba9667b68fc91fd32c1c"/>
    <w:p>
      <w:pPr>
        <w:pStyle w:val="Heading3"/>
      </w:pPr>
      <w:r>
        <w:t xml:space="preserve">A.3.2 Affective trust — trusting intentions</w:t>
      </w:r>
    </w:p>
    <w:p>
      <w:pPr>
        <w:pStyle w:val="FirstParagraph"/>
      </w:pPr>
      <w:r>
        <w:t xml:space="preserve">McKnight et al.’s</w:t>
      </w:r>
      <w:r>
        <w:t xml:space="preserve"> </w:t>
      </w:r>
      <w:r>
        <w:rPr>
          <w:iCs/>
          <w:i/>
        </w:rPr>
        <w:t xml:space="preserve">trusting intentions</w:t>
      </w:r>
      <w:r>
        <w:t xml:space="preserve"> </w:t>
      </w:r>
      <w:r>
        <w:t xml:space="preserve">— the willingness to depend on the trustee under risk — carry an affective, volitional quality (</w:t>
      </w:r>
      <w:r>
        <w:t xml:space="preserve">“</w:t>
      </w:r>
      <w:r>
        <w:t xml:space="preserve">I feel willing to rely on the agent</w:t>
      </w:r>
      <w:r>
        <w:t xml:space="preserve">”</w:t>
      </w:r>
      <w:r>
        <w:t xml:space="preserve">) that is distinct from cognitive assessment (</w:t>
      </w:r>
      <w:r>
        <w:t xml:space="preserve">“</w:t>
      </w:r>
      <w:r>
        <w:t xml:space="preserve">I think the agent is competent</w:t>
      </w:r>
      <w:r>
        <w:t xml:space="preserve">”</w:t>
      </w:r>
      <w:r>
        <w:t xml:space="preserve">).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w:t>
      </w:r>
      <w:r>
        <w:t xml:space="preserve"> </w:t>
      </w:r>
      <w:r>
        <w:rPr>
          <w:bCs/>
          <w:b/>
        </w:rPr>
        <w:t xml:space="preserve">TRU4–TRU6</w:t>
      </w:r>
      <w:r>
        <w:t xml:space="preserve"> </w:t>
      </w:r>
      <w:r>
        <w:t xml:space="preserve">capture this affective sense of security, comfort, and overall confidence (Komiak &amp; Benbasat, 2006; Amendment A-10’s prior 5-item reconciliation for TRU has been reversed — see the superseding note under Amendment A-10 in the amendment log).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bookmarkEnd w:id="34"/>
    <w:bookmarkStart w:id="35" w:name="X029b6072f2de78c2a7dcd6a96e0bdf3f8342d9a"/>
    <w:p>
      <w:pPr>
        <w:pStyle w:val="Heading3"/>
      </w:pPr>
      <w:r>
        <w:t xml:space="preserve">A.3.3 Institution-based trust — the ancestor of PDPL Awareness</w:t>
      </w:r>
    </w:p>
    <w:p>
      <w:pPr>
        <w:pStyle w:val="FirstParagraph"/>
      </w:pPr>
      <w:r>
        <w:t xml:space="preserve">Institution-based trust is the belief that impersonal structures — not any specific vendor’s character — make successful transactions likely. It decomposes into</w:t>
      </w:r>
      <w:r>
        <w:t xml:space="preserve"> </w:t>
      </w:r>
      <w:r>
        <w:rPr>
          <w:bCs/>
          <w:b/>
        </w:rPr>
        <w:t xml:space="preserve">structural assurance</w:t>
      </w:r>
      <w:r>
        <w:t xml:space="preserve"> </w:t>
      </w:r>
      <w:r>
        <w:t xml:space="preserve">(confidence that legal, technological, or regulatory safety nets exist) and</w:t>
      </w:r>
      <w:r>
        <w:t xml:space="preserve"> </w:t>
      </w:r>
      <w:r>
        <w:rPr>
          <w:bCs/>
          <w:b/>
        </w:rPr>
        <w:t xml:space="preserve">situational normality</w:t>
      </w:r>
      <w:r>
        <w:t xml:space="preserve"> </w:t>
      </w:r>
      <w:r>
        <w:t xml:space="preserve">(perception that the transaction context is properly ordered). Critically, McKnight et al. model institution-based trust as an</w:t>
      </w:r>
      <w:r>
        <w:t xml:space="preserve"> </w:t>
      </w:r>
      <w:r>
        <w:rPr>
          <w:iCs/>
          <w:i/>
        </w:rPr>
        <w:t xml:space="preserve">antecedent that shapes the formation of trusting beliefs</w:t>
      </w:r>
      <w: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H7b rest: structural assurance reaches the consumer through distinct channels, and the model tests each channel’s buffering capacity separately (§A.5.1).</w:t>
      </w:r>
    </w:p>
    <w:bookmarkEnd w:id="35"/>
    <w:bookmarkStart w:id="36" w:name="Xf452b619afe652bd0d4d2651c40937def0ae56f"/>
    <w:p>
      <w:pPr>
        <w:pStyle w:val="Heading3"/>
      </w:pPr>
      <w:r>
        <w:t xml:space="preserve">A.3.4 Supporting empirical evidence — Bart et al. (2005)</w:t>
      </w:r>
    </w:p>
    <w:p>
      <w:pPr>
        <w:pStyle w:val="FirstParagraph"/>
      </w:pPr>
      <w:r>
        <w:t xml:space="preserve">Bart, Shankar, Sultan, and Urban (2005,</w:t>
      </w:r>
      <w:r>
        <w:t xml:space="preserve"> </w:t>
      </w:r>
      <w:r>
        <w:rPr>
          <w:iCs/>
          <w:i/>
        </w:rPr>
        <w:t xml:space="preserve">Journal of Marketing</w:t>
      </w:r>
      <w: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w:t>
      </w:r>
      <w:r>
        <w:t xml:space="preserve"> </w:t>
      </w:r>
      <w:r>
        <w:rPr>
          <w:bCs/>
          <w:b/>
        </w:rPr>
        <w:t xml:space="preserve">Framing rule:</w:t>
      </w:r>
      <w:r>
        <w:t xml:space="preserve"> </w:t>
      </w:r>
      <w:r>
        <w:t xml:space="preserve">Bart et al. are cited as empirical validation of trust drivers, not as a separate theoretical pillar — the theoretical architecture remains McKnight et al.’s typology. The manuscript must maintain this distinction to avoid the appearance of theory-stacking.</w:t>
      </w:r>
    </w:p>
    <w:bookmarkEnd w:id="36"/>
    <w:bookmarkEnd w:id="37"/>
    <w:bookmarkStart w:id="39" w:name="X179f5751b56e8a83b1b20f4ad8bc1efd00e2873"/>
    <w:p>
      <w:pPr>
        <w:pStyle w:val="Heading2"/>
      </w:pPr>
      <w:r>
        <w:t xml:space="preserve">A.4 The Trust → Engagement Bridge (Brodie et al., 2011; Hollebeek, Glynn, &amp; Brodie, 2014)</w:t>
      </w:r>
    </w:p>
    <w:p>
      <w:pPr>
        <w:pStyle w:val="FirstParagraph"/>
      </w:pPr>
      <w:r>
        <w:t xml:space="preserve">Brodie, Hollebeek, Juríc, and Ilić (2011,</w:t>
      </w:r>
      <w:r>
        <w:t xml:space="preserve"> </w:t>
      </w:r>
      <w:r>
        <w:rPr>
          <w:iCs/>
          <w:i/>
        </w:rPr>
        <w:t xml:space="preserve">Journal of Service Research</w:t>
      </w:r>
      <w:r>
        <w:t xml:space="preserve">, 14(3), 252–271) ground Customer Engagement in relationship marketing and service-dominant logic. Two fundamental propositions matter here:</w:t>
      </w:r>
      <w:r>
        <w:t xml:space="preserve"> </w:t>
      </w:r>
      <w:r>
        <w:rPr>
          <w:bCs/>
          <w:b/>
        </w:rPr>
        <w:t xml:space="preserve">FP1</w:t>
      </w:r>
      <w:r>
        <w:t xml:space="preserve"> </w:t>
      </w:r>
      <w:r>
        <w:t xml:space="preserve">— engagement arises from interactive, co-creative experiences with a focal object (here, the AI agent / omnichannel platform); and</w:t>
      </w:r>
      <w:r>
        <w:t xml:space="preserve"> </w:t>
      </w:r>
      <w:r>
        <w:rPr>
          <w:bCs/>
          <w:b/>
        </w:rPr>
        <w:t xml:space="preserve">FP4</w:t>
      </w:r>
      <w:r>
        <w:t xml:space="preserve"> </w:t>
      </w:r>
      <w:r>
        <w:t xml:space="preserve">— engagement is multidimensional, expressed simultaneously through cognitive, affective, and behavioral (activation) dimensions. FP1 is the rationale for H5 (REL → ENG): relevant content</w:t>
      </w:r>
      <w:r>
        <w:t xml:space="preserve"> </w:t>
      </w:r>
      <w:r>
        <w:rPr>
          <w:iCs/>
          <w:i/>
        </w:rPr>
        <w:t xml:space="preserve">is</w:t>
      </w:r>
      <w:r>
        <w:t xml:space="preserve"> </w:t>
      </w:r>
      <w:r>
        <w:t xml:space="preserve">the interactive, value-co-creating experience from which engagement arises. FP4 is the rationale for H6b: felt surveillance suppresses cognitive and affective engagement specifically, which is why intrusiveness registers as engagement withdrawal and not merely as distrust.</w:t>
      </w:r>
    </w:p>
    <w:p>
      <w:pPr>
        <w:pStyle w:val="BodyText"/>
      </w:pPr>
      <w:r>
        <w:rPr>
          <w:bCs/>
          <w:b/>
        </w:rPr>
        <w:t xml:space="preserve">Citation correction (Amendment A-12).</w:t>
      </w:r>
      <w:r>
        <w:t xml:space="preserve"> </w:t>
      </w:r>
      <w:r>
        <w:t xml:space="preserve">Brodie et al. (2011) is a conceptual/definitional paper: it proposes FP4’s three-dimensional structure but does not supply a validated item battery. The concrete measurement instrument operationalizing that structure — Consumer Brand Engagement (CBE), with three named first-order dimensions (</w:t>
      </w:r>
      <w:r>
        <w:rPr>
          <w:bCs/>
          <w:b/>
        </w:rPr>
        <w:t xml:space="preserve">Cognitive Processing</w:t>
      </w:r>
      <w:r>
        <w:t xml:space="preserve">,</w:t>
      </w:r>
      <w:r>
        <w:t xml:space="preserve"> </w:t>
      </w:r>
      <w:r>
        <w:rPr>
          <w:bCs/>
          <w:b/>
        </w:rPr>
        <w:t xml:space="preserve">Affection</w:t>
      </w:r>
      <w:r>
        <w:t xml:space="preserve">,</w:t>
      </w:r>
      <w:r>
        <w:t xml:space="preserve"> </w:t>
      </w:r>
      <w:r>
        <w:rPr>
          <w:bCs/>
          <w:b/>
        </w:rPr>
        <w:t xml:space="preserve">Activation</w:t>
      </w:r>
      <w:r>
        <w:t xml:space="preserve">), three items per dimension in the original scale — was developed by Hollebeek, Glynn, &amp; Brodie (2014,</w:t>
      </w:r>
      <w:r>
        <w:t xml:space="preserve"> </w:t>
      </w:r>
      <w:r>
        <w:rPr>
          <w:iCs/>
          <w:i/>
        </w:rPr>
        <w:t xml:space="preserve">Journal of Interactive Marketing</w:t>
      </w:r>
      <w:r>
        <w:t xml:space="preserve">, 28(2), 149–165). ENG1–ENG6 are adapted from the Hollebeek et al. (2014) CBE scale, abbreviated to two items per dimension. Every downstream artefact citing</w:t>
      </w:r>
      <w:r>
        <w:t xml:space="preserve"> </w:t>
      </w:r>
      <w:r>
        <w:t xml:space="preserve">“</w:t>
      </w:r>
      <w:r>
        <w:t xml:space="preserve">Brodie et al. (2011)</w:t>
      </w:r>
      <w:r>
        <w:t xml:space="preserve">”</w:t>
      </w:r>
      <w:r>
        <w:t xml:space="preserve"> </w:t>
      </w:r>
      <w:r>
        <w:t xml:space="preserve">as the</w:t>
      </w:r>
      <w:r>
        <w:t xml:space="preserve"> </w:t>
      </w:r>
      <w:r>
        <w:rPr>
          <w:iCs/>
          <w:i/>
        </w:rPr>
        <w:t xml:space="preserve">measurement</w:t>
      </w:r>
      <w:r>
        <w:t xml:space="preserve"> </w:t>
      </w:r>
      <w:r>
        <w:t xml:space="preserve">source for ENG1–ENG6 is corrected to cite Hollebeek et al. (2014) for the items, retaining Brodie et al. (2011) for the FP1/FP4 conceptual grounding of the hypotheses. This mirrors the citation discipline already applied elsewhere in this document (governance rule</w:t>
      </w:r>
      <w:r>
        <w:t xml:space="preserve"> </w:t>
      </w:r>
      <w:r>
        <w:t xml:space="preserve">“</w:t>
      </w:r>
      <w:r>
        <w:t xml:space="preserve">items traced to the Scopus-indexed primary source, never adopted through a secondary adaptation,</w:t>
      </w:r>
      <w:r>
        <w:t xml:space="preserve">”</w:t>
      </w:r>
      <w:r>
        <w:t xml:space="preserve"> </w:t>
      </w:r>
      <w:r>
        <w:t xml:space="preserve">§C.4).</w:t>
      </w:r>
    </w:p>
    <w:bookmarkStart w:id="38" w:name="X52d45b4b4704b7596cf26f6c480dea6a2bf5c8c"/>
    <w:p>
      <w:pPr>
        <w:pStyle w:val="Heading3"/>
      </w:pPr>
      <w:r>
        <w:t xml:space="preserve">A.4.1 ENG dimension structure (Amendment A-12): Cognitive, Affection, Activation</w:t>
      </w:r>
    </w:p>
    <w:p>
      <w:pPr>
        <w:pStyle w:val="FirstParagraph"/>
      </w:pPr>
      <w:r>
        <w:t xml:space="preserve">ENG1–ENG6 map onto Hollebeek et al.’s (2014) three first-order CBE dimensions as follows:</w:t>
      </w:r>
    </w:p>
    <w:tbl>
      <w:tblPr>
        <w:tblStyle w:val="Table"/>
        <w:tblW w:type="pct" w:w="4954"/>
        <w:tblLook w:firstRow="1" w:lastRow="0" w:firstColumn="0" w:lastColumn="0" w:noHBand="0" w:noVBand="0" w:val="0020"/>
        <w:jc w:val="start"/>
      </w:tblPr>
      <w:tblGrid>
        <w:gridCol w:w="976"/>
        <w:gridCol w:w="867"/>
        <w:gridCol w:w="6003"/>
      </w:tblGrid>
      <w:tr>
        <w:trPr>
          <w:tblHeader w:val="true"/>
        </w:trPr>
        <w:tc>
          <w:tcPr/>
          <w:p>
            <w:pPr>
              <w:pStyle w:val="Compact"/>
              <w:jc w:val="left"/>
            </w:pPr>
            <w:r>
              <w:rPr>
                <w:bCs/>
                <w:b/>
              </w:rPr>
              <w:t xml:space="preserve">Dimension</w:t>
            </w:r>
          </w:p>
        </w:tc>
        <w:tc>
          <w:tcPr/>
          <w:p>
            <w:pPr>
              <w:pStyle w:val="Compact"/>
              <w:jc w:val="left"/>
            </w:pPr>
            <w:r>
              <w:rPr>
                <w:bCs/>
                <w:b/>
              </w:rPr>
              <w:t xml:space="preserve">Items</w:t>
            </w:r>
          </w:p>
        </w:tc>
        <w:tc>
          <w:tcPr/>
          <w:p>
            <w:pPr>
              <w:pStyle w:val="Compact"/>
              <w:jc w:val="left"/>
            </w:pPr>
            <w:r>
              <w:rPr>
                <w:bCs/>
                <w:b/>
              </w:rPr>
              <w:t xml:space="preserve">Content</w:t>
            </w:r>
          </w:p>
        </w:tc>
      </w:tr>
      <w:tr>
        <w:tc>
          <w:tcPr/>
          <w:p>
            <w:pPr>
              <w:pStyle w:val="Compact"/>
              <w:jc w:val="left"/>
            </w:pPr>
            <w:r>
              <w:rPr>
                <w:bCs/>
                <w:b/>
              </w:rPr>
              <w:t xml:space="preserve">Cognitive Processing</w:t>
            </w:r>
          </w:p>
        </w:tc>
        <w:tc>
          <w:tcPr/>
          <w:p>
            <w:pPr>
              <w:pStyle w:val="Compact"/>
              <w:jc w:val="left"/>
            </w:pPr>
            <w:r>
              <w:t xml:space="preserve">ENG1, ENG2</w:t>
            </w:r>
          </w:p>
        </w:tc>
        <w:tc>
          <w:tcPr/>
          <w:p>
            <w:pPr>
              <w:pStyle w:val="Compact"/>
              <w:jc w:val="left"/>
            </w:pPr>
            <w:r>
              <w:t xml:space="preserve">Brand-related thought and attentional focus (</w:t>
            </w:r>
            <w:r>
              <w:t xml:space="preserve">“</w:t>
            </w:r>
            <w:r>
              <w:t xml:space="preserve">I would often think of ShopWave</w:t>
            </w:r>
            <w:r>
              <w:t xml:space="preserve">”</w:t>
            </w:r>
            <w:r>
              <w:t xml:space="preserve">;</w:t>
            </w:r>
            <w:r>
              <w:t xml:space="preserve"> </w:t>
            </w:r>
            <w:r>
              <w:t xml:space="preserve">“</w:t>
            </w:r>
            <w:r>
              <w:t xml:space="preserve">I would pay close attention to ShopWave’s recommendations</w:t>
            </w:r>
            <w:r>
              <w:t xml:space="preserve">”</w:t>
            </w:r>
            <w:r>
              <w:t xml:space="preserve">).</w:t>
            </w:r>
          </w:p>
        </w:tc>
      </w:tr>
      <w:tr>
        <w:tc>
          <w:tcPr/>
          <w:p>
            <w:pPr>
              <w:pStyle w:val="Compact"/>
              <w:jc w:val="left"/>
            </w:pPr>
            <w:r>
              <w:rPr>
                <w:bCs/>
                <w:b/>
              </w:rPr>
              <w:t xml:space="preserve">Affection</w:t>
            </w:r>
          </w:p>
        </w:tc>
        <w:tc>
          <w:tcPr/>
          <w:p>
            <w:pPr>
              <w:pStyle w:val="Compact"/>
              <w:jc w:val="left"/>
            </w:pPr>
            <w:r>
              <w:t xml:space="preserve">ENG3, ENG6</w:t>
            </w:r>
          </w:p>
        </w:tc>
        <w:tc>
          <w:tcPr/>
          <w:p>
            <w:pPr>
              <w:pStyle w:val="Compact"/>
              <w:jc w:val="left"/>
            </w:pPr>
            <w:r>
              <w:t xml:space="preserve">Positive affect toward the brand (</w:t>
            </w:r>
            <w:r>
              <w:t xml:space="preserve">“</w:t>
            </w:r>
            <w:r>
              <w:t xml:space="preserve">I feel positive emotions…</w:t>
            </w:r>
            <w:r>
              <w:t xml:space="preserve">”</w:t>
            </w:r>
            <w:r>
              <w:t xml:space="preserve">;</w:t>
            </w:r>
            <w:r>
              <w:t xml:space="preserve"> </w:t>
            </w:r>
            <w:r>
              <w:t xml:space="preserve">“</w:t>
            </w:r>
            <w:r>
              <w:t xml:space="preserve">I feel enthusiastic…</w:t>
            </w:r>
            <w:r>
              <w:t xml:space="preserve">”</w:t>
            </w:r>
            <w:r>
              <w:t xml:space="preserve">).</w:t>
            </w:r>
          </w:p>
        </w:tc>
      </w:tr>
      <w:tr>
        <w:tc>
          <w:tcPr/>
          <w:p>
            <w:pPr>
              <w:pStyle w:val="Compact"/>
              <w:jc w:val="left"/>
            </w:pPr>
            <w:r>
              <w:rPr>
                <w:bCs/>
                <w:b/>
              </w:rPr>
              <w:t xml:space="preserve">Activation</w:t>
            </w:r>
          </w:p>
        </w:tc>
        <w:tc>
          <w:tcPr/>
          <w:p>
            <w:pPr>
              <w:pStyle w:val="Compact"/>
              <w:jc w:val="left"/>
            </w:pPr>
            <w:r>
              <w:t xml:space="preserve">ENG4, ENG5</w:t>
            </w:r>
          </w:p>
        </w:tc>
        <w:tc>
          <w:tcPr/>
          <w:p>
            <w:pPr>
              <w:pStyle w:val="Compact"/>
              <w:jc w:val="left"/>
            </w:pPr>
            <w:r>
              <w:t xml:space="preserve">Behavioral effort and usage intensity directed at the brand (</w:t>
            </w:r>
            <w:r>
              <w:t xml:space="preserve">“</w:t>
            </w:r>
            <w:r>
              <w:t xml:space="preserve">I would actively use and explore…</w:t>
            </w:r>
            <w:r>
              <w:t xml:space="preserve">”</w:t>
            </w:r>
            <w:r>
              <w:t xml:space="preserve">;</w:t>
            </w:r>
            <w:r>
              <w:t xml:space="preserve"> </w:t>
            </w:r>
            <w:r>
              <w:t xml:space="preserve">“</w:t>
            </w:r>
            <w:r>
              <w:t xml:space="preserve">I would spend more time using ShopWave than other platforms</w:t>
            </w:r>
            <w:r>
              <w:t xml:space="preserve">”</w:t>
            </w:r>
            <w:r>
              <w:t xml:space="preserve">).</w:t>
            </w:r>
          </w:p>
        </w:tc>
      </w:tr>
    </w:tbl>
    <w:p>
      <w:pPr>
        <w:pStyle w:val="BodyText"/>
      </w:pPr>
      <w:r>
        <w:rPr>
          <w:bCs/>
          <w:b/>
        </w:rPr>
        <w:t xml:space="preserve">Scope of this specification — content labelling only (revised by Amendment A-20).</w:t>
      </w:r>
      <w:r>
        <w:t xml:space="preserve"> </w:t>
      </w:r>
      <w:r>
        <w:t xml:space="preserve">The three dimensions above are retained as a theoretical and content description of what ENG1–ENG6 measure. They</w:t>
      </w:r>
      <w:r>
        <w:t xml:space="preserve"> </w:t>
      </w:r>
      <w:r>
        <w:rPr>
          <w:bCs/>
          <w:b/>
        </w:rPr>
        <w:t xml:space="preserve">no longer govern how diagnostics are computed.</w:t>
      </w:r>
      <w:r>
        <w:t xml:space="preserve"> </w:t>
      </w:r>
      <w:r>
        <w:t xml:space="preserve">Under Amendment A-20, ENG reliability (Cronbach’s α, ρ_A), item-rest correlation, outer loadings, CR, AVE and EFA/CFA are computed on the</w:t>
      </w:r>
      <w:r>
        <w:t xml:space="preserve"> </w:t>
      </w:r>
      <w:r>
        <w:rPr>
          <w:bCs/>
          <w:b/>
        </w:rPr>
        <w:t xml:space="preserve">full pooled six-item set</w:t>
      </w:r>
      <w:r>
        <w:t xml:space="preserve">, exactly as for AIP, REL, INT, TRU, PI and PDPL.</w:t>
      </w:r>
    </w:p>
    <w:p>
      <w:pPr>
        <w:pStyle w:val="BodyText"/>
      </w:pPr>
      <w:r>
        <w:rPr>
          <w:bCs/>
          <w:b/>
        </w:rPr>
        <w:t xml:space="preserve">Why A-12’s within-dimension-only rule was reversed.</w:t>
      </w:r>
      <w:r>
        <w:t xml:space="preserve"> </w:t>
      </w:r>
      <w:r>
        <w:t xml:space="preserve">Three grounds, recorded in order of weight.</w:t>
      </w:r>
      <w:r>
        <w:t xml:space="preserve"> </w:t>
      </w:r>
      <w:r>
        <w:rPr>
          <w:bCs/>
          <w:b/>
        </w:rPr>
        <w:t xml:space="preserve">(i) Consistency with the structural model.</w:t>
      </w:r>
      <w:r>
        <w:t xml:space="preserve"> </w:t>
      </w:r>
      <w:r>
        <w:rPr>
          <w:rStyle w:val="VerbatimChar"/>
        </w:rPr>
        <w:t xml:space="preserve">ENG_mean</w:t>
      </w:r>
      <w:r>
        <w:t xml:space="preserve"> </w:t>
      </w:r>
      <w:r>
        <w:t xml:space="preserve">— one pooled composite — has always been the sole structural input for H5, H6b, E1 and E2. A-12’s rule excluded ENG from the pooled reliability, loadings and CR/AVE tables, which left the construct carrying four paths as the only one in the model with no reported composite reliability and no reported AVE. A measurement model that reports AVE for six constructs and omits the seventh is not defensible at Q1 review, and the omission does not follow from anything in the theory.</w:t>
      </w:r>
      <w:r>
        <w:t xml:space="preserve"> </w:t>
      </w:r>
      <w:r>
        <w:rPr>
          <w:bCs/>
          <w:b/>
        </w:rPr>
        <w:t xml:space="preserve">(ii) The empirical premise has weakened.</w:t>
      </w:r>
      <w:r>
        <w:t xml:space="preserve"> </w:t>
      </w:r>
      <w:r>
        <w:t xml:space="preserve">A-12 rested on within-dimension reliabilities computed at pilot n = 46 (Cognitive α = 0.768; Affection α = 0.532; Activation α = 0.345). Recomputed at n = 277 these read Cognitive 0.695, Affection 0.788, Activation 0.776 — the two facets whose apparent weakness motivated the split are no longer weak, and the earlier figures are better read as small-sample instability than as structural evidence against pooling.</w:t>
      </w:r>
      <w:r>
        <w:t xml:space="preserve"> </w:t>
      </w:r>
      <w:r>
        <w:rPr>
          <w:bCs/>
          <w:b/>
        </w:rPr>
        <w:t xml:space="preserve">(iii) Nothing substantive is lost.</w:t>
      </w:r>
      <w:r>
        <w:t xml:space="preserve"> </w:t>
      </w:r>
      <w:r>
        <w:t xml:space="preserve">A-12’s citation correction stands, its dimension labelling stands, ENG4 is still retained, and ENG is still a single first-order reflective composite rather than a second-order construct. What A-20 changes is how the numbers are computed and reported, not the item set, the source, or the structural specification. The per-facet means (</w:t>
      </w:r>
      <w:r>
        <w:rPr>
          <w:rStyle w:val="VerbatimChar"/>
        </w:rPr>
        <w:t xml:space="preserve">ENG_cog_mean</w:t>
      </w:r>
      <w:r>
        <w:t xml:space="preserve">,</w:t>
      </w:r>
      <w:r>
        <w:t xml:space="preserve"> </w:t>
      </w:r>
      <w:r>
        <w:rPr>
          <w:rStyle w:val="VerbatimChar"/>
        </w:rPr>
        <w:t xml:space="preserve">ENG_aff_mean</w:t>
      </w:r>
      <w:r>
        <w:t xml:space="preserve">,</w:t>
      </w:r>
      <w:r>
        <w:t xml:space="preserve"> </w:t>
      </w:r>
      <w:r>
        <w:rPr>
          <w:rStyle w:val="VerbatimChar"/>
        </w:rPr>
        <w:t xml:space="preserve">ENG_act_mean</w:t>
      </w:r>
      <w:r>
        <w:t xml:space="preserve">) survive as supplementary description for the Limitations discussion and carry no item-retention authority.</w:t>
      </w:r>
    </w:p>
    <w:p>
      <w:pPr>
        <w:pStyle w:val="BodyText"/>
      </w:pPr>
      <w:r>
        <w:t xml:space="preserve">This is deliberately</w:t>
      </w:r>
      <w:r>
        <w:t xml:space="preserve"> </w:t>
      </w:r>
      <w:r>
        <w:rPr>
          <w:bCs/>
          <w:b/>
        </w:rPr>
        <w:t xml:space="preserve">not</w:t>
      </w:r>
      <w:r>
        <w:t xml:space="preserve"> </w:t>
      </w:r>
      <w:r>
        <w:t xml:space="preserve">a commitment to modeling ENG as a second-order (hierarchical component) construct in the structural model. H5, H6b, E1, and E2 continue to use ENG as a single reflective composite, for the same reason TRU is not modeled as second-order despite an equally (in fact more granularly) multidimensional source theory (McKnight et al., 2002; competence/benevolence/integrity/predictability plus trusting intentions) — see §A.3.2’s framing rule, which applies identically here: introducing a second-order structural specification for ENG without a matching one for TRU would be an inconsistent, unjustified asymmetry, and second-order estimation raises its own identification and sample-size demands this project has not budgeted for. If the team later decides a second-order ENG structural specification is warranted, that is a separate amendment with its own justification, not a corollary of this one.</w:t>
      </w:r>
    </w:p>
    <w:p>
      <w:pPr>
        <w:pStyle w:val="BodyText"/>
      </w:pPr>
      <w:r>
        <w:rPr>
          <w:bCs/>
          <w:b/>
        </w:rPr>
        <w:t xml:space="preserve">Consequence for the ENG4 item-retention question (reverses the provisional A-9-analogous plan).</w:t>
      </w:r>
      <w:r>
        <w:t xml:space="preserve"> </w:t>
      </w:r>
      <w:r>
        <w:t xml:space="preserve">Before this amendment, ENG4’s outer loading on a</w:t>
      </w:r>
      <w:r>
        <w:t xml:space="preserve"> </w:t>
      </w:r>
      <w:r>
        <w:rPr>
          <w:iCs/>
          <w:i/>
        </w:rPr>
        <w:t xml:space="preserve">pooled</w:t>
      </w:r>
      <w:r>
        <w:t xml:space="preserve"> </w:t>
      </w:r>
      <w:r>
        <w:t xml:space="preserve">six-item single factor (−0.381, pilot n = 46) was being evaluated for exclusion, following the same logic as an earlier REL4’s exclusion under Amendment A-9 (historical note: that REL4, Tam &amp; Ho 2006 wording, has since been removed from the instrument entirely; the current REL4 is a different, fully-included item sourced from Klar (1990) via Ahluwalia et al. (2001) and De Keyzer et al. (2015), and this A-9 comparison no longer describes REL’s present state). That comparison was, in any case, invalid at the time: REL had no dimension structure to violate (the earlier REL1–REL3 measured one thing,</w:t>
      </w:r>
      <w:r>
        <w:t xml:space="preserve"> </w:t>
      </w:r>
      <w:r>
        <w:t xml:space="preserve">“</w:t>
      </w:r>
      <w:r>
        <w:t xml:space="preserve">fit,</w:t>
      </w:r>
      <w:r>
        <w:t xml:space="preserve">”</w:t>
      </w:r>
      <w:r>
        <w:t xml:space="preserve"> </w:t>
      </w:r>
      <w:r>
        <w:t xml:space="preserve">and the earlier REL4 was excluded because it measured a distinct facet not shared by the other three), whereas ENG’s problem is different in kind — ENG4 is not an outlier relative to a homogeneous set; it is the item data point for the one theoretically distinct Activation dimension. Computed within dimension on the same pilot data, ENG4’s peer correlation was r(ENG4, ENG5) = 0.212, alpha(2-item) = 0.345 — weak, and read at the time as evidence that the Activation facet was measured with low reliability in this abbreviated adaptation, not as grounds to drop ENG4. At n = 277 that facet alpha has risen to 0.776. Under Amendment A-20 the retention question is settled on the</w:t>
      </w:r>
      <w:r>
        <w:t xml:space="preserve"> </w:t>
      </w:r>
      <w:r>
        <w:rPr>
          <w:bCs/>
          <w:b/>
        </w:rPr>
        <w:t xml:space="preserve">pooled</w:t>
      </w:r>
      <w:r>
        <w:t xml:space="preserve"> </w:t>
      </w:r>
      <w:r>
        <w:t xml:space="preserve">loading instead; ENG4 remains retained on the same substantive ground — dropping it would delete the Activation dimension entirely. Dropping ENG4 would leave Activation represented by a single item (ENG5), which cannot be assessed for internal consistency at all and would silently delete the one dimension Hollebeek et al.’s framework treats as behaviorally diagnostic.</w:t>
      </w:r>
      <w:r>
        <w:t xml:space="preserve"> </w:t>
      </w:r>
      <w:r>
        <w:rPr>
          <w:bCs/>
          <w:b/>
        </w:rPr>
        <w:t xml:space="preserve">ENG4 is retained.</w:t>
      </w:r>
      <w:r>
        <w:t xml:space="preserve"> </w:t>
      </w:r>
      <w:r>
        <w:t xml:space="preserve">The weak Activation-facet reliability (Cognitive alpha = 0.768; Affection alpha = 0.532; Activation alpha = 0.345; pilot n = 46) is reported transparently in the Method/Limitations sections as a consequence of abbreviating Hollebeek et al.’s three-item-per-dimension original to two items per dimension, not concealed by item deletion.</w:t>
      </w:r>
    </w:p>
    <w:p>
      <w:pPr>
        <w:pStyle w:val="BodyText"/>
      </w:pPr>
      <w: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w:t>
      </w:r>
      <w:r>
        <w:t xml:space="preserve"> </w:t>
      </w:r>
      <w:r>
        <w:rPr>
          <w:bCs/>
          <w:b/>
        </w:rPr>
        <w:t xml:space="preserve">Consumer Trust → Customer Engagement</w:t>
      </w:r>
      <w:r>
        <w:t xml:space="preserve"> </w:t>
      </w:r>
      <w:r>
        <w:t xml:space="preserve">(E1) and</w:t>
      </w:r>
      <w:r>
        <w:t xml:space="preserve"> </w:t>
      </w:r>
      <w:r>
        <w:rPr>
          <w:bCs/>
          <w:b/>
        </w:rPr>
        <w:t xml:space="preserve">Customer Engagement → Purchase Intention</w:t>
      </w:r>
      <w:r>
        <w:t xml:space="preserve"> </w:t>
      </w:r>
      <w:r>
        <w:t xml:space="preserve">(E2)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and E2 are reported for model completeness, with contribution claims reserved for the H-numbered hypotheses.</w:t>
      </w:r>
    </w:p>
    <w:p>
      <w:pPr>
        <w:pStyle w:val="BodyText"/>
      </w:pPr>
      <w:r>
        <w:rPr>
          <w:iCs/>
          <w:i/>
        </w:rPr>
        <w:t xml:space="preserve">Why there is no TRU → PI arrow.</w:t>
      </w:r>
      <w:r>
        <w:t xml:space="preserve"> </w:t>
      </w:r>
      <w:r>
        <w:t xml:space="preserve">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w:t>
      </w:r>
      <w:r>
        <w:t xml:space="preserve"> </w:t>
      </w:r>
      <w:r>
        <w:rPr>
          <w:bCs/>
          <w:b/>
        </w:rPr>
        <w:t xml:space="preserve">as a competing-model robustness check reported in the Discussion</w:t>
      </w:r>
      <w:r>
        <w:t xml:space="preserve">, not in the main structural model, and carries neither an H-number nor an E-label.</w:t>
      </w:r>
    </w:p>
    <w:bookmarkEnd w:id="38"/>
    <w:bookmarkEnd w:id="39"/>
    <w:bookmarkStart w:id="42" w:name="X82848970fd868a48c8542f882b5a545ebe3e6d1"/>
    <w:p>
      <w:pPr>
        <w:pStyle w:val="Heading2"/>
      </w:pPr>
      <w:r>
        <w:t xml:space="preserve">A.5 Pillar 3 — Institutional Theory (Scott, 1995) and PDPL Awareness</w:t>
      </w:r>
    </w:p>
    <w:p>
      <w:pPr>
        <w:pStyle w:val="FirstParagraph"/>
      </w:pPr>
      <w:r>
        <w:t xml:space="preserve">Scott’s (1995) three-pillar institutional framework distinguishes regulative (laws, sanctions), normative (values, norms), and cultural-cognitive (shared understandings) carriers of institutional order. The present model mobilizes the</w:t>
      </w:r>
      <w:r>
        <w:t xml:space="preserve"> </w:t>
      </w:r>
      <w:r>
        <w:rPr>
          <w:bCs/>
          <w:b/>
        </w:rPr>
        <w:t xml:space="preserve">regulative pillar</w:t>
      </w:r>
      <w:r>
        <w:t xml:space="preserve">: Vietnam’s personal-data-protection regime — Decree 13/2023/NĐ-CP, superseded by the Personal Data Protection Law No. 91/2025/QH15 (</w:t>
      </w:r>
      <w:r>
        <w:t xml:space="preserve">“</w:t>
      </w:r>
      <w:r>
        <w:t xml:space="preserve">PDP Law 2025</w:t>
      </w:r>
      <w:r>
        <w:t xml:space="preserve">”</w:t>
      </w:r>
      <w:r>
        <w:t xml:space="preserve">, effective 1 January 2026) — constitutes a newly formalized regulative institution governing AI-driven data processing.</w:t>
      </w:r>
    </w:p>
    <w:p>
      <w:pPr>
        <w:pStyle w:val="BodyText"/>
      </w:pPr>
      <w:r>
        <w:rPr>
          <w:bCs/>
          <w:b/>
        </w:rPr>
        <w:t xml:space="preserve">PDPL Awareness</w:t>
      </w:r>
      <w:r>
        <w:t xml:space="preserve"> </w:t>
      </w:r>
      <w:r>
        <w:t xml:space="preserve">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bookmarkStart w:id="40" w:name="X0d5d09135203eda78044e62127d1a219841c950"/>
    <w:p>
      <w:pPr>
        <w:pStyle w:val="Heading3"/>
      </w:pPr>
      <w:r>
        <w:t xml:space="preserve">A.5.1 H7a and H7b: Two Independent Carriers of Structural Assurance</w:t>
      </w:r>
    </w:p>
    <w:p>
      <w:pPr>
        <w:pStyle w:val="FirstParagraph"/>
      </w:pPr>
      <w:r>
        <w:rPr>
          <w:iCs/>
          <w:i/>
        </w:rPr>
        <w:t xml:space="preserve">This section replaces the v2.0/v2.1 moderated-moderation development in full (Amendment A-8). The conjunctive argument set out there — that structural assurance becomes behaviourally efficacious only when the institutional entitlement and its situational instantiation co-occur — required a third-order product term to test and is withdrawn along with it.</w:t>
      </w:r>
    </w:p>
    <w:p>
      <w:pPr>
        <w:pStyle w:val="BodyText"/>
      </w:pPr>
      <w:r>
        <w:t xml:space="preserve">Structural assurance reaches the consumer through two carriers, which differ in locus, verifiability, and cost, and which are modelled as</w:t>
      </w:r>
      <w:r>
        <w:t xml:space="preserve"> </w:t>
      </w:r>
      <w:r>
        <w:rPr>
          <w:bCs/>
          <w:b/>
        </w:rPr>
        <w:t xml:space="preserve">independent</w:t>
      </w:r>
      <w:r>
        <w:t xml:space="preserve"> </w:t>
      </w:r>
      <w:r>
        <w:t xml:space="preserve">moderators of the INT → TRU relationship rather than as a single conjunctive term:</w:t>
      </w:r>
    </w:p>
    <w:p>
      <w:pPr>
        <w:numPr>
          <w:ilvl w:val="0"/>
          <w:numId w:val="1010"/>
        </w:numPr>
      </w:pPr>
      <w:r>
        <w:rPr>
          <w:bCs/>
          <w:b/>
        </w:rPr>
        <w:t xml:space="preserve">De jure assurance — PDPL Awareness.</w:t>
      </w:r>
      <w:r>
        <w:t xml:space="preserve"> </w:t>
      </w:r>
      <w:r>
        <w:t xml:space="preserve">Knowledge that Law 91/2025/QH15 exists and confers enforceable entitlements (Arts. 8–10, 28). Its locus is the institutional environment; it is exogenous to the retailer and generic rather than transaction-specific. In Scott’s terms it is pure regulative-pillar content.</w:t>
      </w:r>
      <w:r>
        <w:t xml:space="preserve"> </w:t>
      </w:r>
      <w:r>
        <w:rPr>
          <w:bCs/>
          <w:b/>
        </w:rPr>
        <w:t xml:space="preserve">H7a</w:t>
      </w:r>
      <w:r>
        <w:t xml:space="preserve"> </w:t>
      </w:r>
      <w:r>
        <w:t xml:space="preserve">predicts that higher PDPL Awareness attenuates the negative slope of INT → TRU: β_M1 0.</w:t>
      </w:r>
    </w:p>
    <w:p>
      <w:pPr>
        <w:numPr>
          <w:ilvl w:val="0"/>
          <w:numId w:val="1010"/>
        </w:numPr>
      </w:pPr>
      <w:r>
        <w:rPr>
          <w:bCs/>
          <w:b/>
        </w:rPr>
        <w:t xml:space="preserve">De facto assurance — Disclosure Level.</w:t>
      </w:r>
      <w:r>
        <w:t xml:space="preserve"> </w:t>
      </w:r>
      <w:r>
        <w:t xml:space="preserve">The retailer’s own act of disclosing its data practices at the moment of personalization, the behaviour the statute contemplates in Art. 28(8)(a)–(b) and Art. 29. Its locus is the interface; it is endogenous to the firm, transaction-specific, and — because disclosure invites scrutiny and enables opt-out — a costly and therefore credible signal of integrity.</w:t>
      </w:r>
      <w:r>
        <w:t xml:space="preserve"> </w:t>
      </w:r>
      <w:r>
        <w:rPr>
          <w:bCs/>
          <w:b/>
        </w:rPr>
        <w:t xml:space="preserve">H7b</w:t>
      </w:r>
      <w:r>
        <w:t xml:space="preserve"> </w:t>
      </w:r>
      <w:r>
        <w:t xml:space="preserve">predicts that the With-Disclosure condition attenuates the negative slope of INT → TRU relative to No-Disclosure: β_M2 0.</w:t>
      </w:r>
    </w:p>
    <w:p>
      <w:pPr>
        <w:pStyle w:val="FirstParagraph"/>
      </w:pPr>
      <w:r>
        <w:t xml:space="preserve">H7a and H7b are</w:t>
      </w:r>
      <w:r>
        <w:t xml:space="preserve"> </w:t>
      </w:r>
      <w:r>
        <w:rPr>
          <w:bCs/>
          <w:b/>
        </w:rPr>
        <w:t xml:space="preserve">independent, additive predictions</w:t>
      </w:r>
      <w:r>
        <w:t xml:space="preserve">: each carrier is expected to buffer trust erosion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buffering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pPr>
        <w:pStyle w:val="BodyText"/>
      </w:pPr>
      <w:r>
        <w:t xml:space="preserve">Because both terms are estimated in one model with each carrier held constant for the other, the</w:t>
      </w:r>
      <w:r>
        <w:t xml:space="preserve"> </w:t>
      </w:r>
      <w:r>
        <w:rPr>
          <w:bCs/>
          <w:b/>
        </w:rPr>
        <w:t xml:space="preserve">relative magnitude of β_M1 versus β_M2</w:t>
      </w:r>
      <w:r>
        <w:t xml:space="preserve"> </w:t>
      </w:r>
      <w:r>
        <w:t xml:space="preserve">is itself interpretable: it indicates which lever — institutional awareness or firm-level disclosure — carries more behavioural leverage. That comparison is the practical yield of the two-carrier framing and is reported in the Discussion.</w:t>
      </w:r>
    </w:p>
    <w:p>
      <w:pPr>
        <w:pStyle w:val="BodyText"/>
      </w:pPr>
      <w:r>
        <w:t xml:space="preserve">Both H7a and H7b moderate the</w:t>
      </w:r>
      <w:r>
        <w:t xml:space="preserve"> </w:t>
      </w:r>
      <w:r>
        <w:rPr>
          <w:bCs/>
          <w:b/>
        </w:rPr>
        <w:t xml:space="preserve">H6a path only</w:t>
      </w:r>
      <w:r>
        <w:t xml:space="preserve"> </w:t>
      </w:r>
      <w:r>
        <w:t xml:space="preserve">(INT → TRU) — never H6b, never H6c. The specification must be stated identically in the diagram, the hypothesis table and the SmartPLS model; any inconsistency is a direct reviewer risk. Estimation is specified in §C.2.</w:t>
      </w:r>
    </w:p>
    <w:p>
      <w:pPr>
        <w:pStyle w:val="BodyText"/>
      </w:pPr>
      <w:r>
        <w:rPr>
          <w:iCs/>
          <w:i/>
        </w:rPr>
        <w:t xml:space="preserve">What was given up, and what was gained.</w:t>
      </w:r>
      <w:r>
        <w:t xml:space="preserve"> </w:t>
      </w:r>
      <w:r>
        <w:t xml:space="preserve">The withdrawn v2.0 specification tested a stronger and more distinctive claim: that de jure awareness is inert</w:t>
      </w:r>
      <w:r>
        <w:t xml:space="preserve"> </w:t>
      </w:r>
      <w:r>
        <w:rPr>
          <w:iCs/>
          <w:i/>
        </w:rPr>
        <w:t xml:space="preserve">unless</w:t>
      </w:r>
      <w:r>
        <w:t xml:space="preserve"> </w:t>
      </w:r>
      <w:r>
        <w:t xml:space="preserve">instantiated. Two independent buffers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w:t>
      </w:r>
      <w:r>
        <w:t xml:space="preserve"> </w:t>
      </w:r>
      <w:r>
        <w:rPr>
          <w:iCs/>
          <w:i/>
        </w:rPr>
        <w:t xml:space="preserve">conjunctive</w:t>
      </w:r>
      <w:r>
        <w:t xml:space="preserve"> </w:t>
      </w:r>
      <w:r>
        <w:t xml:space="preserve">mechanism, not the distinction itself, that is no longer claimed.</w:t>
      </w:r>
    </w:p>
    <w:bookmarkEnd w:id="40"/>
    <w:bookmarkStart w:id="41" w:name="X1c9244b024f38b760096b151107a8710c4c6394"/>
    <w:p>
      <w:pPr>
        <w:pStyle w:val="Heading3"/>
      </w:pPr>
      <w:r>
        <w:t xml:space="preserve">A.5.2 Administering PDPL Awareness: Generic Items, Generic Preamble, Context Elsewhere (Amendment A-17, superseding A-16)</w:t>
      </w:r>
    </w:p>
    <w:p>
      <w:pPr>
        <w:pStyle w:val="FirstParagraph"/>
      </w:pPr>
      <w:r>
        <w:t xml:space="preserve">PDPL1-PDPL4 (Section C.4, Table 5) are, and remain, generic in wording: none of the four item stems names Law 91/2025/QH15. This has been true since PROJ_MAIN_final_v2 (Amendment A-13) and is unaffected by anything in this section. What this section settles is where – if anywhere – the statute’s name belongs in the fielded instrument’s</w:t>
      </w:r>
      <w:r>
        <w:t xml:space="preserve"> </w:t>
      </w:r>
      <w:r>
        <w:rPr>
          <w:iCs/>
          <w:i/>
        </w:rPr>
        <w:t xml:space="preserve">administration</w:t>
      </w:r>
      <w:r>
        <w:t xml:space="preserve"> </w:t>
      </w:r>
      <w:r>
        <w:t xml:space="preserve">(as distinct from the item text itself), which is what OD-11 was actually about.</w:t>
      </w:r>
    </w:p>
    <w:p>
      <w:pPr>
        <w:pStyle w:val="BodyText"/>
      </w:pPr>
      <w:r>
        <w:rPr>
          <w:bCs/>
          <w:b/>
        </w:rPr>
        <w:t xml:space="preserve">The final, operative answer (A-17): nowhere in the fielded instrument.</w:t>
      </w:r>
      <w:r>
        <w:t xml:space="preserve"> </w:t>
      </w:r>
      <w:r>
        <w:t xml:space="preserve">Block M_PDPL is administered under a single generic preamble before PDPL1 – stating only that the following questions concern rights and obligations under Vietnamese personal-data-protection law, without naming the statute – and no second segment naming Law 91/2025/QH15 is inserted anywhere in the block. PDPL1-PDPL4 are administered identically to one another; there is no pre-anchor / post-anchor distinction. The statute’s name, its effective date, and its relationship to each item’s statutory anchor are documented only in the literature review (Chapter 2, construct operationalization) and in the instrument-development narrative of the Method section. This is the faculty advisor’s guidance as originally given and as reconfirmed on 8 September 2026: naming the law is unnecessary anywhere in the instrument because all four items are already anchored to specific articles (Table 5), and generic item/preamble wording for a scale built on an established construct is standard practice, not a defect requiring a design fix.</w:t>
      </w:r>
    </w:p>
    <w:p>
      <w:pPr>
        <w:pStyle w:val="BodyText"/>
      </w:pPr>
      <w:r>
        <w:rPr>
          <w:bCs/>
          <w:b/>
        </w:rPr>
        <w:t xml:space="preserve">Audit trail: the same-day exploration this supersedes.</w:t>
      </w:r>
      <w:r>
        <w:t xml:space="preserve"> </w:t>
      </w:r>
      <w:r>
        <w:t xml:space="preserve">Two intermediate positions were drafted and rejected before A-17 was ratified, and are recorded here so the reasoning is not lost. First, inserting</w:t>
      </w:r>
      <w:r>
        <w:t xml:space="preserve"> </w:t>
      </w:r>
      <w:r>
        <w:t xml:space="preserve">“</w:t>
      </w:r>
      <w:r>
        <w:t xml:space="preserve">(Law No. 91/2025/QH15)</w:t>
      </w:r>
      <w:r>
        <w:t xml:space="preserve">”</w:t>
      </w:r>
      <w:r>
        <w:t xml:space="preserve"> </w:t>
      </w:r>
      <w:r>
        <w:t xml:space="preserve">directly into the PDPL1 item stem was drafted, then reverted before fielding: naming the statute inside an awareness item supplies, within the item text, the very fact the item is meant to test, which risks a leading item and an artificial ceiling effect on PDPL1 – this wording must never reappear in PROJ_MAIN. Second, Amendment A-16 (ratified and reissued as TF v2.8, then superseded the same day) attempted a different fix at the preamble level: splitting block M_PDPL into a generic segment before PDPL1 and a statute-naming segment after PDPL1 (before PDPL2), on the reasoning that a single preamble naming the statute before PDPL1 would prime the bare-awareness item with the fact it tests. That order-effect concern is real in the abstract, but A-16 is withdrawn because it solved a problem the faculty advisor’s guidance says should not exist in the first place: if the statute is never named in administration at all, there is no priming order to manage, and no pre-/post-anchor bookkeeping to carry into the Method section. A-17 is simpler than A-16 and answers the guidance more directly.</w:t>
      </w:r>
    </w:p>
    <w:p>
      <w:pPr>
        <w:pStyle w:val="BodyText"/>
      </w:pPr>
      <w:r>
        <w:rPr>
          <w:bCs/>
          <w:b/>
        </w:rPr>
        <w:t xml:space="preserve">Consequence for reporting.</w:t>
      </w:r>
      <w:r>
        <w:t xml:space="preserve"> </w:t>
      </w:r>
      <w:r>
        <w:t xml:space="preserve">The Method / instrument-development section of the manuscript must describe PDPL Awareness as a 4-item scale, generically worded and generically administered, and must state the statutory anchor and its ecological-validity limitation explicitly in prose (Method and/or Limitations) rather than by pointing to any in-instrument feature – because, after A-17, no such feature exists. This is precisely the</w:t>
      </w:r>
      <w:r>
        <w:t xml:space="preserve"> </w:t>
      </w:r>
      <w:r>
        <w:t xml:space="preserve">“</w:t>
      </w:r>
      <w:r>
        <w:t xml:space="preserve">state the limitation</w:t>
      </w:r>
      <w:r>
        <w:t xml:space="preserve">”</w:t>
      </w:r>
      <w:r>
        <w:t xml:space="preserve"> </w:t>
      </w:r>
      <w:r>
        <w:t xml:space="preserve">branch that OD-11 offered as an alternative to revising the instrument, now the operative one.</w:t>
      </w:r>
    </w:p>
    <w:bookmarkEnd w:id="41"/>
    <w:bookmarkEnd w:id="42"/>
    <w:bookmarkStart w:id="43" w:name="X7024f622dc5b4037bf588806c0ef495fe7de8a2"/>
    <w:p>
      <w:pPr>
        <w:pStyle w:val="Heading2"/>
      </w:pPr>
      <w:r>
        <w:t xml:space="preserve">A.6 Integrated Construct-to-Theory Map (Table 1 — Naming Locked)</w:t>
      </w:r>
    </w:p>
    <w:p>
      <w:pPr>
        <w:pStyle w:val="FirstParagraph"/>
      </w:pPr>
      <w:r>
        <w:t xml:space="preserve">Table 1 is the master reference for construct labels, abbreviations, theoretical anchors, and model roles. All instruments, diagrams, and manuscript sections must use these labels verbatim.</w:t>
      </w:r>
    </w:p>
    <w:tbl>
      <w:tblPr>
        <w:tblStyle w:val="Table"/>
        <w:tblW w:type="pct" w:w="4984"/>
        <w:tblLook w:firstRow="1" w:lastRow="0" w:firstColumn="0" w:lastColumn="0" w:noHBand="0" w:noVBand="0" w:val="0020"/>
        <w:jc w:val="start"/>
      </w:tblPr>
      <w:tblGrid>
        <w:gridCol w:w="188"/>
        <w:gridCol w:w="515"/>
        <w:gridCol w:w="3155"/>
        <w:gridCol w:w="1646"/>
        <w:gridCol w:w="2388"/>
      </w:tblGrid>
      <w:tr>
        <w:trPr>
          <w:tblHeader w:val="true"/>
        </w:trPr>
        <w:tc>
          <w:tcPr/>
          <w:p>
            <w:pPr>
              <w:pStyle w:val="Compact"/>
              <w:jc w:val="left"/>
            </w:pPr>
            <w:r>
              <w:rPr>
                <w:bCs/>
                <w:b/>
              </w:rPr>
              <w:t xml:space="preserve">Code</w:t>
            </w:r>
          </w:p>
        </w:tc>
        <w:tc>
          <w:tcPr/>
          <w:p>
            <w:pPr>
              <w:pStyle w:val="Compact"/>
              <w:jc w:val="left"/>
            </w:pPr>
            <w:r>
              <w:rPr>
                <w:bCs/>
                <w:b/>
              </w:rPr>
              <w:t xml:space="preserve">Construct</w:t>
            </w:r>
          </w:p>
        </w:tc>
        <w:tc>
          <w:tcPr/>
          <w:p>
            <w:pPr>
              <w:pStyle w:val="Compact"/>
              <w:jc w:val="left"/>
            </w:pPr>
            <w:r>
              <w:rPr>
                <w:bCs/>
                <w:b/>
              </w:rPr>
              <w:t xml:space="preserve">Definition (working)</w:t>
            </w:r>
          </w:p>
        </w:tc>
        <w:tc>
          <w:tcPr/>
          <w:p>
            <w:pPr>
              <w:pStyle w:val="Compact"/>
              <w:jc w:val="left"/>
            </w:pPr>
            <w:r>
              <w:rPr>
                <w:bCs/>
                <w:b/>
              </w:rPr>
              <w:t xml:space="preserve">Theoretical anchor</w:t>
            </w:r>
          </w:p>
        </w:tc>
        <w:tc>
          <w:tcPr/>
          <w:p>
            <w:pPr>
              <w:pStyle w:val="Compact"/>
              <w:jc w:val="left"/>
            </w:pPr>
            <w:r>
              <w:rPr>
                <w:bCs/>
                <w:b/>
              </w:rPr>
              <w:t xml:space="preserve">Role in model</w:t>
            </w:r>
          </w:p>
        </w:tc>
      </w:tr>
      <w:tr>
        <w:tc>
          <w:tcPr/>
          <w:p>
            <w:pPr>
              <w:pStyle w:val="Compact"/>
              <w:jc w:val="left"/>
            </w:pPr>
            <w:r>
              <w:rPr>
                <w:bCs/>
                <w:b/>
              </w:rPr>
              <w:t xml:space="preserve">AIP</w:t>
            </w:r>
          </w:p>
        </w:tc>
        <w:tc>
          <w:tcPr/>
          <w:p>
            <w:pPr>
              <w:pStyle w:val="Compact"/>
              <w:jc w:val="left"/>
            </w:pPr>
            <w:r>
              <w:t xml:space="preserve">AI Personalization Intensity</w:t>
            </w:r>
          </w:p>
        </w:tc>
        <w:tc>
          <w:tcPr/>
          <w:p>
            <w:pPr>
              <w:pStyle w:val="Compact"/>
              <w:jc w:val="left"/>
            </w:pPr>
            <w:r>
              <w:t xml:space="preserve">Degree to which the retailer deploys AI-driven, individually tailored content across omnichannel touchpoints (AIP1–AIP5).</w:t>
            </w:r>
          </w:p>
        </w:tc>
        <w:tc>
          <w:tcPr/>
          <w:p>
            <w:pPr>
              <w:pStyle w:val="Compact"/>
              <w:jc w:val="left"/>
            </w:pPr>
            <w:r>
              <w:t xml:space="preserve">SOR (stimulus); personalization literature</w:t>
            </w:r>
          </w:p>
        </w:tc>
        <w:tc>
          <w:tcPr/>
          <w:p>
            <w:pPr>
              <w:pStyle w:val="Compact"/>
              <w:jc w:val="left"/>
            </w:pPr>
            <w:r>
              <w:t xml:space="preserve">Exogenous stimulus (S); H1, H2. Manipulated Low/High in the 2 × 2.</w:t>
            </w:r>
          </w:p>
        </w:tc>
      </w:tr>
      <w:tr>
        <w:tc>
          <w:tcPr/>
          <w:p>
            <w:pPr>
              <w:pStyle w:val="Compact"/>
              <w:jc w:val="left"/>
            </w:pPr>
            <w:r>
              <w:rPr>
                <w:bCs/>
                <w:b/>
              </w:rPr>
              <w:t xml:space="preserve">REL</w:t>
            </w:r>
          </w:p>
        </w:tc>
        <w:tc>
          <w:tcPr/>
          <w:p>
            <w:pPr>
              <w:pStyle w:val="Compact"/>
              <w:jc w:val="left"/>
            </w:pPr>
            <w:r>
              <w:t xml:space="preserve">Perceived Relevance</w:t>
            </w:r>
          </w:p>
        </w:tc>
        <w:tc>
          <w:tcPr/>
          <w:p>
            <w:pPr>
              <w:pStyle w:val="Compact"/>
              <w:jc w:val="left"/>
            </w:pPr>
            <w:r>
              <w:t xml:space="preserve">Judgment that personalized content matches one’s needs, preferences, and context (</w:t>
            </w:r>
            <w:r>
              <w:rPr>
                <w:bCs/>
                <w:b/>
              </w:rPr>
              <w:t xml:space="preserve">REL1–REL4</w:t>
            </w:r>
            <w:r>
              <w:t xml:space="preserve">; no exclusion — A-9’s exclusion applied to an earlier, now-removed REL4 item and is retired).</w:t>
            </w:r>
          </w:p>
        </w:tc>
        <w:tc>
          <w:tcPr/>
          <w:p>
            <w:pPr>
              <w:pStyle w:val="Compact"/>
              <w:jc w:val="left"/>
            </w:pPr>
            <w:r>
              <w:t xml:space="preserve">Privacy Calculus — benefit term (Dinev &amp; Hart, 2006)</w:t>
            </w:r>
          </w:p>
        </w:tc>
        <w:tc>
          <w:tcPr/>
          <w:p>
            <w:pPr>
              <w:pStyle w:val="Compact"/>
              <w:jc w:val="left"/>
            </w:pPr>
            <w:r>
              <w:t xml:space="preserve">Organism; mediator (H1, H4, H5)</w:t>
            </w:r>
          </w:p>
        </w:tc>
      </w:tr>
      <w:tr>
        <w:tc>
          <w:tcPr/>
          <w:p>
            <w:pPr>
              <w:pStyle w:val="Compact"/>
              <w:jc w:val="left"/>
            </w:pPr>
            <w:r>
              <w:rPr>
                <w:bCs/>
                <w:b/>
              </w:rPr>
              <w:t xml:space="preserve">INT</w:t>
            </w:r>
          </w:p>
        </w:tc>
        <w:tc>
          <w:tcPr/>
          <w:p>
            <w:pPr>
              <w:pStyle w:val="Compact"/>
              <w:jc w:val="left"/>
            </w:pPr>
            <w:r>
              <w:t xml:space="preserve">Perceived Intrusiveness</w:t>
            </w:r>
          </w:p>
        </w:tc>
        <w:tc>
          <w:tcPr/>
          <w:p>
            <w:pPr>
              <w:pStyle w:val="Compact"/>
              <w:jc w:val="left"/>
            </w:pPr>
            <w:r>
              <w:t xml:space="preserve">Felt violation of psychological/informational boundaries by personalization (INT1–INT5).</w:t>
            </w:r>
          </w:p>
        </w:tc>
        <w:tc>
          <w:tcPr/>
          <w:p>
            <w:pPr>
              <w:pStyle w:val="Compact"/>
              <w:jc w:val="left"/>
            </w:pPr>
            <w:r>
              <w:t xml:space="preserve">Privacy Calculus — risk term (Dinev &amp; Hart, 2006)</w:t>
            </w:r>
          </w:p>
        </w:tc>
        <w:tc>
          <w:tcPr/>
          <w:p>
            <w:pPr>
              <w:pStyle w:val="Compact"/>
              <w:jc w:val="left"/>
            </w:pPr>
            <w:r>
              <w:t xml:space="preserve">Organism; mediator (H2, H3, H6a, H6b, H6c); focal path of both H7a and H7b moderations</w:t>
            </w:r>
          </w:p>
        </w:tc>
      </w:tr>
      <w:tr>
        <w:tc>
          <w:tcPr/>
          <w:p>
            <w:pPr>
              <w:pStyle w:val="Compact"/>
              <w:jc w:val="left"/>
            </w:pPr>
            <w:r>
              <w:rPr>
                <w:bCs/>
                <w:b/>
              </w:rPr>
              <w:t xml:space="preserve">TRU</w:t>
            </w:r>
          </w:p>
        </w:tc>
        <w:tc>
          <w:tcPr/>
          <w:p>
            <w:pPr>
              <w:pStyle w:val="Compact"/>
              <w:jc w:val="left"/>
            </w:pPr>
            <w:r>
              <w:t xml:space="preserve">Consumer Trust (cognitive + affective)</w:t>
            </w:r>
          </w:p>
        </w:tc>
        <w:tc>
          <w:tcPr/>
          <w:p>
            <w:pPr>
              <w:pStyle w:val="Compact"/>
              <w:jc w:val="left"/>
            </w:pPr>
            <w:r>
              <w:t xml:space="preserve">Trusting beliefs in the AI agent’s competence, benevolence, integrity (</w:t>
            </w:r>
            <w:r>
              <w:rPr>
                <w:bCs/>
                <w:b/>
              </w:rPr>
              <w:t xml:space="preserve">TRU1–TRU3</w:t>
            </w:r>
            <w:r>
              <w:t xml:space="preserve">) plus affective willingness to depend (</w:t>
            </w:r>
            <w:r>
              <w:rPr>
                <w:bCs/>
                <w:b/>
              </w:rPr>
              <w:t xml:space="preserve">TRU4–TRU6</w:t>
            </w:r>
            <w:r>
              <w:t xml:space="preserve">).</w:t>
            </w:r>
          </w:p>
        </w:tc>
        <w:tc>
          <w:tcPr/>
          <w:p>
            <w:pPr>
              <w:pStyle w:val="Compact"/>
              <w:jc w:val="left"/>
            </w:pPr>
            <w:r>
              <w:t xml:space="preserve">Trust Theory (McKnight et al., 2002); empirical support: Bart et al. (2005)</w:t>
            </w:r>
          </w:p>
        </w:tc>
        <w:tc>
          <w:tcPr/>
          <w:p>
            <w:pPr>
              <w:pStyle w:val="Compact"/>
              <w:jc w:val="left"/>
            </w:pPr>
            <w:r>
              <w:t xml:space="preserve">Organism; central mediator (H4, H6a, E1). TRU → PI is a competing-model robustness check only.</w:t>
            </w:r>
          </w:p>
        </w:tc>
      </w:tr>
      <w:tr>
        <w:tc>
          <w:tcPr/>
          <w:p>
            <w:pPr>
              <w:pStyle w:val="Compact"/>
              <w:jc w:val="left"/>
            </w:pPr>
            <w:r>
              <w:rPr>
                <w:bCs/>
                <w:b/>
              </w:rPr>
              <w:t xml:space="preserve">ENG</w:t>
            </w:r>
          </w:p>
        </w:tc>
        <w:tc>
          <w:tcPr/>
          <w:p>
            <w:pPr>
              <w:pStyle w:val="Compact"/>
              <w:jc w:val="left"/>
            </w:pPr>
            <w:r>
              <w:t xml:space="preserve">Customer Engagement</w:t>
            </w:r>
          </w:p>
        </w:tc>
        <w:tc>
          <w:tcPr/>
          <w:p>
            <w:pPr>
              <w:pStyle w:val="Compact"/>
              <w:jc w:val="left"/>
            </w:pPr>
            <w:r>
              <w:t xml:space="preserve">Three first-order dimensions —</w:t>
            </w:r>
            <w:r>
              <w:t xml:space="preserve"> </w:t>
            </w:r>
            <w:r>
              <w:rPr>
                <w:bCs/>
                <w:b/>
              </w:rPr>
              <w:t xml:space="preserve">Cognitive Processing</w:t>
            </w:r>
            <w:r>
              <w:t xml:space="preserve"> </w:t>
            </w:r>
            <w:r>
              <w:t xml:space="preserve">(ENG1–ENG2),</w:t>
            </w:r>
            <w:r>
              <w:t xml:space="preserve"> </w:t>
            </w:r>
            <w:r>
              <w:rPr>
                <w:bCs/>
                <w:b/>
              </w:rPr>
              <w:t xml:space="preserve">Affection</w:t>
            </w:r>
            <w:r>
              <w:t xml:space="preserve"> </w:t>
            </w:r>
            <w:r>
              <w:t xml:space="preserve">(ENG3, ENG6),</w:t>
            </w:r>
            <w:r>
              <w:t xml:space="preserve"> </w:t>
            </w:r>
            <w:r>
              <w:rPr>
                <w:bCs/>
                <w:b/>
              </w:rPr>
              <w:t xml:space="preserve">Activation</w:t>
            </w:r>
            <w:r>
              <w:t xml:space="preserve"> </w:t>
            </w:r>
            <w:r>
              <w:t xml:space="preserve">(ENG4–ENG5) — modeled as indicators of one reflective composite (not a structural second-order construct; §A.4.1, Amendment A-12).</w:t>
            </w:r>
          </w:p>
        </w:tc>
        <w:tc>
          <w:tcPr/>
          <w:p>
            <w:pPr>
              <w:pStyle w:val="Compact"/>
              <w:jc w:val="left"/>
            </w:pPr>
            <w:r>
              <w:t xml:space="preserve">Hollebeek, Glynn, &amp; Brodie (2014) — CBE scale; conceptual grounding: Brodie et al. (2011) FP1/FP4</w:t>
            </w:r>
          </w:p>
        </w:tc>
        <w:tc>
          <w:tcPr/>
          <w:p>
            <w:pPr>
              <w:pStyle w:val="Compact"/>
              <w:jc w:val="left"/>
            </w:pPr>
            <w:r>
              <w:t xml:space="preserve">Response; focal outcome (H5, H6b, E1, E2)</w:t>
            </w:r>
          </w:p>
        </w:tc>
      </w:tr>
      <w:tr>
        <w:tc>
          <w:tcPr/>
          <w:p>
            <w:pPr>
              <w:pStyle w:val="Compact"/>
              <w:jc w:val="left"/>
            </w:pPr>
            <w:r>
              <w:rPr>
                <w:bCs/>
                <w:b/>
              </w:rPr>
              <w:t xml:space="preserve">PI</w:t>
            </w:r>
          </w:p>
        </w:tc>
        <w:tc>
          <w:tcPr/>
          <w:p>
            <w:pPr>
              <w:pStyle w:val="Compact"/>
              <w:jc w:val="left"/>
            </w:pPr>
            <w:r>
              <w:t xml:space="preserve">Purchase Intention</w:t>
            </w:r>
          </w:p>
        </w:tc>
        <w:tc>
          <w:tcPr/>
          <w:p>
            <w:pPr>
              <w:pStyle w:val="Compact"/>
              <w:jc w:val="left"/>
            </w:pPr>
            <w:r>
              <w:t xml:space="preserve">Intention to purchase via the AI-personalized omnichannel service (PI1–PI4).</w:t>
            </w:r>
          </w:p>
        </w:tc>
        <w:tc>
          <w:tcPr/>
          <w:p>
            <w:pPr>
              <w:pStyle w:val="Compact"/>
              <w:jc w:val="left"/>
            </w:pPr>
            <w:r>
              <w:t xml:space="preserve">Perceived transaction risk (Pavlou, 2003; Featherman &amp; Pavlou, 2003); willingness to transact under risk (McKnight et al., 2002)</w:t>
            </w:r>
          </w:p>
        </w:tc>
        <w:tc>
          <w:tcPr/>
          <w:p>
            <w:pPr>
              <w:pStyle w:val="Compact"/>
              <w:jc w:val="left"/>
            </w:pPr>
            <w:r>
              <w:t xml:space="preserve">Response; terminal outcome (H6c, E2)</w:t>
            </w:r>
          </w:p>
        </w:tc>
      </w:tr>
      <w:tr>
        <w:tc>
          <w:tcPr/>
          <w:p>
            <w:pPr>
              <w:pStyle w:val="Compact"/>
              <w:jc w:val="left"/>
            </w:pPr>
            <w:r>
              <w:rPr>
                <w:bCs/>
                <w:b/>
              </w:rPr>
              <w:t xml:space="preserve">PDPL</w:t>
            </w:r>
          </w:p>
        </w:tc>
        <w:tc>
          <w:tcPr/>
          <w:p>
            <w:pPr>
              <w:pStyle w:val="Compact"/>
              <w:jc w:val="left"/>
            </w:pPr>
            <w:r>
              <w:t xml:space="preserve">PDPL Awareness</w:t>
            </w:r>
          </w:p>
        </w:tc>
        <w:tc>
          <w:tcPr/>
          <w:p>
            <w:pPr>
              <w:pStyle w:val="Compact"/>
              <w:jc w:val="left"/>
            </w:pPr>
            <w:r>
              <w:t xml:space="preserve">Awareness of the existence, content, and protective force of PDP Law 2025 (Law 91/2025/QH15) (PDPL1–PDPL4).</w:t>
            </w:r>
          </w:p>
        </w:tc>
        <w:tc>
          <w:tcPr/>
          <w:p>
            <w:pPr>
              <w:pStyle w:val="Compact"/>
              <w:jc w:val="left"/>
            </w:pPr>
            <w:r>
              <w:t xml:space="preserve">Institution-based trust — structural assurance (McKnight et al., 2002); regulative pillar (Scott, 1995)</w:t>
            </w:r>
          </w:p>
        </w:tc>
        <w:tc>
          <w:tcPr/>
          <w:p>
            <w:pPr>
              <w:pStyle w:val="Compact"/>
              <w:jc w:val="left"/>
            </w:pPr>
            <w:r>
              <w:t xml:space="preserve">Moderator of INT → TRU in</w:t>
            </w:r>
            <w:r>
              <w:t xml:space="preserve"> </w:t>
            </w:r>
            <w:r>
              <w:rPr>
                <w:bCs/>
                <w:b/>
              </w:rPr>
              <w:t xml:space="preserve">H7a</w:t>
            </w:r>
            <w:r>
              <w:t xml:space="preserve"> </w:t>
            </w:r>
            <w:r>
              <w:t xml:space="preserve">(β_M1); de jure carrier</w:t>
            </w:r>
          </w:p>
        </w:tc>
      </w:tr>
      <w:tr>
        <w:tc>
          <w:tcPr/>
          <w:p>
            <w:pPr>
              <w:pStyle w:val="Compact"/>
              <w:jc w:val="left"/>
            </w:pPr>
            <w:r>
              <w:rPr>
                <w:bCs/>
                <w:b/>
              </w:rPr>
              <w:t xml:space="preserve">DISC</w:t>
            </w:r>
          </w:p>
        </w:tc>
        <w:tc>
          <w:tcPr/>
          <w:p>
            <w:pPr>
              <w:pStyle w:val="Compact"/>
              <w:jc w:val="left"/>
            </w:pPr>
            <w:r>
              <w:t xml:space="preserve">Disclosure Level</w:t>
            </w:r>
          </w:p>
        </w:tc>
        <w:tc>
          <w:tcPr/>
          <w:p>
            <w:pPr>
              <w:pStyle w:val="Compact"/>
              <w:jc w:val="left"/>
            </w:pPr>
            <w:r>
              <w:t xml:space="preserve">Presence vs. absence of explicit data-practice disclosure in the personalization interface.</w:t>
            </w:r>
          </w:p>
        </w:tc>
        <w:tc>
          <w:tcPr/>
          <w:p>
            <w:pPr>
              <w:pStyle w:val="Compact"/>
              <w:jc w:val="left"/>
            </w:pPr>
            <w:r>
              <w:t xml:space="preserve">Transparency/disclosure literature; PDP Law 2025 Arts. 28(8), 29</w:t>
            </w:r>
          </w:p>
        </w:tc>
        <w:tc>
          <w:tcPr/>
          <w:p>
            <w:pPr>
              <w:pStyle w:val="Compact"/>
              <w:jc w:val="left"/>
            </w:pPr>
            <w:r>
              <w:t xml:space="preserve">Manipulated factor, dummy 0/1 —</w:t>
            </w:r>
            <w:r>
              <w:t xml:space="preserve"> </w:t>
            </w:r>
            <w:r>
              <w:rPr>
                <w:bCs/>
                <w:b/>
              </w:rPr>
              <w:t xml:space="preserve">never a Likert construct</w:t>
            </w:r>
            <w:r>
              <w:t xml:space="preserve"> </w:t>
            </w:r>
            <w:r>
              <w:t xml:space="preserve">and never in the measurement model. Predictor in H3 (ANOVA test); moderator of INT → TRU in</w:t>
            </w:r>
            <w:r>
              <w:t xml:space="preserve"> </w:t>
            </w:r>
            <w:r>
              <w:rPr>
                <w:bCs/>
                <w:b/>
              </w:rPr>
              <w:t xml:space="preserve">H7b</w:t>
            </w:r>
            <w:r>
              <w:t xml:space="preserve"> </w:t>
            </w:r>
            <w:r>
              <w:t xml:space="preserve">(β_M2); de facto carrier</w:t>
            </w:r>
          </w:p>
        </w:tc>
      </w:tr>
    </w:tbl>
    <w:p>
      <w:pPr>
        <w:pStyle w:val="BodyText"/>
      </w:pPr>
      <w:r>
        <w:t xml:space="preserve">Table 1. Construct-to-theory map. Labels are locked; downstream deliverables must reproduce them verbatim.</w:t>
      </w:r>
    </w:p>
    <w:p>
      <w:pPr>
        <w:pStyle w:val="BodyText"/>
      </w:pPr>
      <w:r>
        <w:rPr>
          <w:iCs/>
          <w:i/>
        </w:rPr>
        <w:t xml:space="preserve">Naming-consistency guardrail.</w:t>
      </w:r>
      <w:r>
        <w:t xml:space="preserve"> </w:t>
      </w:r>
      <w:r>
        <w:t xml:space="preserve">“</w:t>
      </w:r>
      <w:r>
        <w:t xml:space="preserve">PDPL Awareness</w:t>
      </w:r>
      <w:r>
        <w:t xml:space="preserve">”</w:t>
      </w:r>
      <w:r>
        <w:t xml:space="preserve"> </w:t>
      </w:r>
      <w:r>
        <w:t xml:space="preserve">replaces</w:t>
      </w:r>
      <w:r>
        <w:t xml:space="preserve"> </w:t>
      </w:r>
      <w:r>
        <w:t xml:space="preserve">“</w:t>
      </w:r>
      <w:r>
        <w:t xml:space="preserve">PDPD Awareness</w:t>
      </w:r>
      <w:r>
        <w:t xml:space="preserve">”</w:t>
      </w:r>
      <w:r>
        <w:t xml:space="preserve"> </w:t>
      </w:r>
      <w:r>
        <w:t xml:space="preserve">in all documents going forward;</w:t>
      </w:r>
      <w:r>
        <w:t xml:space="preserve"> </w:t>
      </w:r>
      <w:r>
        <w:t xml:space="preserve">“</w:t>
      </w:r>
      <w:r>
        <w:t xml:space="preserve">Disclosure Level</w:t>
      </w:r>
      <w:r>
        <w:t xml:space="preserve">”</w:t>
      </w:r>
      <w:r>
        <w:t xml:space="preserve"> </w:t>
      </w:r>
      <w:r>
        <w:t xml:space="preserve">replaces any residual use of</w:t>
      </w:r>
      <w:r>
        <w:t xml:space="preserve"> </w:t>
      </w:r>
      <w:r>
        <w:t xml:space="preserve">“</w:t>
      </w:r>
      <w:r>
        <w:t xml:space="preserve">Data Collection Depth</w:t>
      </w:r>
      <w:r>
        <w:t xml:space="preserve">”</w:t>
      </w:r>
      <w:r>
        <w:t xml:space="preserve">. A one-time find-and-replace pass over existing deliverables — including the project brief and the literature-review spreadsheet’s Takeaway column — is required before main collection opens.</w:t>
      </w:r>
    </w:p>
    <w:bookmarkEnd w:id="43"/>
    <w:bookmarkStart w:id="44" w:name="X8a00222154c14dd0cb6423a4efe82986f546502"/>
    <w:p>
      <w:pPr>
        <w:pStyle w:val="Heading2"/>
      </w:pPr>
      <w:r>
        <w:t xml:space="preserve">A.7 Positioning Within the Reviewed Literature (52 Catalogued Entries)</w:t>
      </w:r>
    </w:p>
    <w:p>
      <w:pPr>
        <w:pStyle w:val="FirstParagraph"/>
      </w:pPr>
      <w:r>
        <w:t xml:space="preserve">The literature review spreadsheet catalogues 52 entries across six clusters:</w:t>
      </w:r>
      <w:r>
        <w:t xml:space="preserve"> </w:t>
      </w:r>
      <w:r>
        <w:rPr>
          <w:bCs/>
          <w:b/>
        </w:rPr>
        <w:t xml:space="preserve">Topic #1</w:t>
      </w:r>
      <w:r>
        <w:t xml:space="preserve"> </w:t>
      </w:r>
      <w:r>
        <w:t xml:space="preserve">— AI-driven personalization, the personalization–privacy paradox, and consumer response (34 papers);</w:t>
      </w:r>
      <w:r>
        <w:t xml:space="preserve"> </w:t>
      </w:r>
      <w:r>
        <w:rPr>
          <w:bCs/>
          <w:b/>
        </w:rPr>
        <w:t xml:space="preserve">Topic #2</w:t>
      </w:r>
      <w:r>
        <w:t xml:space="preserve"> </w:t>
      </w:r>
      <w:r>
        <w:t xml:space="preserve">— omnichannel trust and channel integration (5);</w:t>
      </w:r>
      <w:r>
        <w:t xml:space="preserve"> </w:t>
      </w:r>
      <w:r>
        <w:rPr>
          <w:bCs/>
          <w:b/>
        </w:rPr>
        <w:t xml:space="preserve">Topic #3</w:t>
      </w:r>
      <w:r>
        <w:t xml:space="preserve"> </w:t>
      </w:r>
      <w:r>
        <w:t xml:space="preserve">— data-protection regulation and governance (5);</w:t>
      </w:r>
      <w:r>
        <w:t xml:space="preserve"> </w:t>
      </w:r>
      <w:r>
        <w:rPr>
          <w:bCs/>
          <w:b/>
        </w:rPr>
        <w:t xml:space="preserve">Topic 0</w:t>
      </w:r>
      <w:r>
        <w:t xml:space="preserve"> </w:t>
      </w:r>
      <w:r>
        <w:t xml:space="preserve">— foundational theory primers (Privacy Calculus, TRA) (3);</w:t>
      </w:r>
      <w:r>
        <w:t xml:space="preserve"> </w:t>
      </w:r>
      <w:r>
        <w:rPr>
          <w:bCs/>
          <w:b/>
        </w:rPr>
        <w:t xml:space="preserve">DSR Methodology</w:t>
      </w:r>
      <w:r>
        <w:t xml:space="preserve"> </w:t>
      </w:r>
      <w:r>
        <w:t xml:space="preserve">(2, anchored in Hevner et al., 2004 and the design-science paradigm); and</w:t>
      </w:r>
      <w:r>
        <w:t xml:space="preserve"> </w:t>
      </w:r>
      <w:r>
        <w:rPr>
          <w:bCs/>
          <w:b/>
        </w:rPr>
        <w:t xml:space="preserve">SDG 12 / green recommender systems and Vietnamese green consumption</w:t>
      </w:r>
      <w:r>
        <w:t xml:space="preserve"> </w:t>
      </w:r>
      <w:r>
        <w:t xml:space="preserve">(3). Theoretical coverage across the corpus is dominated by Privacy Calculus, SOR, Social Exchange Theory, TAM/TPB, ELM, and assorted trust models (trust transfer, layered trust, mind perception).</w:t>
      </w:r>
    </w:p>
    <w:p>
      <w:pPr>
        <w:pStyle w:val="BodyText"/>
      </w:pPr>
      <w:r>
        <w:t xml:space="preserve">Three observations position the present study.</w:t>
      </w:r>
      <w:r>
        <w:t xml:space="preserve"> </w:t>
      </w:r>
      <w:r>
        <w:rPr>
          <w:bCs/>
          <w:b/>
        </w:rPr>
        <w:t xml:space="preserve">First</w:t>
      </w:r>
      <w: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w:t>
      </w:r>
      <w:r>
        <w:t xml:space="preserve"> </w:t>
      </w:r>
      <w:r>
        <w:rPr>
          <w:bCs/>
          <w:b/>
        </w:rPr>
        <w:t xml:space="preserve">Second</w:t>
      </w:r>
      <w:r>
        <w:t xml:space="preserve">, the closest construct-level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w:t>
      </w:r>
      <w:r>
        <w:t xml:space="preserve"> </w:t>
      </w:r>
      <w:r>
        <w:rPr>
          <w:bCs/>
          <w:b/>
        </w:rPr>
        <w:t xml:space="preserve">Third</w:t>
      </w:r>
      <w:r>
        <w:t>,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 [A-21 UPDATE, 20 Sep 2026: this novelty-gap claim rests on the same unverified “Aydin (2026)” description flagged in §A.1 — the one Aydin (2026) paper the team has verified in full (Sustainability, 18, 1073) does not model a relevance/intrusiveness→trust mechanism (its constructs are relevance/specificity→privacy concerns→well-being, with trust as a moderator of the concerns→well-being link, not an outcome of relevance/intrusiveness). This paragraph's H7a novelty-gap argument should be re-verified against the actually-intended source before the manuscript's positioning section is finalized. See the Version 2.12→Version 2.13 changelog entry, item (v).]</w:t>
      </w:r>
    </w:p>
    <w:bookmarkEnd w:id="44"/>
    <w:bookmarkEnd w:id="45"/>
    <w:bookmarkStart w:id="56" w:name="part-b.-regulatory-comparison"/>
    <w:p>
      <w:pPr>
        <w:pStyle w:val="Heading1"/>
      </w:pPr>
      <w:r>
        <w:t xml:space="preserve">Part B. Regulatory Comparison</w:t>
      </w:r>
    </w:p>
    <w:p>
      <w:pPr>
        <w:pStyle w:val="FirstParagraph"/>
      </w:pPr>
      <w:r>
        <w:rPr>
          <w:iCs/>
          <w:i/>
        </w:rPr>
        <w:t xml:space="preserve">Version note.</w:t>
      </w:r>
      <w:r>
        <w:t xml:space="preserve"> </w:t>
      </w:r>
      <w:r>
        <w:t xml:space="preserve">Part B is carried over from Version 1.0 without substantive change, except in §B.6 where the third novelty statement is affected by Amendment A-8 (see OD-9). Article-level citations to Law 91/2025/QH15 have been verified against the full statute text (Amendment A-11, §C.6, OD-4 closed 26 August 2026).</w:t>
      </w:r>
    </w:p>
    <w:p>
      <w:pPr>
        <w:pStyle w:val="BodyText"/>
      </w:pPr>
      <w:r>
        <w:t xml:space="preserve">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bookmarkStart w:id="46" w:name="b.1-nature-and-scope-of-the-instruments"/>
    <w:p>
      <w:pPr>
        <w:pStyle w:val="Heading2"/>
      </w:pPr>
      <w:r>
        <w:t xml:space="preserve">B.1 Nature and Scope of the Instruments</w:t>
      </w:r>
    </w:p>
    <w:tbl>
      <w:tblPr>
        <w:tblStyle w:val="Table"/>
        <w:tblW w:type="pct" w:w="4967"/>
        <w:tblLook w:firstRow="1" w:lastRow="0" w:firstColumn="0" w:lastColumn="0" w:noHBand="0" w:noVBand="0" w:val="0020"/>
        <w:jc w:val="start"/>
      </w:tblPr>
      <w:tblGrid>
        <w:gridCol w:w="750"/>
        <w:gridCol w:w="1889"/>
        <w:gridCol w:w="3416"/>
        <w:gridCol w:w="905"/>
        <w:gridCol w:w="905"/>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 (Law 91/2025/QH15)</w:t>
            </w:r>
          </w:p>
        </w:tc>
        <w:tc>
          <w:tcPr/>
          <w:p>
            <w:pPr>
              <w:pStyle w:val="Compact"/>
              <w:jc w:val="left"/>
            </w:pPr>
            <w:r>
              <w:rPr>
                <w:bCs/>
                <w:b/>
              </w:rPr>
              <w:t xml:space="preserve">SDG 16</w:t>
            </w:r>
          </w:p>
        </w:tc>
        <w:tc>
          <w:tcPr/>
          <w:p>
            <w:pPr>
              <w:pStyle w:val="Compact"/>
              <w:jc w:val="left"/>
            </w:pPr>
            <w:r>
              <w:rPr>
                <w:bCs/>
                <w:b/>
              </w:rPr>
              <w:t xml:space="preserve">ESG (GRI 418 + OECD)</w:t>
            </w:r>
          </w:p>
        </w:tc>
      </w:tr>
      <w:tr>
        <w:tc>
          <w:tcPr/>
          <w:p>
            <w:pPr>
              <w:pStyle w:val="Compact"/>
              <w:jc w:val="left"/>
            </w:pPr>
            <w:r>
              <w:rPr>
                <w:bCs/>
                <w:b/>
              </w:rPr>
              <w:t xml:space="preserve">Instrument type</w:t>
            </w:r>
          </w:p>
        </w:tc>
        <w:tc>
          <w:tcPr/>
          <w:p>
            <w:pPr>
              <w:pStyle w:val="Compact"/>
              <w:jc w:val="left"/>
            </w:pPr>
            <w:r>
              <w:t xml:space="preserve">Regulation (EU) 2016/679 — directly binding hard law.</w:t>
            </w:r>
          </w:p>
        </w:tc>
        <w:tc>
          <w:tcPr/>
          <w:p>
            <w:pPr>
              <w:pStyle w:val="Compact"/>
              <w:jc w:val="left"/>
            </w:pPr>
            <w:r>
              <w:t xml:space="preserve">Statute enacted by the National Assembly — Art. 1; 5 chapters, 39 articles; hard law.</w:t>
            </w:r>
          </w:p>
        </w:tc>
        <w:tc>
          <w:tcPr/>
          <w:p>
            <w:pPr>
              <w:pStyle w:val="Compact"/>
              <w:jc w:val="left"/>
            </w:pPr>
            <w:r>
              <w:t xml:space="preserve">Soft law / norm (UN, 2015).</w:t>
            </w:r>
          </w:p>
        </w:tc>
        <w:tc>
          <w:tcPr/>
          <w:p>
            <w:pPr>
              <w:pStyle w:val="Compact"/>
              <w:jc w:val="left"/>
            </w:pPr>
            <w:r>
              <w:t xml:space="preserve">Voluntary reporting standard.</w:t>
            </w:r>
          </w:p>
        </w:tc>
      </w:tr>
      <w:tr>
        <w:tc>
          <w:tcPr/>
          <w:p>
            <w:pPr>
              <w:pStyle w:val="Compact"/>
              <w:jc w:val="left"/>
            </w:pPr>
            <w:r>
              <w:rPr>
                <w:bCs/>
                <w:b/>
              </w:rPr>
              <w:t xml:space="preserve">Enforcement body</w:t>
            </w:r>
          </w:p>
        </w:tc>
        <w:tc>
          <w:tcPr/>
          <w:p>
            <w:pPr>
              <w:pStyle w:val="Compact"/>
              <w:jc w:val="left"/>
            </w:pPr>
            <w:r>
              <w:t xml:space="preserve">EDPB plus an independent DPA in each member state (Art. 51).</w:t>
            </w:r>
          </w:p>
        </w:tc>
        <w:tc>
          <w:tcPr/>
          <w:p>
            <w:pPr>
              <w:pStyle w:val="Compact"/>
              <w:jc w:val="left"/>
            </w:pPr>
            <w:r>
              <w:t xml:space="preserve">Arts. 33, 36: Ministry of Public Security is the focal authority — no independent DPA.</w:t>
            </w:r>
          </w:p>
        </w:tc>
        <w:tc>
          <w:tcPr/>
          <w:p>
            <w:pPr>
              <w:pStyle w:val="Compact"/>
              <w:jc w:val="left"/>
            </w:pPr>
            <w:r>
              <w:t xml:space="preserve">None (national indicators only).</w:t>
            </w:r>
          </w:p>
        </w:tc>
        <w:tc>
          <w:tcPr/>
          <w:p>
            <w:pPr>
              <w:pStyle w:val="Compact"/>
              <w:jc w:val="left"/>
            </w:pPr>
            <w:r>
              <w:t xml:space="preserve">None; affects ESG ratings only.</w:t>
            </w:r>
          </w:p>
        </w:tc>
      </w:tr>
      <w:tr>
        <w:tc>
          <w:tcPr/>
          <w:p>
            <w:pPr>
              <w:pStyle w:val="Compact"/>
              <w:jc w:val="left"/>
            </w:pPr>
            <w:r>
              <w:rPr>
                <w:bCs/>
                <w:b/>
              </w:rPr>
              <w:t xml:space="preserve">Extraterritorial scope</w:t>
            </w:r>
          </w:p>
        </w:tc>
        <w:tc>
          <w:tcPr/>
          <w:p>
            <w:pPr>
              <w:pStyle w:val="Compact"/>
              <w:jc w:val="left"/>
            </w:pPr>
            <w:r>
              <w:t xml:space="preserve">Art. 3: applies to non-EU organizations processing EU residents’ data.</w:t>
            </w:r>
          </w:p>
        </w:tc>
        <w:tc>
          <w:tcPr/>
          <w:p>
            <w:pPr>
              <w:pStyle w:val="Compact"/>
              <w:jc w:val="left"/>
            </w:pPr>
            <w:r>
              <w:t xml:space="preserve">Art. 1(2)(c): applies to foreign organizations</w:t>
            </w:r>
            <w:r>
              <w:t xml:space="preserve"> </w:t>
            </w:r>
            <w:r>
              <w:t xml:space="preserve">“</w:t>
            </w:r>
            <w:r>
              <w:t xml:space="preserve">directly participating in or related to</w:t>
            </w:r>
            <w:r>
              <w:t xml:space="preserve">”</w:t>
            </w:r>
            <w:r>
              <w:t xml:space="preserve"> </w:t>
            </w:r>
            <w:r>
              <w:t xml:space="preserve">processing of Vietnamese citizens’ data.</w:t>
            </w:r>
          </w:p>
        </w:tc>
        <w:tc>
          <w:tcPr/>
          <w:p>
            <w:pPr>
              <w:pStyle w:val="Compact"/>
              <w:jc w:val="left"/>
            </w:pPr>
            <w:r>
              <w:t xml:space="preserve">Not applicable.</w:t>
            </w:r>
          </w:p>
        </w:tc>
        <w:tc>
          <w:tcPr/>
          <w:p>
            <w:pPr>
              <w:pStyle w:val="Compact"/>
              <w:jc w:val="left"/>
            </w:pPr>
            <w:r>
              <w:t xml:space="preserve">Not applicable.</w:t>
            </w:r>
          </w:p>
        </w:tc>
      </w:tr>
    </w:tbl>
    <w:p>
      <w:pPr>
        <w:pStyle w:val="BodyText"/>
      </w:pPr>
      <w:r>
        <w:t xml:space="preserve">Table 2a. Instrument type, enforcement architecture, and territorial reach.</w:t>
      </w:r>
    </w:p>
    <w:bookmarkEnd w:id="46"/>
    <w:bookmarkStart w:id="47" w:name="b.2-consent-requirements"/>
    <w:p>
      <w:pPr>
        <w:pStyle w:val="Heading2"/>
      </w:pPr>
      <w:r>
        <w:t xml:space="preserve">B.2 Consent Requirements</w:t>
      </w:r>
    </w:p>
    <w:tbl>
      <w:tblPr>
        <w:tblStyle w:val="Table"/>
        <w:tblW w:type="pct" w:w="4974"/>
        <w:tblLook w:firstRow="1" w:lastRow="0" w:firstColumn="0" w:lastColumn="0" w:noHBand="0" w:noVBand="0" w:val="0020"/>
        <w:jc w:val="start"/>
      </w:tblPr>
      <w:tblGrid>
        <w:gridCol w:w="521"/>
        <w:gridCol w:w="2271"/>
        <w:gridCol w:w="5085"/>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Consent standard</w:t>
            </w:r>
          </w:p>
        </w:tc>
        <w:tc>
          <w:tcPr/>
          <w:p>
            <w:pPr>
              <w:pStyle w:val="Compact"/>
              <w:jc w:val="left"/>
            </w:pPr>
            <w:r>
              <w:t xml:space="preserve">Art. 4(11): freely given, specific, informed, unambiguous; pre-ticked boxes invalid (CJEU Planet49, 2019).</w:t>
            </w:r>
          </w:p>
        </w:tc>
        <w:tc>
          <w:tcPr/>
          <w:p>
            <w:pPr>
              <w:pStyle w:val="Compact"/>
              <w:jc w:val="left"/>
            </w:pPr>
            <w:r>
              <w:t xml:space="preserve">Art. 9(2)–(3): voluntary; data subject must know data types, purposes, controller, rights/obligations; expressed in a clear, reproducible, verifiable format (incl. electronic). Art. 9(4)(d): silence or non-response is expressly not consent.</w:t>
            </w:r>
          </w:p>
        </w:tc>
      </w:tr>
      <w:tr>
        <w:tc>
          <w:tcPr/>
          <w:p>
            <w:pPr>
              <w:pStyle w:val="Compact"/>
              <w:jc w:val="left"/>
            </w:pPr>
            <w:r>
              <w:rPr>
                <w:bCs/>
                <w:b/>
              </w:rPr>
              <w:t xml:space="preserve">Granularity</w:t>
            </w:r>
          </w:p>
        </w:tc>
        <w:tc>
          <w:tcPr/>
          <w:p>
            <w:pPr>
              <w:pStyle w:val="Compact"/>
              <w:jc w:val="left"/>
            </w:pPr>
            <w:r>
              <w:t xml:space="preserve">Per purpose; bundling not permitted.</w:t>
            </w:r>
          </w:p>
        </w:tc>
        <w:tc>
          <w:tcPr/>
          <w:p>
            <w:pPr>
              <w:pStyle w:val="Compact"/>
              <w:jc w:val="left"/>
            </w:pPr>
            <w:r>
              <w:t xml:space="preserve">Art. 9(4)(a)–(b): consent per individual purpose; may not be conditioned on consenting to other purposes (anti-bundling).</w:t>
            </w:r>
          </w:p>
        </w:tc>
      </w:tr>
      <w:tr>
        <w:tc>
          <w:tcPr/>
          <w:p>
            <w:pPr>
              <w:pStyle w:val="Compact"/>
              <w:jc w:val="left"/>
            </w:pPr>
            <w:r>
              <w:rPr>
                <w:bCs/>
                <w:b/>
              </w:rPr>
              <w:t xml:space="preserve">Withdrawal</w:t>
            </w:r>
          </w:p>
        </w:tc>
        <w:tc>
          <w:tcPr/>
          <w:p>
            <w:pPr>
              <w:pStyle w:val="Compact"/>
              <w:jc w:val="left"/>
            </w:pPr>
            <w:r>
              <w:t xml:space="preserve">Art. 7(3): withdrawal as easy as giving consent — unconditional.</w:t>
            </w:r>
          </w:p>
        </w:tc>
        <w:tc>
          <w:tcPr/>
          <w:p>
            <w:pPr>
              <w:pStyle w:val="Compact"/>
              <w:jc w:val="left"/>
            </w:pPr>
            <w:r>
              <w:t xml:space="preserve">Art. 10: withdrawal permitted at any time when the subject has grounds to doubt scope, purpose, or accuracy — i.e., conditioned; written/verifiable form required (Art. 10(2)).</w:t>
            </w:r>
          </w:p>
        </w:tc>
      </w:tr>
      <w:tr>
        <w:tc>
          <w:tcPr/>
          <w:p>
            <w:pPr>
              <w:pStyle w:val="Compact"/>
              <w:jc w:val="left"/>
            </w:pPr>
            <w:r>
              <w:rPr>
                <w:bCs/>
                <w:b/>
              </w:rPr>
              <w:t xml:space="preserve">Consent exemptions</w:t>
            </w:r>
          </w:p>
        </w:tc>
        <w:tc>
          <w:tcPr/>
          <w:p>
            <w:pPr>
              <w:pStyle w:val="Compact"/>
              <w:jc w:val="left"/>
            </w:pPr>
            <w:r>
              <w:t xml:space="preserve">Art. 6: legitimate interest, contract performance, etc.</w:t>
            </w:r>
          </w:p>
        </w:tc>
        <w:tc>
          <w:tcPr/>
          <w:p>
            <w:pPr>
              <w:pStyle w:val="Compact"/>
              <w:jc w:val="left"/>
            </w:pPr>
            <w:r>
              <w:t xml:space="preserve">Art. 19(1)(a)–(d): protection of life/health in emergencies, national security, state-agency operations, performance of agreements.</w:t>
            </w:r>
          </w:p>
        </w:tc>
      </w:tr>
      <w:tr>
        <w:tc>
          <w:tcPr/>
          <w:p>
            <w:pPr>
              <w:pStyle w:val="Compact"/>
              <w:jc w:val="left"/>
            </w:pPr>
            <w:r>
              <w:rPr>
                <w:bCs/>
                <w:b/>
              </w:rPr>
              <w:t xml:space="preserve">Sensitive data</w:t>
            </w:r>
          </w:p>
        </w:tc>
        <w:tc>
          <w:tcPr/>
          <w:p>
            <w:pPr>
              <w:pStyle w:val="Compact"/>
              <w:jc w:val="left"/>
            </w:pPr>
            <w:r>
              <w:t xml:space="preserve">Art. 9: explicit consent required for special-category data (health, religion, biometrics…).</w:t>
            </w:r>
          </w:p>
        </w:tc>
        <w:tc>
          <w:tcPr/>
          <w:p>
            <w:pPr>
              <w:pStyle w:val="Compact"/>
              <w:jc w:val="left"/>
            </w:pPr>
            <w:r>
              <w:t xml:space="preserve">Separate consent required for medical/health data; credit data may not be used for scoring without consent.</w:t>
            </w:r>
          </w:p>
        </w:tc>
      </w:tr>
    </w:tbl>
    <w:p>
      <w:pPr>
        <w:pStyle w:val="BodyText"/>
      </w:pPr>
      <w:r>
        <w:t xml:space="preserve">Table 2b. Consent standards, granularity, and withdrawal.</w:t>
      </w:r>
    </w:p>
    <w:bookmarkEnd w:id="47"/>
    <w:bookmarkStart w:id="48" w:name="X86681b71c82f86e2311ca3c47551a21b66657bd"/>
    <w:p>
      <w:pPr>
        <w:pStyle w:val="Heading2"/>
      </w:pPr>
      <w:r>
        <w:t xml:space="preserve">B.3 Disclosure and Transparency Obligations</w:t>
      </w:r>
    </w:p>
    <w:tbl>
      <w:tblPr>
        <w:tblStyle w:val="Table"/>
        <w:tblW w:type="pct" w:w="4979"/>
        <w:tblLook w:firstRow="1" w:lastRow="0" w:firstColumn="0" w:lastColumn="0" w:noHBand="0" w:noVBand="0" w:val="0020"/>
        <w:jc w:val="start"/>
      </w:tblPr>
      <w:tblGrid>
        <w:gridCol w:w="746"/>
        <w:gridCol w:w="2543"/>
        <w:gridCol w:w="4595"/>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Disclosure at collection</w:t>
            </w:r>
          </w:p>
        </w:tc>
        <w:tc>
          <w:tcPr/>
          <w:p>
            <w:pPr>
              <w:pStyle w:val="Compact"/>
              <w:jc w:val="left"/>
            </w:pPr>
            <w:r>
              <w:t xml:space="preserve">Arts. 13–14: mandatory disclosure of controller identity, purposes, legal basis, retention, recipients (within one month for indirect collection).</w:t>
            </w:r>
          </w:p>
        </w:tc>
        <w:tc>
          <w:tcPr/>
          <w:p>
            <w:pPr>
              <w:pStyle w:val="Compact"/>
              <w:jc w:val="left"/>
            </w:pPr>
            <w:r>
              <w:t xml:space="preserve">Transparency principle (Art. 3(2)): collection/processing must be within scope and for specific, clear purposes — principle-level rather than itemized.</w:t>
            </w:r>
          </w:p>
        </w:tc>
      </w:tr>
      <w:tr>
        <w:tc>
          <w:tcPr/>
          <w:p>
            <w:pPr>
              <w:pStyle w:val="Compact"/>
              <w:jc w:val="left"/>
            </w:pPr>
            <w:r>
              <w:rPr>
                <w:bCs/>
                <w:b/>
              </w:rPr>
              <w:t xml:space="preserve">Behavioral / personalized advertising</w:t>
            </w:r>
          </w:p>
        </w:tc>
        <w:tc>
          <w:tcPr/>
          <w:p>
            <w:pPr>
              <w:pStyle w:val="Compact"/>
              <w:jc w:val="left"/>
            </w:pPr>
            <w:r>
              <w:t xml:space="preserve">No dedicated provision in the original GDPR.</w:t>
            </w:r>
          </w:p>
        </w:tc>
        <w:tc>
          <w:tcPr/>
          <w:p>
            <w:pPr>
              <w:pStyle w:val="Compact"/>
              <w:jc w:val="left"/>
            </w:pPr>
            <w:r>
              <w:t xml:space="preserve">Art. 28(8): dedicated rules for behavioral/targeted/personalized advertising — (a) tracking-based collection only with consent; (b) opt-out of data sharing, defined retention, deletion when no longer necessary. Art. 28(5): right to demand cessation of ads (opt-out).</w:t>
            </w:r>
          </w:p>
        </w:tc>
      </w:tr>
      <w:tr>
        <w:tc>
          <w:tcPr/>
          <w:p>
            <w:pPr>
              <w:pStyle w:val="Compact"/>
              <w:jc w:val="left"/>
            </w:pPr>
            <w:r>
              <w:rPr>
                <w:bCs/>
                <w:b/>
              </w:rPr>
              <w:t xml:space="preserve">AI / Big Data systems</w:t>
            </w:r>
          </w:p>
        </w:tc>
        <w:tc>
          <w:tcPr/>
          <w:p>
            <w:pPr>
              <w:pStyle w:val="Compact"/>
              <w:jc w:val="left"/>
            </w:pPr>
            <w:r>
              <w:t xml:space="preserve">Not in the original GDPR (added later via the EU AI Act 2024).</w:t>
            </w:r>
          </w:p>
        </w:tc>
        <w:tc>
          <w:tcPr/>
          <w:p>
            <w:pPr>
              <w:pStyle w:val="Compact"/>
              <w:jc w:val="left"/>
            </w:pPr>
            <w:r>
              <w:t xml:space="preserve">Art. 30 — a dedicated in-statute provision: processing within purpose and necessity limits, consistent with</w:t>
            </w:r>
            <w:r>
              <w:t xml:space="preserve"> </w:t>
            </w:r>
            <w:r>
              <w:t xml:space="preserve">“</w:t>
            </w:r>
            <w:r>
              <w:t xml:space="preserve">ethical standards and fine customs</w:t>
            </w:r>
            <w:r>
              <w:t xml:space="preserve">”</w:t>
            </w:r>
            <w:r>
              <w:t xml:space="preserve">; Art. 30(4): risk-based classification of AI processing.</w:t>
            </w:r>
          </w:p>
        </w:tc>
      </w:tr>
      <w:tr>
        <w:tc>
          <w:tcPr/>
          <w:p>
            <w:pPr>
              <w:pStyle w:val="Compact"/>
              <w:jc w:val="left"/>
            </w:pPr>
            <w:r>
              <w:rPr>
                <w:bCs/>
                <w:b/>
              </w:rPr>
              <w:t xml:space="preserve">Right to explanation</w:t>
            </w:r>
          </w:p>
        </w:tc>
        <w:tc>
          <w:tcPr/>
          <w:p>
            <w:pPr>
              <w:pStyle w:val="Compact"/>
              <w:jc w:val="left"/>
            </w:pPr>
            <w:r>
              <w:t xml:space="preserve">Arts. 13(2)(f) &amp; 22:</w:t>
            </w:r>
            <w:r>
              <w:t xml:space="preserve"> </w:t>
            </w:r>
            <w:r>
              <w:t xml:space="preserve">“</w:t>
            </w:r>
            <w:r>
              <w:t xml:space="preserve">meaningful information about the logic involved</w:t>
            </w:r>
            <w:r>
              <w:t xml:space="preserve">”</w:t>
            </w:r>
            <w:r>
              <w:t xml:space="preserve"> </w:t>
            </w:r>
            <w:r>
              <w:t xml:space="preserve">+ right to object to solely automated decisions.</w:t>
            </w:r>
          </w:p>
        </w:tc>
        <w:tc>
          <w:tcPr/>
          <w:p>
            <w:pPr>
              <w:pStyle w:val="Compact"/>
              <w:jc w:val="left"/>
            </w:pPr>
            <w:r>
              <w:t xml:space="preserve">Absent — Art. 30 requires only risk classification and ethical compliance; no obligation to explain personalization logic to individual data subjects.</w:t>
            </w:r>
          </w:p>
        </w:tc>
      </w:tr>
      <w:tr>
        <w:tc>
          <w:tcPr/>
          <w:p>
            <w:pPr>
              <w:pStyle w:val="Compact"/>
              <w:jc w:val="left"/>
            </w:pPr>
            <w:r>
              <w:rPr>
                <w:bCs/>
                <w:b/>
              </w:rPr>
              <w:t xml:space="preserve">Platform transparency</w:t>
            </w:r>
          </w:p>
        </w:tc>
        <w:tc>
          <w:tcPr/>
          <w:p>
            <w:pPr>
              <w:pStyle w:val="Compact"/>
              <w:jc w:val="left"/>
            </w:pPr>
            <w:r>
              <w:t xml:space="preserve">No dedicated provision.</w:t>
            </w:r>
          </w:p>
        </w:tc>
        <w:tc>
          <w:tcPr/>
          <w:p>
            <w:pPr>
              <w:pStyle w:val="Compact"/>
              <w:jc w:val="left"/>
            </w:pPr>
            <w:r>
              <w:t xml:space="preserve">Art. 29: social networks/online media must publish privacy policies, offer cookie refusal and a</w:t>
            </w:r>
            <w:r>
              <w:t xml:space="preserve"> </w:t>
            </w:r>
            <w:r>
              <w:t xml:space="preserve">“</w:t>
            </w:r>
            <w:r>
              <w:t xml:space="preserve">do-not-track</w:t>
            </w:r>
            <w:r>
              <w:t xml:space="preserve">”</w:t>
            </w:r>
            <w:r>
              <w:t xml:space="preserve"> </w:t>
            </w:r>
            <w:r>
              <w:t xml:space="preserve">option.</w:t>
            </w:r>
          </w:p>
        </w:tc>
      </w:tr>
    </w:tbl>
    <w:p>
      <w:pPr>
        <w:pStyle w:val="BodyText"/>
      </w:pPr>
      <w:r>
        <w:t xml:space="preserve">Table 2c. Disclosure, algorithmic transparency, and platform duties.</w:t>
      </w:r>
    </w:p>
    <w:p>
      <w:pPr>
        <w:pStyle w:val="BodyText"/>
      </w:pPr>
      <w:r>
        <w:rPr>
          <w:iCs/>
          <w:i/>
        </w:rPr>
        <w:t xml:space="preserve">Design linkage.</w:t>
      </w:r>
      <w:r>
        <w:t xml:space="preserve"> </w:t>
      </w:r>
      <w:r>
        <w:t xml:space="preserve">Arts. 28(8)(a)–(b), 28(5), and 29 supply the statutory content of the</w:t>
      </w:r>
      <w:r>
        <w:t xml:space="preserve"> </w:t>
      </w:r>
      <w:r>
        <w:rPr>
          <w:bCs/>
          <w:b/>
        </w:rPr>
        <w:t xml:space="preserve">With Disclosure</w:t>
      </w:r>
      <w:r>
        <w:t xml:space="preserve"> </w:t>
      </w:r>
      <w:r>
        <w:t xml:space="preserve">vignette condition and therefore the operational definition of DISC. The manipulation is not a generic</w:t>
      </w:r>
      <w:r>
        <w:t xml:space="preserve"> </w:t>
      </w:r>
      <w:r>
        <w:t xml:space="preserve">“</w:t>
      </w:r>
      <w:r>
        <w:t xml:space="preserve">privacy notice</w:t>
      </w:r>
      <w:r>
        <w:t xml:space="preserve">”</w:t>
      </w:r>
      <w:r>
        <w:t xml:space="preserv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bookmarkEnd w:id="48"/>
    <w:bookmarkStart w:id="49" w:name="b.4-sanctions"/>
    <w:p>
      <w:pPr>
        <w:pStyle w:val="Heading2"/>
      </w:pPr>
      <w:r>
        <w:t xml:space="preserve">B.4 Sanctions</w:t>
      </w:r>
    </w:p>
    <w:tbl>
      <w:tblPr>
        <w:tblStyle w:val="Table"/>
        <w:tblW w:type="pct" w:w="4956"/>
        <w:tblLook w:firstRow="1" w:lastRow="0" w:firstColumn="0" w:lastColumn="0" w:noHBand="0" w:noVBand="0" w:val="0020"/>
        <w:jc w:val="start"/>
      </w:tblPr>
      <w:tblGrid>
        <w:gridCol w:w="1285"/>
        <w:gridCol w:w="1910"/>
        <w:gridCol w:w="4654"/>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General cap</w:t>
            </w:r>
          </w:p>
        </w:tc>
        <w:tc>
          <w:tcPr/>
          <w:p>
            <w:pPr>
              <w:pStyle w:val="Compact"/>
              <w:jc w:val="left"/>
            </w:pPr>
            <w:r>
              <w:t xml:space="preserve">Art. 83: up to 4% of global turnover or €20 million.</w:t>
            </w:r>
          </w:p>
        </w:tc>
        <w:tc>
          <w:tcPr/>
          <w:p>
            <w:pPr>
              <w:pStyle w:val="Compact"/>
              <w:jc w:val="left"/>
            </w:pPr>
            <w:r>
              <w:t xml:space="preserve">Art. 8(5): up to VND 3 billion.</w:t>
            </w:r>
          </w:p>
        </w:tc>
      </w:tr>
      <w:tr>
        <w:tc>
          <w:tcPr/>
          <w:p>
            <w:pPr>
              <w:pStyle w:val="Compact"/>
              <w:jc w:val="left"/>
            </w:pPr>
            <w:r>
              <w:rPr>
                <w:bCs/>
                <w:b/>
              </w:rPr>
              <w:t xml:space="preserve">Data trading</w:t>
            </w:r>
          </w:p>
        </w:tc>
        <w:tc>
          <w:tcPr/>
          <w:p>
            <w:pPr>
              <w:pStyle w:val="Compact"/>
              <w:jc w:val="left"/>
            </w:pPr>
            <w:r>
              <w:t xml:space="preserve">General cap applies.</w:t>
            </w:r>
          </w:p>
        </w:tc>
        <w:tc>
          <w:tcPr/>
          <w:p>
            <w:pPr>
              <w:pStyle w:val="Compact"/>
              <w:jc w:val="left"/>
            </w:pPr>
            <w:r>
              <w:t xml:space="preserve">Art. 8(3): up to 10× the illicit gains — with no percentage ceiling, potentially harsher than the GDPR in high-profit violations.</w:t>
            </w:r>
          </w:p>
        </w:tc>
      </w:tr>
      <w:tr>
        <w:tc>
          <w:tcPr/>
          <w:p>
            <w:pPr>
              <w:pStyle w:val="Compact"/>
              <w:jc w:val="left"/>
            </w:pPr>
            <w:r>
              <w:rPr>
                <w:bCs/>
                <w:b/>
              </w:rPr>
              <w:t xml:space="preserve">Unlawful cross-border transfer</w:t>
            </w:r>
          </w:p>
        </w:tc>
        <w:tc>
          <w:tcPr/>
          <w:p>
            <w:pPr>
              <w:pStyle w:val="Compact"/>
              <w:jc w:val="left"/>
            </w:pPr>
            <w:r>
              <w:t xml:space="preserve">General cap applies.</w:t>
            </w:r>
          </w:p>
        </w:tc>
        <w:tc>
          <w:tcPr/>
          <w:p>
            <w:pPr>
              <w:pStyle w:val="Compact"/>
              <w:jc w:val="left"/>
            </w:pPr>
            <w:r>
              <w:t xml:space="preserve">Art. 8(4): 5% of the preceding year’s revenue.</w:t>
            </w:r>
          </w:p>
        </w:tc>
      </w:tr>
      <w:tr>
        <w:tc>
          <w:tcPr/>
          <w:p>
            <w:pPr>
              <w:pStyle w:val="Compact"/>
              <w:jc w:val="left"/>
            </w:pPr>
            <w:r>
              <w:rPr>
                <w:bCs/>
                <w:b/>
              </w:rPr>
              <w:t xml:space="preserve">Absolute prohibitions</w:t>
            </w:r>
          </w:p>
        </w:tc>
        <w:tc>
          <w:tcPr/>
          <w:p>
            <w:pPr>
              <w:pStyle w:val="Compact"/>
              <w:jc w:val="left"/>
            </w:pPr>
            <w:r>
              <w:t xml:space="preserve">No equivalent list.</w:t>
            </w:r>
          </w:p>
        </w:tc>
        <w:tc>
          <w:tcPr/>
          <w:p>
            <w:pPr>
              <w:pStyle w:val="Compact"/>
              <w:jc w:val="left"/>
            </w:pPr>
            <w:r>
              <w:t xml:space="preserve">Art. 7(6): outright prohibition on buying and selling personal data, save where other laws provide.</w:t>
            </w:r>
          </w:p>
        </w:tc>
      </w:tr>
    </w:tbl>
    <w:p>
      <w:pPr>
        <w:pStyle w:val="BodyText"/>
      </w:pPr>
      <w:r>
        <w:t xml:space="preserve">Table 2d. Sanction ceilings and absolute prohibitions.</w:t>
      </w:r>
    </w:p>
    <w:bookmarkEnd w:id="49"/>
    <w:bookmarkStart w:id="54" w:name="b.5-identified-institutional-gaps"/>
    <w:p>
      <w:pPr>
        <w:pStyle w:val="Heading2"/>
      </w:pPr>
      <w:r>
        <w:t xml:space="preserve">B.5 Identified Institutional Gaps</w:t>
      </w:r>
    </w:p>
    <w:bookmarkStart w:id="50" w:name="X8fd76643492c24c0285f5e920f183dd596dc931"/>
    <w:p>
      <w:pPr>
        <w:pStyle w:val="Heading3"/>
      </w:pPr>
      <w:r>
        <w:t xml:space="preserve">Gap 1 —</w:t>
      </w:r>
      <w:r>
        <w:t xml:space="preserve"> </w:t>
      </w:r>
      <w:r>
        <w:t xml:space="preserve">“</w:t>
      </w:r>
      <w:r>
        <w:t xml:space="preserve">High Entry Formality, Low Exit Control, Low Algorithmic Transparency</w:t>
      </w:r>
      <w:r>
        <w:t xml:space="preserve">”</w:t>
      </w:r>
    </w:p>
    <w:p>
      <w:pPr>
        <w:pStyle w:val="FirstParagraph"/>
      </w:pPr>
      <w:r>
        <w:rPr>
          <w:bCs/>
          <w:b/>
        </w:rPr>
        <w:t xml:space="preserve">High Entry Formality.</w:t>
      </w:r>
      <w:r>
        <w:t xml:space="preserve"> </w:t>
      </w:r>
      <w:r>
        <w:t xml:space="preserve">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pPr>
        <w:pStyle w:val="BodyText"/>
      </w:pPr>
      <w:r>
        <w:rPr>
          <w:bCs/>
          <w:b/>
        </w:rPr>
        <w:t xml:space="preserve">Low Exit Control.</w:t>
      </w:r>
      <w:r>
        <w:t xml:space="preserve"> </w:t>
      </w:r>
      <w:r>
        <w:t xml:space="preserve">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pPr>
        <w:pStyle w:val="BodyText"/>
      </w:pPr>
      <w:r>
        <w:rPr>
          <w:bCs/>
          <w:b/>
        </w:rPr>
        <w:t xml:space="preserve">Low Algorithmic Transparency.</w:t>
      </w:r>
      <w:r>
        <w:t xml:space="preserve"> </w:t>
      </w:r>
      <w:r>
        <w:t xml:space="preserve">The statute leaves the</w:t>
      </w:r>
      <w:r>
        <w:t xml:space="preserve"> </w:t>
      </w:r>
      <w:r>
        <w:t xml:space="preserve">“</w:t>
      </w:r>
      <w:r>
        <w:t xml:space="preserve">right to explanation</w:t>
      </w:r>
      <w:r>
        <w:t xml:space="preserve">”</w:t>
      </w:r>
      <w:r>
        <w:t xml:space="preserve"> </w:t>
      </w:r>
      <w:r>
        <w:t xml:space="preserve">—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bookmarkEnd w:id="50"/>
    <w:bookmarkStart w:id="51" w:name="X51cc5a26e09e2b54f793bd2a99766f99b28516a"/>
    <w:p>
      <w:pPr>
        <w:pStyle w:val="Heading3"/>
      </w:pPr>
      <w:r>
        <w:t xml:space="preserve">Gap 2 — Supply-side disclosure vs. demand-side awareness</w:t>
      </w:r>
    </w:p>
    <w:p>
      <w:pPr>
        <w:pStyle w:val="FirstParagraph"/>
      </w:pPr>
      <w: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w:t>
      </w:r>
      <w:r>
        <w:t xml:space="preserve"> </w:t>
      </w:r>
      <w:r>
        <w:rPr>
          <w:bCs/>
          <w:b/>
        </w:rPr>
        <w:t xml:space="preserve">PDPL Awareness</w:t>
      </w:r>
      <w:r>
        <w:t xml:space="preserve"> </w:t>
      </w:r>
      <w:r>
        <w:t xml:space="preserve">construct fills: it measures not institutional compliance but individual awareness of the law’s existence and content, and then deploys that awareness as the moderator in H7a of the intrusiveness → trust relationship.</w:t>
      </w:r>
    </w:p>
    <w:bookmarkEnd w:id="51"/>
    <w:bookmarkStart w:id="52" w:name="Xe2114affcfcb9f27e96eb4ecfcf6360f8c940d6"/>
    <w:p>
      <w:pPr>
        <w:pStyle w:val="Heading3"/>
      </w:pPr>
      <w:r>
        <w:t xml:space="preserve">Gap 3 — Soft law (SDG 16) vs. hard law (PDP Law 2025)</w:t>
      </w:r>
    </w:p>
    <w:p>
      <w:pPr>
        <w:pStyle w:val="FirstParagraph"/>
      </w:pPr>
      <w:r>
        <w:t xml:space="preserve">SDG 16.6/16.10 supply the normative justification for why transparency matters at the macro level but provide no micro-level (individual/transactional) measurement mechanism. The study accordingly uses SDG 16 to justify the societal significance of the research (Governance-ESG contribution), while PDP Law 2025 supplies the concrete legal basis for the measurement scale. SDG 16 is never a measurement basis (see §C.6, OD-5).</w:t>
      </w:r>
    </w:p>
    <w:bookmarkEnd w:id="52"/>
    <w:bookmarkStart w:id="53" w:name="Xc6fc69b94e0778805bc27b394979a3259d64de6"/>
    <w:p>
      <w:pPr>
        <w:pStyle w:val="Heading3"/>
      </w:pPr>
      <w:r>
        <w:t xml:space="preserve">Gap 4 — Punitive asymmetry: severe sanctions without independent oversight</w:t>
      </w:r>
    </w:p>
    <w:p>
      <w:pPr>
        <w:pStyle w:val="FirstParagraph"/>
      </w:pPr>
      <w:r>
        <w:t xml:space="preserve">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w:t>
      </w:r>
      <w:r>
        <w:t xml:space="preserve"> </w:t>
      </w:r>
      <w:r>
        <w:t xml:space="preserve">“</w:t>
      </w:r>
      <w:r>
        <w:t xml:space="preserve">high-deterrence sanctions, centralized supervision</w:t>
      </w:r>
      <w:r>
        <w:t xml:space="preserve">”</w:t>
      </w:r>
      <w:r>
        <w:t xml:space="preserve"> </w:t>
      </w:r>
      <w:r>
        <w:t xml:space="preserve">structure implies that de facto enforcement salience may diverge markedly from de jure severity — explaining why consumer PDPL Awareness can remain low even though statutory penalties are very high, and grounding the de jure carrier’s expected weakness in H7a (§A.5.1).</w:t>
      </w:r>
    </w:p>
    <w:bookmarkEnd w:id="53"/>
    <w:bookmarkEnd w:id="54"/>
    <w:bookmarkStart w:id="55" w:name="Xa50060a49db2f2bac867ddfae4c1dfcb935e56f"/>
    <w:p>
      <w:pPr>
        <w:pStyle w:val="Heading2"/>
      </w:pPr>
      <w:r>
        <w:t xml:space="preserve">B.6 Novelty Statements (Locked Wording for the Manuscript)</w:t>
      </w:r>
    </w:p>
    <w:p>
      <w:pPr>
        <w:pStyle w:val="FirstParagraph"/>
      </w:pPr>
      <w:r>
        <w:rPr>
          <w:bCs/>
          <w:b/>
        </w:rPr>
        <w:t xml:space="preserve">Institutional novelty (Gaps 1 &amp; 4).</w:t>
      </w:r>
      <w:r>
        <w:t xml:space="preserve"> </w:t>
      </w:r>
      <w:r>
        <w:t xml:space="preserve">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w:t>
      </w:r>
      <w:r>
        <w:t xml:space="preserve"> </w:t>
      </w:r>
      <w:r>
        <w:t xml:space="preserve">“</w:t>
      </w:r>
      <w:r>
        <w:t xml:space="preserve">high-deterrence / centralized-supervision / low-algorithmic-transparency</w:t>
      </w:r>
      <w:r>
        <w:t xml:space="preserve">”</w:t>
      </w:r>
      <w:r>
        <w:t xml:space="preserve"> </w:t>
      </w:r>
      <w:r>
        <w:t xml:space="preserve">structure generates a new institutional hypothesis: Vietnamese consumers’ PDPL Awareness may be low even though statutory penalties are very high — a de jure severity vs. de facto salience paradox not yet empirically tested in an emerging market.</w:t>
      </w:r>
    </w:p>
    <w:p>
      <w:pPr>
        <w:pStyle w:val="BodyText"/>
      </w:pPr>
      <w:r>
        <w:rPr>
          <w:bCs/>
          <w:b/>
        </w:rPr>
        <w:t xml:space="preserve">Theoretical novelty (Gap 2): from supply-side disclosure to demand-side awareness.</w:t>
      </w:r>
      <w:r>
        <w:t xml:space="preserve"> </w:t>
      </w:r>
      <w:r>
        <w:t xml:space="preserve">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pPr>
        <w:pStyle w:val="BodyText"/>
      </w:pPr>
      <w:r>
        <w:rPr>
          <w:bCs/>
          <w:b/>
        </w:rPr>
        <w:t xml:space="preserve">[Third statement — status pending, see OD-9.]</w:t>
      </w:r>
      <w:r>
        <w:t xml:space="preserve"> </w:t>
      </w:r>
      <w:r>
        <w:t xml:space="preserve">The v2.0 third novelty statement (</w:t>
      </w:r>
      <w:r>
        <w:t xml:space="preserve">“</w:t>
      </w:r>
      <w:r>
        <w:t xml:space="preserve">Novelty extension admitted by v2.0, Gaps 1, 2 &amp; 4 jointly</w:t>
      </w:r>
      <w:r>
        <w:t xml:space="preserve">”</w:t>
      </w:r>
      <w:r>
        <w:t xml:space="preserve">) claimed that the study tests whether de jure awareness is behaviourally inert</w:t>
      </w:r>
      <w:r>
        <w:t xml:space="preserve"> </w:t>
      </w:r>
      <w:r>
        <w:rPr>
          <w:iCs/>
          <w:i/>
        </w:rPr>
        <w:t xml:space="preserve">unless</w:t>
      </w:r>
      <w:r>
        <w:t xml:space="preserve"> </w:t>
      </w:r>
      <w:r>
        <w:t xml:space="preserve">the firm supplies a de facto instantiation of it. That claim rested entirely on the moderated-moderation specification withdrawn by Amendment A-8 and</w:t>
      </w:r>
      <w:r>
        <w:t xml:space="preserve"> </w:t>
      </w:r>
      <w:r>
        <w:rPr>
          <w:bCs/>
          <w:b/>
        </w:rPr>
        <w:t xml:space="preserve">cannot be carried forward unchanged</w:t>
      </w:r>
      <w:r>
        <w:t xml:space="preserve"> </w:t>
      </w:r>
      <w:r>
        <w:t xml:space="preserve">— the design no longer estimates a term capable of testing it. Two options are open and the choice is Khải’s; until it is made, this paragraph is</w:t>
      </w:r>
      <w:r>
        <w:t xml:space="preserve"> </w:t>
      </w:r>
      <w:r>
        <w:rPr>
          <w:bCs/>
          <w:b/>
        </w:rPr>
        <w:t xml:space="preserve">not to be circulated in any draft</w:t>
      </w:r>
      <w:r>
        <w:t xml:space="preserve">:</w:t>
      </w:r>
    </w:p>
    <w:p>
      <w:pPr>
        <w:numPr>
          <w:ilvl w:val="0"/>
          <w:numId w:val="1011"/>
        </w:numPr>
      </w:pPr>
      <w:r>
        <w:rPr>
          <w:bCs/>
          <w:b/>
        </w:rPr>
        <w:t xml:space="preserve">Option (a) — withdraw.</w:t>
      </w:r>
      <w:r>
        <w:t xml:space="preserve"> </w:t>
      </w:r>
      <w:r>
        <w:t xml:space="preserve">Rely on the two statements above for novelty. Safest; claims nothing the data cannot deliver.</w:t>
      </w:r>
    </w:p>
    <w:p>
      <w:pPr>
        <w:numPr>
          <w:ilvl w:val="0"/>
          <w:numId w:val="1011"/>
        </w:numPr>
      </w:pPr>
      <w:r>
        <w:rPr>
          <w:bCs/>
          <w:b/>
        </w:rPr>
        <w:t xml:space="preserve">Option (b) — replace.</w:t>
      </w:r>
      <w:r>
        <w:t xml:space="preserve"> </w:t>
      </w:r>
      <w:r>
        <w:t xml:space="preserve">“</w:t>
      </w:r>
      <w:r>
        <w:t xml:space="preserve">Because H7a and H7b are estimated jointly with each carrier held constant for the other, the study additionally tests the relative behavioural leverage of institutional awareness versus firm-level disclosure as independent buffers of intrusiveness-driven trust erosion — answering which lever, legal-awareness campaigns or interface-level disclosure design, has the larger buffering effect.</w:t>
      </w:r>
      <w:r>
        <w:t xml:space="preserve">”</w:t>
      </w:r>
      <w:r>
        <w:t xml:space="preserve"> </w:t>
      </w:r>
      <w:r>
        <w:t xml:space="preserve">Preserves a Gap-2-adjacent extension without resting on an unobservable conjunctive mechanism.</w:t>
      </w:r>
    </w:p>
    <w:p>
      <w:pPr>
        <w:pStyle w:val="FirstParagraph"/>
      </w:pPr>
      <w:r>
        <w:rPr>
          <w:iCs/>
          <w:i/>
        </w:rPr>
        <w:t xml:space="preserve">Framing guardrail.</w:t>
      </w:r>
      <w:r>
        <w:t xml:space="preserve"> </w:t>
      </w:r>
      <w:r>
        <w:t xml:space="preserve">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bookmarkEnd w:id="55"/>
    <w:bookmarkEnd w:id="56"/>
    <w:bookmarkStart w:id="65" w:name="Xae001ba6cca9096eb0ec4a8830153992a047c1a"/>
    <w:p>
      <w:pPr>
        <w:pStyle w:val="Heading1"/>
      </w:pPr>
      <w:r>
        <w:t xml:space="preserve">Part C. Implications for Hypotheses and Study Design</w:t>
      </w:r>
    </w:p>
    <w:bookmarkStart w:id="58" w:name="X809029a2c5049377dceda4076078a92c435a6b9"/>
    <w:p>
      <w:pPr>
        <w:pStyle w:val="Heading2"/>
      </w:pPr>
      <w:r>
        <w:t xml:space="preserve">C.1 Hypothesis Map (Locked Specification, Planning-Aligned)</w:t>
      </w:r>
    </w:p>
    <w:p>
      <w:pPr>
        <w:pStyle w:val="FirstParagraph"/>
      </w:pPr>
      <w:r>
        <w:t xml:space="preserve">Table 3 is the authoritative hypothesis register. The numbering reproduces the approved</w:t>
      </w:r>
      <w:r>
        <w:t xml:space="preserve"> </w:t>
      </w:r>
      <w:r>
        <w:rPr>
          <w:iCs/>
          <w:i/>
        </w:rPr>
        <w:t xml:space="preserve">Project Outline and Planning</w:t>
      </w:r>
      <w:r>
        <w:t xml:space="preserve"> </w:t>
      </w:r>
      <w:r>
        <w:t xml:space="preserve">document; the</w:t>
      </w:r>
      <w:r>
        <w:t xml:space="preserve"> </w:t>
      </w:r>
      <w:r>
        <w:t xml:space="preserve">“</w:t>
      </w:r>
      <w:r>
        <w:t xml:space="preserve">planning confidence</w:t>
      </w:r>
      <w:r>
        <w:t xml:space="preserve">”</w:t>
      </w:r>
      <w:r>
        <w:t xml:space="preserve"> </w:t>
      </w:r>
      <w:r>
        <w:t xml:space="preserve">column reproduces that document’s own a priori confidence rating, which is retained because it governs how each result is framed in the Discussion (high-confidence nulls are more damaging to the model than moderate-confidence nulls).</w:t>
      </w:r>
    </w:p>
    <w:tbl>
      <w:tblPr>
        <w:tblStyle w:val="Table"/>
        <w:tblW w:type="pct" w:w="4984"/>
        <w:tblLook w:firstRow="1" w:lastRow="0" w:firstColumn="0" w:lastColumn="0" w:noHBand="0" w:noVBand="0" w:val="0020"/>
        <w:jc w:val="start"/>
      </w:tblPr>
      <w:tblGrid>
        <w:gridCol w:w="232"/>
        <w:gridCol w:w="878"/>
        <w:gridCol w:w="6447"/>
        <w:gridCol w:w="335"/>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Theoretical rationale (anchor)</w:t>
            </w:r>
          </w:p>
        </w:tc>
        <w:tc>
          <w:tcPr/>
          <w:p>
            <w:pPr>
              <w:pStyle w:val="Compact"/>
              <w:jc w:val="left"/>
            </w:pPr>
            <w:r>
              <w:rPr>
                <w:bCs/>
                <w:b/>
              </w:rPr>
              <w:t xml:space="preserve">Planning confidence</w:t>
            </w:r>
          </w:p>
        </w:tc>
      </w:tr>
      <w:tr>
        <w:tc>
          <w:tcPr/>
          <w:p>
            <w:pPr>
              <w:pStyle w:val="Compact"/>
              <w:jc w:val="left"/>
            </w:pPr>
            <w:r>
              <w:rPr>
                <w:bCs/>
                <w:b/>
              </w:rPr>
              <w:t xml:space="preserve">H1</w:t>
            </w:r>
          </w:p>
        </w:tc>
        <w:tc>
          <w:tcPr/>
          <w:p>
            <w:pPr>
              <w:pStyle w:val="Compact"/>
              <w:jc w:val="left"/>
            </w:pPr>
            <w:r>
              <w:t xml:space="preserve">AIP → REL (+)</w:t>
            </w:r>
          </w:p>
        </w:tc>
        <w:tc>
          <w:tcPr/>
          <w:p>
            <w:pPr>
              <w:pStyle w:val="Compact"/>
              <w:jc w:val="left"/>
            </w:pPr>
            <w:r>
              <w:t xml:space="preserve">Higher personalization intensity increases the benefit term of the privacy calculus: better-matched content raises perceived relevance (Dinev &amp; Hart, 2006; SOR stimulus–organism link).</w:t>
            </w:r>
          </w:p>
        </w:tc>
        <w:tc>
          <w:tcPr/>
          <w:p>
            <w:pPr>
              <w:pStyle w:val="Compact"/>
              <w:jc w:val="left"/>
            </w:pPr>
            <w:r>
              <w:t xml:space="preserve">High</w:t>
            </w:r>
          </w:p>
        </w:tc>
      </w:tr>
      <w:tr>
        <w:tc>
          <w:tcPr/>
          <w:p>
            <w:pPr>
              <w:pStyle w:val="Compact"/>
              <w:jc w:val="left"/>
            </w:pPr>
            <w:r>
              <w:rPr>
                <w:bCs/>
                <w:b/>
              </w:rPr>
              <w:t xml:space="preserve">H2</w:t>
            </w:r>
          </w:p>
        </w:tc>
        <w:tc>
          <w:tcPr/>
          <w:p>
            <w:pPr>
              <w:pStyle w:val="Compact"/>
              <w:jc w:val="left"/>
            </w:pPr>
            <w:r>
              <w:t xml:space="preserve">AIP → INT (+)</w:t>
            </w:r>
          </w:p>
        </w:tc>
        <w:tc>
          <w:tcPr/>
          <w:p>
            <w:pPr>
              <w:pStyle w:val="Compact"/>
              <w:jc w:val="left"/>
            </w:pPr>
            <w:r>
              <w:t xml:space="preserve">The same intensity raises the risk term: deeper profiling and cross-channel tracking heighten felt boundary violation (personalization–privacy paradox).</w:t>
            </w:r>
          </w:p>
        </w:tc>
        <w:tc>
          <w:tcPr/>
          <w:p>
            <w:pPr>
              <w:pStyle w:val="Compact"/>
              <w:jc w:val="left"/>
            </w:pPr>
            <w:r>
              <w:t xml:space="preserve">High</w:t>
            </w:r>
          </w:p>
        </w:tc>
      </w:tr>
      <w:tr>
        <w:tc>
          <w:tcPr/>
          <w:p>
            <w:pPr>
              <w:pStyle w:val="Compact"/>
              <w:jc w:val="left"/>
            </w:pPr>
            <w:r>
              <w:rPr>
                <w:bCs/>
                <w:b/>
              </w:rPr>
              <w:t xml:space="preserve">H3</w:t>
            </w:r>
          </w:p>
        </w:tc>
        <w:tc>
          <w:tcPr/>
          <w:p>
            <w:pPr>
              <w:pStyle w:val="Compact"/>
              <w:jc w:val="left"/>
            </w:pPr>
            <w:r>
              <w:t xml:space="preserve">DISC (With Disclosure) → INT (−)</w:t>
            </w:r>
          </w:p>
        </w:tc>
        <w:tc>
          <w:tcPr/>
          <w:p>
            <w:pPr>
              <w:pStyle w:val="Compact"/>
              <w:jc w:val="left"/>
            </w:pPr>
            <w: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w:t>
            </w:r>
            <w:r>
              <w:t xml:space="preserve"> </w:t>
            </w:r>
            <w:r>
              <w:rPr>
                <w:bCs/>
                <w:b/>
              </w:rPr>
              <w:t xml:space="preserve">Sole confirmatory test: the Disclosure main effect in the Study 1 two-way ANOVA on INT.</w:t>
            </w:r>
            <w:r>
              <w:t xml:space="preserve"> </w:t>
            </w:r>
            <w:r>
              <w:t xml:space="preserve">The DISC → INT path in the SEM is a specification requirement only (A-5) and is never reported as a second test of H3.</w:t>
            </w:r>
          </w:p>
        </w:tc>
        <w:tc>
          <w:tcPr/>
          <w:p>
            <w:pPr>
              <w:pStyle w:val="Compact"/>
              <w:jc w:val="left"/>
            </w:pPr>
            <w:r>
              <w:t xml:space="preserve">Moderate</w:t>
            </w:r>
          </w:p>
        </w:tc>
      </w:tr>
      <w:tr>
        <w:tc>
          <w:tcPr/>
          <w:p>
            <w:pPr>
              <w:pStyle w:val="Compact"/>
              <w:jc w:val="left"/>
            </w:pPr>
            <w:r>
              <w:rPr>
                <w:bCs/>
                <w:b/>
              </w:rPr>
              <w:t xml:space="preserve">H4</w:t>
            </w:r>
          </w:p>
        </w:tc>
        <w:tc>
          <w:tcPr/>
          <w:p>
            <w:pPr>
              <w:pStyle w:val="Compact"/>
              <w:jc w:val="left"/>
            </w:pPr>
            <w:r>
              <w:t xml:space="preserve">REL → TRU (+)</w:t>
            </w:r>
          </w:p>
        </w:tc>
        <w:tc>
          <w:tcPr/>
          <w:p>
            <w:pPr>
              <w:pStyle w:val="Compact"/>
              <w:jc w:val="left"/>
            </w:pPr>
            <w:r>
              <w:t xml:space="preserve">Relevance signals competence — one of McKnight et al.’s four trusting-belief components — and, by evidencing customer-centricity, benevolence; both strengthen cognitive and affective trust.</w:t>
            </w:r>
          </w:p>
        </w:tc>
        <w:tc>
          <w:tcPr/>
          <w:p>
            <w:pPr>
              <w:pStyle w:val="Compact"/>
              <w:jc w:val="left"/>
            </w:pPr>
            <w:r>
              <w:t xml:space="preserve">High</w:t>
            </w:r>
          </w:p>
        </w:tc>
      </w:tr>
      <w:tr>
        <w:tc>
          <w:tcPr/>
          <w:p>
            <w:pPr>
              <w:pStyle w:val="Compact"/>
              <w:jc w:val="left"/>
            </w:pPr>
            <w:r>
              <w:rPr>
                <w:bCs/>
                <w:b/>
              </w:rPr>
              <w:t xml:space="preserve">H5</w:t>
            </w:r>
          </w:p>
        </w:tc>
        <w:tc>
          <w:tcPr/>
          <w:p>
            <w:pPr>
              <w:pStyle w:val="Compact"/>
              <w:jc w:val="left"/>
            </w:pPr>
            <w:r>
              <w:t xml:space="preserve">REL → ENG (+)</w:t>
            </w:r>
          </w:p>
        </w:tc>
        <w:tc>
          <w:tcPr/>
          <w:p>
            <w:pPr>
              <w:pStyle w:val="Compact"/>
              <w:jc w:val="left"/>
            </w:pPr>
            <w:r>
              <w:t xml:space="preserve">Relevant content constitutes the interactive, value-co-creating experience from which engagement arises (Brodie et al., 2011, FP1).</w:t>
            </w:r>
          </w:p>
        </w:tc>
        <w:tc>
          <w:tcPr/>
          <w:p>
            <w:pPr>
              <w:pStyle w:val="Compact"/>
              <w:jc w:val="left"/>
            </w:pPr>
            <w:r>
              <w:t xml:space="preserve">High</w:t>
            </w:r>
          </w:p>
        </w:tc>
      </w:tr>
      <w:tr>
        <w:tc>
          <w:tcPr/>
          <w:p>
            <w:pPr>
              <w:pStyle w:val="Compact"/>
              <w:jc w:val="left"/>
            </w:pPr>
            <w:r>
              <w:rPr>
                <w:bCs/>
                <w:b/>
              </w:rPr>
              <w:t xml:space="preserve">H6a</w:t>
            </w:r>
          </w:p>
        </w:tc>
        <w:tc>
          <w:tcPr/>
          <w:p>
            <w:pPr>
              <w:pStyle w:val="Compact"/>
              <w:jc w:val="left"/>
            </w:pPr>
            <w:r>
              <w:t xml:space="preserve">INT → TRU (−)</w:t>
            </w:r>
          </w:p>
        </w:tc>
        <w:tc>
          <w:tcPr/>
          <w:p>
            <w:pPr>
              <w:pStyle w:val="Compact"/>
              <w:jc w:val="left"/>
            </w:pPr>
            <w:r>
              <w:t xml:space="preserve">Intrusiveness damages perceived benevolence (</w:t>
            </w:r>
            <w:r>
              <w:t xml:space="preserve">“</w:t>
            </w:r>
            <w:r>
              <w:t xml:space="preserve">data extraction over my welfare</w:t>
            </w:r>
            <w:r>
              <w:t xml:space="preserve">”</w:t>
            </w:r>
            <w:r>
              <w:t xml:space="preserve">) and integrity (</w:t>
            </w:r>
            <w:r>
              <w:t xml:space="preserve">“</w:t>
            </w:r>
            <w:r>
              <w:t xml:space="preserve">practices are not honest</w:t>
            </w:r>
            <w:r>
              <w:t xml:space="preserve">”</w:t>
            </w:r>
            <w:r>
              <w:t xml:space="preserve">) and undermines situational normality; strongest-driver evidence from Bart et al. (2005).</w:t>
            </w:r>
          </w:p>
        </w:tc>
        <w:tc>
          <w:tcPr/>
          <w:p>
            <w:pPr>
              <w:pStyle w:val="Compact"/>
              <w:jc w:val="left"/>
            </w:pPr>
            <w:r>
              <w:t xml:space="preserve">High</w:t>
            </w:r>
          </w:p>
        </w:tc>
      </w:tr>
      <w:tr>
        <w:tc>
          <w:tcPr/>
          <w:p>
            <w:pPr>
              <w:pStyle w:val="Compact"/>
              <w:jc w:val="left"/>
            </w:pPr>
            <w:r>
              <w:rPr>
                <w:bCs/>
                <w:b/>
              </w:rPr>
              <w:t xml:space="preserve">H6b</w:t>
            </w:r>
          </w:p>
        </w:tc>
        <w:tc>
          <w:tcPr/>
          <w:p>
            <w:pPr>
              <w:pStyle w:val="Compact"/>
              <w:jc w:val="left"/>
            </w:pPr>
            <w:r>
              <w:t xml:space="preserve">INT → ENG (−)</w:t>
            </w:r>
          </w:p>
        </w:tc>
        <w:tc>
          <w:tcPr/>
          <w:p>
            <w:pPr>
              <w:pStyle w:val="Compact"/>
              <w:jc w:val="left"/>
            </w:pPr>
            <w:r>
              <w:t xml:space="preserve">Felt surveillance suppresses the absorption and enthusiasm dimensions of engagement (Brodie et al., 2011, FP4); reactance-based withdrawal from the engagement object.</w:t>
            </w:r>
          </w:p>
        </w:tc>
        <w:tc>
          <w:tcPr/>
          <w:p>
            <w:pPr>
              <w:pStyle w:val="Compact"/>
              <w:jc w:val="left"/>
            </w:pPr>
            <w:r>
              <w:t xml:space="preserve">High</w:t>
            </w:r>
          </w:p>
        </w:tc>
      </w:tr>
      <w:tr>
        <w:tc>
          <w:tcPr/>
          <w:p>
            <w:pPr>
              <w:pStyle w:val="Compact"/>
              <w:jc w:val="left"/>
            </w:pPr>
            <w:r>
              <w:rPr>
                <w:bCs/>
                <w:b/>
              </w:rPr>
              <w:t xml:space="preserve">H6c</w:t>
            </w:r>
          </w:p>
        </w:tc>
        <w:tc>
          <w:tcPr/>
          <w:p>
            <w:pPr>
              <w:pStyle w:val="Compact"/>
              <w:jc w:val="left"/>
            </w:pPr>
            <w:r>
              <w:t xml:space="preserve">INT → PI (−)</w:t>
            </w:r>
          </w:p>
        </w:tc>
        <w:tc>
          <w:tcPr/>
          <w:p>
            <w:pPr>
              <w:pStyle w:val="Compact"/>
              <w:jc w:val="left"/>
            </w:pPr>
            <w:r>
              <w:t xml:space="preserve">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p>
            <w:pPr>
              <w:pStyle w:val="Compact"/>
              <w:jc w:val="left"/>
            </w:pPr>
            <w:r>
              <w:t xml:space="preserve">High</w:t>
            </w:r>
          </w:p>
        </w:tc>
      </w:tr>
      <w:tr>
        <w:tc>
          <w:tcPr/>
          <w:p>
            <w:pPr>
              <w:pStyle w:val="Compact"/>
              <w:jc w:val="left"/>
            </w:pPr>
            <w:r>
              <w:rPr>
                <w:bCs/>
                <w:b/>
              </w:rPr>
              <w:t xml:space="preserve">H7a</w:t>
            </w:r>
          </w:p>
        </w:tc>
        <w:tc>
          <w:tcPr/>
          <w:p>
            <w:pPr>
              <w:pStyle w:val="Compact"/>
              <w:jc w:val="left"/>
            </w:pPr>
            <w:r>
              <w:t xml:space="preserve">PDPL Awareness × INT → mod(INT → TRU)</w:t>
            </w:r>
            <w:r>
              <w:t xml:space="preserve"> </w:t>
            </w:r>
            <w:r>
              <w:rPr>
                <w:bCs/>
                <w:b/>
              </w:rPr>
              <w:t xml:space="preserve">Prediction: β_M1 0</w:t>
            </w:r>
            <w:r>
              <w:t xml:space="preserve"> </w:t>
            </w:r>
            <w:r>
              <w:t xml:space="preserve">De</w:t>
            </w:r>
          </w:p>
        </w:tc>
        <w:tc>
          <w:tcPr/>
          <w:p>
            <w:pPr>
              <w:pStyle w:val="Compact"/>
              <w:jc w:val="left"/>
            </w:pPr>
            <w:r>
              <w:t xml:space="preserve">jure structural assurance. Awareness that Law 91/2025/QH15 confers enforceable entitlements (Scott’s regulative pillar; McKnight et al.’s structural assurance) attenuates the erosive effect of intrusiveness on trust. Moderates the</w:t>
            </w:r>
            <w:r>
              <w:t xml:space="preserve"> </w:t>
            </w:r>
            <w:r>
              <w:rPr>
                <w:bCs/>
                <w:b/>
              </w:rPr>
              <w:t xml:space="preserve">H6a path only</w:t>
            </w:r>
            <w:r>
              <w:t xml:space="preserve">. Full development in §A.5.1; estimation in §C.2. Mod</w:t>
            </w:r>
          </w:p>
        </w:tc>
        <w:tc>
          <w:tcPr/>
          <w:p>
            <w:pPr>
              <w:pStyle w:val="Compact"/>
              <w:jc w:val="left"/>
            </w:pPr>
            <w:r>
              <w:t xml:space="preserve">erate</w:t>
            </w:r>
          </w:p>
        </w:tc>
      </w:tr>
      <w:tr>
        <w:tc>
          <w:tcPr/>
          <w:p>
            <w:pPr>
              <w:pStyle w:val="Compact"/>
              <w:jc w:val="left"/>
            </w:pPr>
            <w:r>
              <w:rPr>
                <w:bCs/>
                <w:b/>
              </w:rPr>
              <w:t xml:space="preserve">H7b</w:t>
            </w:r>
          </w:p>
        </w:tc>
        <w:tc>
          <w:tcPr/>
          <w:p>
            <w:pPr>
              <w:pStyle w:val="Compact"/>
              <w:jc w:val="left"/>
            </w:pPr>
            <w:r>
              <w:t xml:space="preserve">Disclosure Level × INT → mod(INT → TRU)</w:t>
            </w:r>
            <w:r>
              <w:t xml:space="preserve"> </w:t>
            </w:r>
            <w:r>
              <w:rPr>
                <w:bCs/>
                <w:b/>
              </w:rPr>
              <w:t xml:space="preserve">Prediction: β_M2 0</w:t>
            </w:r>
            <w:r>
              <w:t xml:space="preserve"> </w:t>
            </w:r>
            <w:r>
              <w:t xml:space="preserve">De</w:t>
            </w:r>
          </w:p>
        </w:tc>
        <w:tc>
          <w:tcPr/>
          <w:p>
            <w:pPr>
              <w:pStyle w:val="Compact"/>
              <w:jc w:val="left"/>
            </w:pPr>
            <w:r>
              <w:t xml:space="preserve">facto structural assurance. Firm-level disclosure at the point of personalization (Arts. 28(8), 29) restores situational normality and signals integrity, attenuating the erosive effect of intrusiveness on trust. Moderates the</w:t>
            </w:r>
            <w:r>
              <w:t xml:space="preserve"> </w:t>
            </w:r>
            <w:r>
              <w:rPr>
                <w:bCs/>
                <w:b/>
              </w:rPr>
              <w:t xml:space="preserve">H6a path only</w:t>
            </w:r>
            <w:r>
              <w:t xml:space="preserve">. Full development in §A.5.1; estimation in §C.2.</w:t>
            </w:r>
          </w:p>
        </w:tc>
        <w:tc>
          <w:tcPr/>
          <w:p>
            <w:pPr>
              <w:pStyle w:val="Compact"/>
            </w:pPr>
          </w:p>
        </w:tc>
      </w:tr>
    </w:tbl>
    <w:p>
      <w:pPr>
        <w:pStyle w:val="BodyText"/>
      </w:pPr>
      <w:r>
        <w:t xml:space="preserve">Table 3. Hypothesis register. Numbering is locked by governance rule 2 and may not be altered downstream. Amendment A-8 replaced the single H7 (three-way, β_M4) with H7a and H7b;</w:t>
      </w:r>
      <w:r>
        <w:t xml:space="preserve"> </w:t>
      </w:r>
      <w:r>
        <w:rPr>
          <w:bCs/>
          <w:b/>
        </w:rPr>
        <w:t xml:space="preserve">β_M3 and β_M4 no longer exist</w:t>
      </w:r>
      <w:r>
        <w:t xml:space="preserve"> </w:t>
      </w:r>
      <w:r>
        <w:t xml:space="preserve">and any artefact still carrying them is a pre-v2.3 remnant.</w:t>
      </w:r>
    </w:p>
    <w:bookmarkStart w:id="57" w:name="Xd1de15d33e715a5c5a59b4cc62781314c1c9d70"/>
    <w:p>
      <w:pPr>
        <w:pStyle w:val="Heading3"/>
      </w:pPr>
      <w:r>
        <w:t xml:space="preserve">C.1.1 Established-Path Register (Estimated, Not Hypothesized)</w:t>
      </w:r>
    </w:p>
    <w:p>
      <w:pPr>
        <w:pStyle w:val="FirstParagraph"/>
      </w:pPr>
      <w:r>
        <w:t xml:space="preserve">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Table"/>
        <w:tblW w:type="pct" w:w="4968"/>
        <w:tblLook w:firstRow="1" w:lastRow="0" w:firstColumn="0" w:lastColumn="0" w:noHBand="0" w:noVBand="0" w:val="0020"/>
        <w:jc w:val="start"/>
      </w:tblPr>
      <w:tblGrid>
        <w:gridCol w:w="617"/>
        <w:gridCol w:w="617"/>
        <w:gridCol w:w="6634"/>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Basis and status</w:t>
            </w:r>
          </w:p>
        </w:tc>
      </w:tr>
      <w:tr>
        <w:tc>
          <w:tcPr/>
          <w:p>
            <w:pPr>
              <w:pStyle w:val="Compact"/>
              <w:jc w:val="left"/>
            </w:pPr>
            <w:r>
              <w:rPr>
                <w:bCs/>
                <w:b/>
              </w:rPr>
              <w:t xml:space="preserve">E1</w:t>
            </w:r>
          </w:p>
        </w:tc>
        <w:tc>
          <w:tcPr/>
          <w:p>
            <w:pPr>
              <w:pStyle w:val="Compact"/>
              <w:jc w:val="left"/>
            </w:pPr>
            <w:r>
              <w:t xml:space="preserve">TRU → ENG (+)</w:t>
            </w:r>
          </w:p>
        </w:tc>
        <w:tc>
          <w:tcPr/>
          <w:p>
            <w:pPr>
              <w:pStyle w:val="Compact"/>
              <w:jc w:val="left"/>
            </w:pPr>
            <w:r>
              <w:t xml:space="preserve">Brodie et al. (2011); Morgan &amp; Hunt (1994) — trust precedes and enables deep engagement within the relationship-marketing tradition. Completes the TRU → ENG → PI mediation chain. Reported as a structural coefficient only, never as a hypothesis-test row.</w:t>
            </w:r>
          </w:p>
        </w:tc>
      </w:tr>
      <w:tr>
        <w:tc>
          <w:tcPr/>
          <w:p>
            <w:pPr>
              <w:pStyle w:val="Compact"/>
              <w:jc w:val="left"/>
            </w:pPr>
            <w:r>
              <w:rPr>
                <w:bCs/>
                <w:b/>
              </w:rPr>
              <w:t xml:space="preserve">E2</w:t>
            </w:r>
          </w:p>
        </w:tc>
        <w:tc>
          <w:tcPr/>
          <w:p>
            <w:pPr>
              <w:pStyle w:val="Compact"/>
              <w:jc w:val="left"/>
            </w:pPr>
            <w:r>
              <w:t xml:space="preserve">ENG → PI (+)</w:t>
            </w:r>
          </w:p>
        </w:tc>
        <w:tc>
          <w:tcPr/>
          <w:p>
            <w:pPr>
              <w:pStyle w:val="Compact"/>
              <w:jc w:val="left"/>
            </w:pPr>
            <w:r>
              <w:t xml:space="preserve">Van Doorn et al. (2010); Brodie et al. (2011) — engagement behaviours, transactional and non-transactional alike, are direct antecedents of subsequent purchase outcomes. Closes the SOR chain. Reported as a structural coefficient only.</w:t>
            </w:r>
          </w:p>
        </w:tc>
      </w:tr>
    </w:tbl>
    <w:p>
      <w:pPr>
        <w:pStyle w:val="BodyText"/>
      </w:pPr>
      <w:r>
        <w:t xml:space="preserve">Table 4. Established-path register (E1, E2). Earlier drafts numbered these</w:t>
      </w:r>
      <w:r>
        <w:t xml:space="preserve"> </w:t>
      </w:r>
      <w:r>
        <w:t xml:space="preserve">“</w:t>
      </w:r>
      <w:r>
        <w:t xml:space="preserve">H7a</w:t>
      </w:r>
      <w:r>
        <w:t xml:space="preserve">”</w:t>
      </w:r>
      <w:r>
        <w:t xml:space="preserve"> </w:t>
      </w:r>
      <w:r>
        <w:t xml:space="preserve">and</w:t>
      </w:r>
      <w:r>
        <w:t xml:space="preserve"> </w:t>
      </w:r>
      <w:r>
        <w:t xml:space="preserve">“</w:t>
      </w:r>
      <w:r>
        <w:t xml:space="preserve">H7(b)</w:t>
      </w:r>
      <w:r>
        <w:t xml:space="preserve">”</w:t>
      </w:r>
      <w:r>
        <w:t xml:space="preserve">; that numbering is withdrawn project-wide — note that</w:t>
      </w:r>
      <w:r>
        <w:t xml:space="preserve"> </w:t>
      </w:r>
      <w:r>
        <w:rPr>
          <w:bCs/>
          <w:b/>
        </w:rPr>
        <w:t xml:space="preserve">H7a and H7b now denote the two moderation hypotheses of Table 3</w:t>
      </w:r>
      <w:r>
        <w:t xml:space="preserve"> </w:t>
      </w:r>
      <w:r>
        <w:t xml:space="preserve">and must never be confused with these established paths.</w:t>
      </w:r>
    </w:p>
    <w:p>
      <w:pPr>
        <w:pStyle w:val="BodyText"/>
      </w:pPr>
      <w:r>
        <w:t xml:space="preserve">Two further categories must not be confused with either hypotheses or established paths.</w:t>
      </w:r>
    </w:p>
    <w:p>
      <w:pPr>
        <w:numPr>
          <w:ilvl w:val="0"/>
          <w:numId w:val="1012"/>
        </w:numPr>
      </w:pPr>
      <w:r>
        <w:rPr>
          <w:bCs/>
          <w:b/>
        </w:rPr>
        <w:t xml:space="preserve">Specification terms.</w:t>
      </w:r>
      <w:r>
        <w:t xml:space="preserve"> </w:t>
      </w:r>
      <w:r>
        <w:t xml:space="preserve">The PDPL main effect, the DISC main effect on TRU, and the DISC → INT path in the SEM are estimated because an interaction is uninterpretable without its lower-order components (Aiken &amp; West, 1991). They carry no hypothesis, are reported in the structural-model table only, and are declared in a figure note rather than drawn as arrows. *Note the change under</w:t>
      </w:r>
      <w:r>
        <w:t xml:space="preserve"> </w:t>
      </w:r>
      <w:r>
        <w:rPr>
          <w:bCs/>
          <w:b/>
        </w:rPr>
        <w:t xml:space="preserve">A-8:* the products INT × PDPL and INT × DISC are</w:t>
      </w:r>
      <w:r>
        <w:t xml:space="preserve"> </w:t>
      </w:r>
      <w:r>
        <w:t xml:space="preserve">no longer specification terms** — they are now the hypothesis-bearing coefficients β_M1 and β_M2. The product PDPL × DISC is not estimated at all.</w:t>
      </w:r>
    </w:p>
    <w:p>
      <w:pPr>
        <w:numPr>
          <w:ilvl w:val="0"/>
          <w:numId w:val="1012"/>
        </w:numPr>
      </w:pPr>
      <w:r>
        <w:rPr>
          <w:bCs/>
          <w:b/>
        </w:rPr>
        <w:t xml:space="preserve">Competing-model robustness check.</w:t>
      </w:r>
      <w:r>
        <w:t xml:space="preserve"> </w:t>
      </w:r>
      <w:r>
        <w:t xml:space="preserve">TRU → PI is estimated in a separate competing-model run and reported in the Discussion. It is not in the main model, carries neither an H-number nor an E-label, and no contribution claim attaches to it (A-2).</w:t>
      </w:r>
    </w:p>
    <w:p>
      <w:pPr>
        <w:pStyle w:val="FirstParagraph"/>
      </w:pPr>
      <w:r>
        <w:rPr>
          <w:bCs/>
          <w:b/>
        </w:rPr>
        <w:t xml:space="preserve">Reporting-integrity rule.</w:t>
      </w:r>
      <w:r>
        <w:t xml:space="preserve"> </w:t>
      </w:r>
      <w:r>
        <w:t xml:space="preserve">All hypothesis results are reported — including non-significant H7a or H7b interactions. Null findings are interpreted (e.g., via the de jure/de facto salience paradox of Gap 4, which predicts precisely that de jure awareness may fail to bite) rather than dropped, and no hypothesis is removed from the register after the data are seen.</w:t>
      </w:r>
    </w:p>
    <w:bookmarkEnd w:id="57"/>
    <w:bookmarkEnd w:id="58"/>
    <w:bookmarkStart w:id="59" w:name="c.2-estimating-h7a-and-h7b"/>
    <w:p>
      <w:pPr>
        <w:pStyle w:val="Heading2"/>
      </w:pPr>
      <w:r>
        <w:t xml:space="preserve">C.2 Estimating H7a and H7b</w:t>
      </w:r>
    </w:p>
    <w:p>
      <w:pPr>
        <w:pStyle w:val="FirstParagraph"/>
      </w:pPr>
      <w:r>
        <w:rPr>
          <w:iCs/>
          <w:i/>
        </w:rPr>
        <w:t xml:space="preserve">This section replaces the v2.1/v2.2 moderated-moderation estimation strategy in full (Amendment A-8). The PLS-MGA-primary / three-way-confirmatory design specified there is withdrawn.</w:t>
      </w:r>
    </w:p>
    <w:p>
      <w:pPr>
        <w:pStyle w:val="BodyText"/>
      </w:pPr>
      <w:r>
        <w:t xml:space="preserve">H7a and H7b are two independent second-order interactions on the same outcome. They are estimated in a single pooled model:</w:t>
      </w:r>
    </w:p>
    <w:p>
      <w:pPr>
        <w:numPr>
          <w:ilvl w:val="0"/>
          <w:numId w:val="1013"/>
        </w:numPr>
      </w:pPr>
      <w:r>
        <w:rPr>
          <w:bCs/>
          <w:b/>
        </w:rPr>
        <w:t xml:space="preserve">Specification.</w:t>
      </w:r>
      <w:r>
        <w:t xml:space="preserve"> </w:t>
      </w:r>
      <w:r>
        <w:t xml:space="preserve">TRU is regressed on INT, PDPL, DISC, INT × PDPL and INT × DISC. Interaction terms are generated by the</w:t>
      </w:r>
      <w:r>
        <w:t xml:space="preserve"> </w:t>
      </w:r>
      <w:r>
        <w:rPr>
          <w:bCs/>
          <w:b/>
        </w:rPr>
        <w:t xml:space="preserve">two-stage approach</w:t>
      </w:r>
      <w:r>
        <w:t xml:space="preserve"> </w:t>
      </w:r>
      <w:r>
        <w:t xml:space="preserve">(Becker et al., 2018), which is preferred to product-indicator methods and does not require the moderator to be reflectively measured — relevant because DISC is an observed dummy.</w:t>
      </w:r>
    </w:p>
    <w:p>
      <w:pPr>
        <w:numPr>
          <w:ilvl w:val="0"/>
          <w:numId w:val="1013"/>
        </w:numPr>
      </w:pPr>
      <w:r>
        <w:rPr>
          <w:bCs/>
          <w:b/>
        </w:rPr>
        <w:t xml:space="preserve">Reporting.</w:t>
      </w:r>
      <w:r>
        <w:t xml:space="preserve"> </w:t>
      </w:r>
      <w:r>
        <w:t xml:space="preserve">Report β_M1 (H7a) and β_M2 (H7b) separately, each with 10,000-resample bias-corrected accelerated bootstrap confidence intervals and an individual f². Do not report a joint test of the two; they are separate hypotheses with separate verdicts.</w:t>
      </w:r>
    </w:p>
    <w:p>
      <w:pPr>
        <w:numPr>
          <w:ilvl w:val="0"/>
          <w:numId w:val="1013"/>
        </w:numPr>
      </w:pPr>
      <w:r>
        <w:rPr>
          <w:bCs/>
          <w:b/>
        </w:rPr>
        <w:t xml:space="preserve">Interpretation — simple slopes.</w:t>
      </w:r>
      <w:r>
        <w:t xml:space="preserve"> </w:t>
      </w:r>
      <w:r>
        <w:t xml:space="preserve">Two two-line plots: the INT → TRU slope at PDPL ± 1 SD (H7a) and at DISC = 0 / 1 (H7b). H7a is supported when the slope is significantly less negative at high PDPL; H7b when it is significantly less negative under With Disclosure. The four-line, four-cell plot required by the withdrawn specification is not produced.</w:t>
      </w:r>
    </w:p>
    <w:p>
      <w:pPr>
        <w:numPr>
          <w:ilvl w:val="0"/>
          <w:numId w:val="1013"/>
        </w:numPr>
      </w:pPr>
      <w:r>
        <w:rPr>
          <w:bCs/>
          <w:b/>
        </w:rPr>
        <w:t xml:space="preserve">Relative-leverage comparison.</w:t>
      </w:r>
      <w:r>
        <w:t xml:space="preserve"> </w:t>
      </w:r>
      <w:r>
        <w:t xml:space="preserve">Because both terms are estimated with the other held constant, their standardized magnitudes are comparable. Report the comparison descriptively in the Discussion; do not present it as a formal hypothesis test unless a coefficient-difference test is pre-registered.</w:t>
      </w:r>
    </w:p>
    <w:p>
      <w:pPr>
        <w:numPr>
          <w:ilvl w:val="0"/>
          <w:numId w:val="1013"/>
        </w:numPr>
      </w:pPr>
      <w:r>
        <w:rPr>
          <w:bCs/>
          <w:b/>
        </w:rPr>
        <w:t xml:space="preserve">PLS-MGA and MICOM are no longer required for H7.</w:t>
      </w:r>
      <w:r>
        <w:t xml:space="preserve"> </w:t>
      </w:r>
      <w:r>
        <w:t xml:space="preserve">DISC is a pooled predictor and moderator inside one model, not a grouping variable for a between-group interaction contrast. If PLS-MGA is used elsewhere (e.g., a demographic robustness check), MICOM remains a prerequisite for that use.</w:t>
      </w:r>
    </w:p>
    <w:p>
      <w:pPr>
        <w:pStyle w:val="FirstParagraph"/>
      </w:pPr>
      <w:r>
        <w:rPr>
          <w:iCs/>
          <w:i/>
        </w:rPr>
        <w:t xml:space="preserve">Power.</w:t>
      </w:r>
      <w:r>
        <w:t xml:space="preserve"> </w:t>
      </w:r>
      <w:r>
        <w:t xml:space="preserve">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(06_power_analysis.py) and must be reconciled against an R-side pwr / WebPower check before the collection quota is frozen.</w:t>
      </w:r>
      <w:r>
        <w:t xml:space="preserve"> </w:t>
      </w:r>
      <w:r>
        <w:rPr>
          <w:bCs/>
          <w:b/>
        </w:rPr>
        <w:t xml:space="preserve">Partial-support language remains pre-committed:</w:t>
      </w:r>
      <w:r>
        <w:t xml:space="preserve"> </w:t>
      </w:r>
      <w:r>
        <w:t xml:space="preserve">if one carrier’s interaction is significant and the other is not, that is reported as support for one hypothesis and non-support for the other — never as generic</w:t>
      </w:r>
      <w:r>
        <w:t xml:space="preserve"> </w:t>
      </w:r>
      <w:r>
        <w:t xml:space="preserve">“</w:t>
      </w:r>
      <w:r>
        <w:t xml:space="preserve">support for H7</w:t>
      </w:r>
      <w:r>
        <w:t xml:space="preserve">”</w:t>
      </w:r>
      <w:r>
        <w:t xml:space="preserve">.</w:t>
      </w:r>
    </w:p>
    <w:bookmarkEnd w:id="59"/>
    <w:bookmarkStart w:id="60" w:name="X95cbb25ef79f5e4577745c04eaf3e37d741b276"/>
    <w:p>
      <w:pPr>
        <w:pStyle w:val="Heading2"/>
      </w:pPr>
      <w:r>
        <w:t xml:space="preserve">C.3 Design Consequences for Study 1 and Study 2</w:t>
      </w:r>
    </w:p>
    <w:p>
      <w:pPr>
        <w:pStyle w:val="FirstParagraph"/>
      </w:pPr>
      <w:r>
        <w:rPr>
          <w:iCs/>
          <w:i/>
        </w:rPr>
        <w:t xml:space="preserve">Incorporates Amendment A-7 in full.</w:t>
      </w:r>
    </w:p>
    <w:p>
      <w:pPr>
        <w:numPr>
          <w:ilvl w:val="0"/>
          <w:numId w:val="1014"/>
        </w:numPr>
      </w:pPr>
      <w:r>
        <w:rPr>
          <w:bCs/>
          <w:b/>
        </w:rPr>
        <w:t xml:space="preserve">One instrument, two analyses within Study 1.</w:t>
      </w:r>
      <w:r>
        <w:t xml:space="preserve"> </w:t>
      </w:r>
      <w:r>
        <w:t xml:space="preserve">Governance rule 4 requires a single integrated Qualtrics survey-experiment: Introduction → random assignment to one of four 2 × 2 cells → vignette → full item battery (with embedded attention checks) → manipulation checks → demographics. DISC (0/1) and AIP condition (Low/High) are recorded as variables for every respondent. This one dataset constitutes Study 1 and is analysed twice — by PLS-SEM and by two-way ANOVA. These are two analyses of one collection, not two collections. Any design in which respondents lack a DISC value makes H7b inestimable.</w:t>
      </w:r>
    </w:p>
    <w:p>
      <w:pPr>
        <w:numPr>
          <w:ilvl w:val="0"/>
          <w:numId w:val="1014"/>
        </w:numPr>
      </w:pPr>
      <w:r>
        <w:rPr>
          <w:bCs/>
          <w:b/>
        </w:rPr>
        <w:t xml:space="preserve">Study 1 — PLS-SEM analysis (n ≥ 350; target n ≥ 400).</w:t>
      </w:r>
      <w:r>
        <w:t xml:space="preserve"> </w:t>
      </w:r>
      <w:r>
        <w:t xml:space="preserve">Latent constructs: AIP, REL, INT, TRU, ENG, PI, PDPL. Observed dummy: DISC. Structural paths H1, H2, H4, H5, H6a, H6b, H6c; established paths E1 and E2; the specification terms listed in §C.1.1 (including DISC → INT); and the H7a/H7b interaction terms per §C.2. DISC enters as an observed dummy and appears in no measurement-model table. Confirmatory composite analysis, not classical CFA: loadings ≥ 0.60 at pilot and ≥ 0.70 at main collection, AVE 0.50, Cronbach’s α and ρ_A 0.70, HTMT &lt; 0.85 with particular attention to the AIP–REL pair.</w:t>
      </w:r>
    </w:p>
    <w:p>
      <w:pPr>
        <w:numPr>
          <w:ilvl w:val="0"/>
          <w:numId w:val="1014"/>
        </w:numPr>
      </w:pPr>
      <w:r>
        <w:rPr>
          <w:bCs/>
          <w:b/>
        </w:rPr>
        <w:t xml:space="preserve">Study 1 — two-way ANOVA analysis.</w:t>
      </w:r>
      <w:r>
        <w:t xml:space="preserve"> </w:t>
      </w:r>
      <w:r>
        <w:t xml:space="preserve">Factors: AI Personalization (Low/High) × Disclosure (No/With). Primary test: the Disclosure main effect on INT — the sole confirmatory test of H3. The AIP main effect on INT and REL is reported as an experimental replication of H1 and H2. The AIP × DISC interaction is reported as an exploratory contrast and must not be renumbered as an H-level hypothesis without a formal team decision. Manipulation checks must reach Cohen’s d ≥ 0.50, failing which the vignettes are rewritten before main collection (task B2.10).</w:t>
      </w:r>
    </w:p>
    <w:p>
      <w:pPr>
        <w:numPr>
          <w:ilvl w:val="0"/>
          <w:numId w:val="1014"/>
        </w:numPr>
      </w:pPr>
      <w:r>
        <w:rPr>
          <w:bCs/>
          <w:b/>
        </w:rPr>
        <w:t xml:space="preserve">Study 2 — the DSR artifact.</w:t>
      </w:r>
      <w:r>
        <w:t xml:space="preserve"> </w:t>
      </w:r>
      <w:r>
        <w:t xml:space="preserve">Study 2 is the Design Science Research component: the design, instantiation and evaluation of the privacy-aware AI agent (LangChain / Streamlit). It answers the design research question rather than testing a behavioural proposition, and</w:t>
      </w:r>
      <w:r>
        <w:t xml:space="preserve"> </w:t>
      </w:r>
      <w:r>
        <w:rPr>
          <w:bCs/>
          <w:b/>
        </w:rPr>
        <w:t xml:space="preserve">carries no H-numbered hypothesis</w:t>
      </w:r>
      <w:r>
        <w:t xml:space="preserve">. No result reported under Study 2 may be presented as confirming or disconfirming any hypothesis. Four layers per planning §3.1 — Data, Intelligence, Agent Core (orchestration), Output. The agent operationalises the disclosure and consent principles of PDP Law 2025 Arts. 9–10 and 28–30 by design, and implements SDG 12 through Green Score adaptive re-ranking. Evaluation under DSR guidelines (Hevner et al., 2004; Peffers et al., 2007): an A/B simulation over the synthetic catalogue — Group A with the SDG 12 filter (adaptive λ) against Group B standard recommendation (λ = 0) — on Precision@10, NDCG@10 and Green Exposure Rate, plus a small artifact user study with the Streamlit prototype.</w:t>
      </w:r>
      <w:r>
        <w:t xml:space="preserve"> </w:t>
      </w:r>
      <w:r>
        <w:rPr>
          <w:bCs/>
          <w:b/>
        </w:rPr>
        <w:t xml:space="preserve">Data separation:</w:t>
      </w:r>
      <w:r>
        <w:t xml:space="preserve"> </w:t>
      </w:r>
      <w:r>
        <w:t xml:space="preserve">Study 2 evaluation data are generated by simulation and by the artifact user study; they are distinct from the Study 1 dataset and must never be pooled with it, nor described as a second wave of the survey. Study 2 evaluation metrics must not migrate into Study 1 reporting.</w:t>
      </w:r>
    </w:p>
    <w:p>
      <w:pPr>
        <w:numPr>
          <w:ilvl w:val="0"/>
          <w:numId w:val="1014"/>
        </w:numPr>
      </w:pPr>
      <w:r>
        <w:rPr>
          <w:bCs/>
          <w:b/>
        </w:rPr>
        <w:t xml:space="preserve">Vignette set.</w:t>
      </w:r>
      <w:r>
        <w:t xml:space="preserve"> </w:t>
      </w:r>
      <w:r>
        <w:t xml:space="preserve">Four scenarios per the planning document: (1) Low AIP + No Disclosure; (2) Low AIP + With Disclosure; (3) High AIP + No Disclosure; (4) High AIP + With Disclosure — Group 4 retaining the planning designation as the SDG 16 transparency-governance condition.</w:t>
      </w:r>
      <w:r>
        <w:t xml:space="preserve"> </w:t>
      </w:r>
      <w:r>
        <w:rPr>
          <w:bCs/>
          <w:b/>
        </w:rPr>
        <w:t xml:space="preserve">Internal-validity fix:</w:t>
      </w:r>
      <w:r>
        <w:t xml:space="preserve"> </w:t>
      </w:r>
      <w:r>
        <w:t xml:space="preserve">disclosure depth was asymmetric between Groups 2 and 4; Group 2 has been revised so that both disclosure conditions carry identical opt-out and retention language and differ only in personalization intensity. Without this correction the Disclosure main effect (H3) and the disclosure moderator (H7b) would be confounded with disclosure depth.</w:t>
      </w:r>
    </w:p>
    <w:p>
      <w:pPr>
        <w:numPr>
          <w:ilvl w:val="0"/>
          <w:numId w:val="1014"/>
        </w:numPr>
      </w:pPr>
      <w:r>
        <w:rPr>
          <w:bCs/>
          <w:b/>
        </w:rPr>
        <w:t xml:space="preserve">Measurement.</w:t>
      </w:r>
      <w:r>
        <w:t xml:space="preserve"> </w:t>
      </w:r>
      <w:r>
        <w:rPr>
          <w:bCs/>
          <w:b/>
        </w:rPr>
        <w:t xml:space="preserve">34 reflective items fielded, 34 analysed</w:t>
      </w:r>
      <w:r>
        <w:t xml:space="preserve"> </w:t>
      </w:r>
      <w:r>
        <w:t xml:space="preserve">(no fielded-but-excluded item — A-9’s REL4-exclusion is retired), across 7 constructs, plus 2 attention checks and 2 manipulation-check items, with platform-anchored stems and full back-translation (EN → VI → EN). The pilot is the mandatory gate: no main collection opens before it closes. PDPL items must reference PDP Law 2025 by its common Vietnamese name and must not reference Decree 13/2023/NĐ-CP.</w:t>
      </w:r>
    </w:p>
    <w:bookmarkEnd w:id="60"/>
    <w:bookmarkStart w:id="62" w:name="c.4-measurement-register"/>
    <w:p>
      <w:pPr>
        <w:pStyle w:val="Heading2"/>
      </w:pPr>
      <w:r>
        <w:t xml:space="preserve">C.4 Measurement Register</w:t>
      </w:r>
    </w:p>
    <w:p>
      <w:pPr>
        <w:pStyle w:val="FirstParagraph"/>
      </w:pPr>
      <w:r>
        <w:t xml:space="preserve">The scale origins below reproduce the approved planning document. Every entry is provisional until the primary source has been retrieved and verified in Scopus.</w:t>
      </w:r>
      <w:r>
        <w:t xml:space="preserve"> </w:t>
      </w:r>
      <w:r>
        <w:rPr>
          <w:bCs/>
          <w:b/>
        </w:rPr>
        <w:t xml:space="preserve">Project rule:</w:t>
      </w:r>
      <w:r>
        <w:t xml:space="preserve"> </w:t>
      </w:r>
      <w:r>
        <w:t xml:space="preserve">items are traced to the Scopus-indexed primary source, never adopted through a secondary adaptation; unverifiable sources are replaced, not cited with a hedge.</w:t>
      </w:r>
      <w:r>
        <w:t xml:space="preserve"> </w:t>
      </w:r>
      <w:r>
        <w:rPr>
          <w:bCs/>
          <w:b/>
        </w:rPr>
        <w:t xml:space="preserve">Item counts in this table are the fielded and analysed counts of the actual instrument (PROJ_MAIN), reconciled by Amendment A-10.</w:t>
      </w:r>
    </w:p>
    <w:p>
      <w:pPr>
        <w:pStyle w:val="BodyText"/>
      </w:pPr>
      <w:r>
        <w:rPr>
          <w:bCs/>
          <w:b/>
        </w:rPr>
        <w:t xml:space="preserve">Amendment A-13 note.</w:t>
      </w:r>
      <w:r>
        <w:t xml:space="preserve"> </w:t>
      </w:r>
      <w:r>
        <w:t xml:space="preserve">Item</w:t>
      </w:r>
      <w:r>
        <w:t xml:space="preserve"> </w:t>
      </w:r>
      <w:r>
        <w:rPr>
          <w:iCs/>
          <w:i/>
        </w:rPr>
        <w:t xml:space="preserve">wording</w:t>
      </w:r>
      <w:r>
        <w:t xml:space="preserve"> </w:t>
      </w:r>
      <w:r>
        <w:t xml:space="preserve">for AIP, INT, TRU, PDPL, and PI was finalized after pilot for PROJ_MAIN_final_v2; the wording shown in the Master Codebook prior to v2.2 reflects the pilot-stage text these reliability figures were computed on. The changes are editorial (added clarifying clauses) except TRU2, where a double-barreled pilot item was corrected back to a single claim. Treat pilot alpha/loadings below as indicative of construct behaviour, not as confirmatory validation of the exact finalized wording — main collection (n ≥ 400) is the authoritative test. See Table 0d, Amendment A-13.</w:t>
      </w:r>
    </w:p>
    <w:tbl>
      <w:tblPr>
        <w:tblStyle w:val="Table"/>
        <w:tblW w:type="pct" w:w="4996"/>
        <w:tblLook w:firstRow="1" w:lastRow="0" w:firstColumn="0" w:lastColumn="0" w:noHBand="0" w:noVBand="0" w:val="0020"/>
        <w:jc w:val="start"/>
      </w:tblPr>
      <w:tblGrid>
        <w:gridCol w:w="52"/>
        <w:gridCol w:w="62"/>
        <w:gridCol w:w="56"/>
        <w:gridCol w:w="5253"/>
        <w:gridCol w:w="2488"/>
      </w:tblGrid>
      <w:tr>
        <w:trPr>
          <w:tblHeader w:val="true"/>
        </w:trPr>
        <w:tc>
          <w:tcPr/>
          <w:p>
            <w:pPr>
              <w:pStyle w:val="Compact"/>
              <w:jc w:val="left"/>
            </w:pPr>
            <w:r>
              <w:rPr>
                <w:bCs/>
                <w:b/>
              </w:rPr>
              <w:t xml:space="preserve">Construct</w:t>
            </w:r>
          </w:p>
        </w:tc>
        <w:tc>
          <w:tcPr/>
          <w:p>
            <w:pPr>
              <w:pStyle w:val="Compact"/>
              <w:jc w:val="left"/>
            </w:pPr>
            <w:r>
              <w:rPr>
                <w:bCs/>
                <w:b/>
              </w:rPr>
              <w:t xml:space="preserve">Fielded</w:t>
            </w:r>
          </w:p>
        </w:tc>
        <w:tc>
          <w:tcPr/>
          <w:p>
            <w:pPr>
              <w:pStyle w:val="Compact"/>
              <w:jc w:val="left"/>
            </w:pPr>
            <w:r>
              <w:rPr>
                <w:bCs/>
                <w:b/>
              </w:rPr>
              <w:t xml:space="preserve">Analysed</w:t>
            </w:r>
          </w:p>
        </w:tc>
        <w:tc>
          <w:tcPr/>
          <w:p>
            <w:pPr>
              <w:pStyle w:val="Compact"/>
              <w:jc w:val="left"/>
            </w:pPr>
            <w:r>
              <w:rPr>
                <w:bCs/>
                <w:b/>
              </w:rPr>
              <w:t xml:space="preserve">Planning-designated source</w:t>
            </w:r>
          </w:p>
        </w:tc>
        <w:tc>
          <w:tcPr/>
          <w:p>
            <w:pPr>
              <w:pStyle w:val="Compact"/>
              <w:jc w:val="left"/>
            </w:pPr>
            <w:r>
              <w:rPr>
                <w:bCs/>
                <w:b/>
              </w:rPr>
              <w:t xml:space="preserve">Verification status and known risk</w:t>
            </w:r>
          </w:p>
        </w:tc>
      </w:tr>
      <w:tr>
        <w:tc>
          <w:tcPr/>
          <w:p>
            <w:pPr>
              <w:pStyle w:val="Compact"/>
              <w:jc w:val="left"/>
            </w:pPr>
            <w:r>
              <w:rPr>
                <w:bCs/>
                <w:b/>
              </w:rPr>
              <w:t xml:space="preserve">AIP</w:t>
            </w:r>
          </w:p>
        </w:tc>
        <w:tc>
          <w:tcPr/>
          <w:p>
            <w:pPr>
              <w:pStyle w:val="Compact"/>
              <w:jc w:val="left"/>
            </w:pPr>
            <w:r>
              <w:t xml:space="preserve">5 (AIP1–AIP5)</w:t>
            </w:r>
          </w:p>
        </w:tc>
        <w:tc>
          <w:tcPr/>
          <w:p>
            <w:pPr>
              <w:pStyle w:val="Compact"/>
              <w:jc w:val="left"/>
            </w:pPr>
            <w:r>
              <w:t xml:space="preserve">5</w:t>
            </w:r>
          </w:p>
        </w:tc>
        <w:tc>
          <w:tcPr/>
          <w:p>
            <w:pPr>
              <w:pStyle w:val="Compact"/>
              <w:jc w:val="left"/>
            </w:pPr>
            <w:r>
              <w:rPr>
                <w:bCs/>
                <w:b/>
              </w:rPr>
              <w:t xml:space="preserve">RETRACTED: Awad &amp; Krishnan (2006) — checked against the source PDF and found not to contain matching items; not merely superseded.</w:t>
            </w:r>
            <w:r>
              <w:t xml:space="preserve"> </w:t>
            </w:r>
            <w:r>
              <w:t xml:space="preserve">Current: AIP1–AIP3 from Yin, Qiu &amp; Wang (2025), JTAER 20(1), Art. 21,</w:t>
            </w:r>
            <w:r>
              <w:t xml:space="preserve"> </w:t>
            </w:r>
            <w:r>
              <w:t xml:space="preserve">“</w:t>
            </w:r>
            <w:r>
              <w:t xml:space="preserve">Insightful Experience</w:t>
            </w:r>
            <w:r>
              <w:t xml:space="preserve">”</w:t>
            </w:r>
            <w:r>
              <w:t xml:space="preserve"> </w:t>
            </w:r>
            <w:r>
              <w:t xml:space="preserve">items IS3/IS4/IS6 (final CFA-confirmed scale, Table A3, verified against the published Appendix). AIP4–AIP5 from Rahman, Carlson, Gudergan, Wetzels &amp; Grewal (2022), Journal of Retailing, 98(4),</w:t>
            </w:r>
            <w:r>
              <w:t xml:space="preserve"> </w:t>
            </w:r>
            <w:r>
              <w:t xml:space="preserve">“</w:t>
            </w:r>
            <w:r>
              <w:t xml:space="preserve">Personalization (PERS)</w:t>
            </w:r>
            <w:r>
              <w:t xml:space="preserve">”</w:t>
            </w:r>
            <w:r>
              <w:t xml:space="preserve"> </w:t>
            </w:r>
            <w:r>
              <w:t xml:space="preserve">dimension, verified against the original PDF.</w:t>
            </w:r>
          </w:p>
        </w:tc>
        <w:tc>
          <w:tcPr/>
          <w:p>
            <w:pPr>
              <w:pStyle w:val="Compact"/>
              <w:jc w:val="left"/>
            </w:pPr>
            <w:r>
              <w:rPr>
                <w:bCs/>
                <w:b/>
              </w:rPr>
              <w:t xml:space="preserve">Item-level verified (not</w:t>
            </w:r>
            <w:r>
              <w:rPr>
                <w:bCs/>
                <w:b/>
              </w:rPr>
              <w:t xml:space="preserve"> </w:t>
            </w:r>
            <w:r>
              <w:rPr>
                <w:bCs/>
                <w:b/>
              </w:rPr>
              <w:t xml:space="preserve">“</w:t>
            </w:r>
            <w:r>
              <w:rPr>
                <w:bCs/>
                <w:b/>
              </w:rPr>
              <w:t xml:space="preserve">pending</w:t>
            </w:r>
            <w:r>
              <w:rPr>
                <w:bCs/>
                <w:b/>
              </w:rPr>
              <w:t xml:space="preserve">”</w:t>
            </w:r>
            <w:r>
              <w:rPr>
                <w:bCs/>
                <w:b/>
              </w:rPr>
              <w:t xml:space="preserve"> </w:t>
            </w:r>
            <w:r>
              <w:rPr>
                <w:bCs/>
                <w:b/>
              </w:rPr>
              <w:t xml:space="preserve">for the current sourcing). Discriminant-validity risk:</w:t>
            </w:r>
            <w:r>
              <w:t xml:space="preserve"> </w:t>
            </w:r>
            <w:r>
              <w:t xml:space="preserve">AIP items risk conceptual tautology with REL items; the HTMT check for the AIP–REL pair is the decisive test and must clear &lt; 0.85 before main collection. Pilot HTMT/EFA (n = 46) was computed on wording that no longer matches AIP1–AIP3 (two citation-chain corrections since pilot) and must not be relied on for the current item set — a new pilot pass or expert content-validity review is recommended before main collection. The self-reference item formerly coded AIP4 (Tam &amp; Ho, 2006 wording, highest overlap risk with REL) has been removed entirely per faculty guidance; AIP is now 5 items (previously 6).</w:t>
            </w:r>
          </w:p>
        </w:tc>
      </w:tr>
      <w:tr>
        <w:tc>
          <w:tcPr/>
          <w:p>
            <w:pPr>
              <w:pStyle w:val="Compact"/>
              <w:jc w:val="left"/>
            </w:pPr>
            <w:r>
              <w:rPr>
                <w:bCs/>
                <w:b/>
              </w:rPr>
              <w:t xml:space="preserve">REL</w:t>
            </w:r>
          </w:p>
        </w:tc>
        <w:tc>
          <w:tcPr/>
          <w:p>
            <w:pPr>
              <w:pStyle w:val="Compact"/>
              <w:jc w:val="left"/>
            </w:pPr>
            <w:r>
              <w:t xml:space="preserve">4 (REL1–REL4)</w:t>
            </w:r>
          </w:p>
        </w:tc>
        <w:tc>
          <w:tcPr/>
          <w:p>
            <w:pPr>
              <w:pStyle w:val="Compact"/>
              <w:jc w:val="left"/>
            </w:pPr>
            <w:r>
              <w:t xml:space="preserve">4 (REL1–REL4)</w:t>
            </w:r>
          </w:p>
        </w:tc>
        <w:tc>
          <w:tcPr/>
          <w:p>
            <w:pPr>
              <w:pStyle w:val="Compact"/>
              <w:jc w:val="left"/>
            </w:pPr>
            <w:r>
              <w:rPr>
                <w:bCs/>
                <w:b/>
              </w:rPr>
              <w:t xml:space="preserve">RETRACTED (two separate chains): Xu et al. (2011) and the intermediate Shanahan, Tran &amp; Taylor (2019)</w:t>
            </w:r>
            <w:r>
              <w:rPr>
                <w:bCs/>
                <w:b/>
              </w:rPr>
              <w:t xml:space="preserve"> </w:t>
            </w:r>
            <w:r>
              <w:rPr>
                <w:bCs/>
                <w:b/>
              </w:rPr>
              <w:t xml:space="preserve">“</w:t>
            </w:r>
            <w:r>
              <w:rPr>
                <w:bCs/>
                <w:b/>
              </w:rPr>
              <w:t xml:space="preserve">via Aydin (2026)</w:t>
            </w:r>
            <w:r>
              <w:rPr>
                <w:bCs/>
                <w:b/>
              </w:rPr>
              <w:t xml:space="preserve">”</w:t>
            </w:r>
            <w:r>
              <w:rPr>
                <w:bCs/>
                <w:b/>
              </w:rPr>
              <w:t xml:space="preserve"> </w:t>
            </w:r>
            <w:r>
              <w:rPr>
                <w:bCs/>
                <w:b/>
              </w:rPr>
              <w:t xml:space="preserve">attribution — both checked against primary-source PDFs and found not to contain matching items. Neither is merely superseded; both are citation errors. Aydin (2026), in any of its paper versions, must not be cited anywhere in this project pending independent re-review — a second Aydin (2026) paper offering the identical fabricated-item pattern for a different construct label was also found during verification.</w:t>
            </w:r>
            <w:r>
              <w:t xml:space="preserve"> </w:t>
            </w:r>
            <w:r>
              <w:t xml:space="preserve">Current: REL1 from Srinivasan, Anderson &amp; Ponnavolu (2002), Journal of Retailing, 78(1), item (a) (verified against PDF). REL2 and REL3 from Yin, Qiu &amp; Wang (2025), JTAER 20(1), Art. 21,</w:t>
            </w:r>
            <w:r>
              <w:t xml:space="preserve"> </w:t>
            </w:r>
            <w:r>
              <w:t xml:space="preserve">“</w:t>
            </w:r>
            <w:r>
              <w:t xml:space="preserve">Relevance Experience (RE)</w:t>
            </w:r>
            <w:r>
              <w:t xml:space="preserve">”</w:t>
            </w:r>
            <w:r>
              <w:t xml:space="preserve"> </w:t>
            </w:r>
            <w:r>
              <w:t xml:space="preserve">dimension, items RE4 and RE1 respectively (REL2 worded as</w:t>
            </w:r>
            <w:r>
              <w:t xml:space="preserve"> </w:t>
            </w:r>
            <w:r>
              <w:t xml:space="preserve">“</w:t>
            </w:r>
            <w:r>
              <w:t xml:space="preserve">consistent with the type of product I was looking for</w:t>
            </w:r>
            <w:r>
              <w:t xml:space="preserve">”</w:t>
            </w:r>
            <w:r>
              <w:t xml:space="preserve">, category fit; REL3 worded as</w:t>
            </w:r>
            <w:r>
              <w:t xml:space="preserve"> </w:t>
            </w:r>
            <w:r>
              <w:t xml:space="preserve">“</w:t>
            </w:r>
            <w:r>
              <w:t xml:space="preserve">consistent with what I had previously searched for</w:t>
            </w:r>
            <w:r>
              <w:t xml:space="preserve">”</w:t>
            </w:r>
            <w:r>
              <w:t xml:space="preserve">, search-history fit; same source paper as AIP, different and discriminantly-validated dimension — r = .622 in the source paper — so no item-level overlap with AIP). REL4 (worded</w:t>
            </w:r>
            <w:r>
              <w:t xml:space="preserve"> </w:t>
            </w:r>
            <w:r>
              <w:t xml:space="preserve">“</w:t>
            </w:r>
            <w:r>
              <w:t xml:space="preserve">Overall, the product list I saw was useful to me</w:t>
            </w:r>
            <w:r>
              <w:t xml:space="preserve">”</w:t>
            </w:r>
            <w:r>
              <w:t xml:space="preserve">) uses a 2-item semantic-differential pair (</w:t>
            </w:r>
            <w:r>
              <w:t xml:space="preserve">“</w:t>
            </w:r>
            <w:r>
              <w:t xml:space="preserve">relevant/irrelevant</w:t>
            </w:r>
            <w:r>
              <w:t xml:space="preserve">”</w:t>
            </w:r>
            <w:r>
              <w:t xml:space="preserve">;</w:t>
            </w:r>
            <w:r>
              <w:t xml:space="preserve"> </w:t>
            </w:r>
            <w:r>
              <w:t xml:space="preserve">“</w:t>
            </w:r>
            <w:r>
              <w:t xml:space="preserve">not at all useful / of very great use</w:t>
            </w:r>
            <w:r>
              <w:t xml:space="preserve">”</w:t>
            </w:r>
            <w:r>
              <w:t xml:space="preserve">) originating from an information-diagnosticity scale (Klar, 1990, as reproduced in Ahluwalia, Unnava &amp; Burnkrant, 2001,</w:t>
            </w:r>
            <w:r>
              <w:t xml:space="preserve"> </w:t>
            </w:r>
            <w:r>
              <w:rPr>
                <w:iCs/>
                <w:i/>
              </w:rPr>
              <w:t xml:space="preserve">Journal of Marketing Research</w:t>
            </w:r>
            <w:r>
              <w:t xml:space="preserve">, 38(4)) and repurposed as perceived relevance by De Keyzer, Dens &amp; De Pelsmacker (2015),</w:t>
            </w:r>
            <w:r>
              <w:t xml:space="preserve"> </w:t>
            </w:r>
            <w:r>
              <w:rPr>
                <w:iCs/>
                <w:i/>
              </w:rPr>
              <w:t xml:space="preserve">Journal of Interactive Advertising</w:t>
            </w:r>
            <w:r>
              <w:t xml:space="preserve">, 15(2), α = .937 for t</w:t>
            </w:r>
          </w:p>
        </w:tc>
        <w:tc>
          <w:tcPr/>
          <w:p>
            <w:pPr>
              <w:pStyle w:val="Compact"/>
              <w:jc w:val="left"/>
            </w:pPr>
            <w:r>
              <w:t xml:space="preserve">hat repurposed use.</w:t>
            </w:r>
            <w:r>
              <w:t xml:space="preserve"> </w:t>
            </w:r>
            <w:r>
              <w:rPr>
                <w:bCs/>
                <w:b/>
              </w:rPr>
              <w:t xml:space="preserve">This is REL4’s only ratified provenance (Amendment A-20); any attribution to Yin, Qiu &amp; Wang (2025) is withdrawn as an error.</w:t>
            </w:r>
            <w:r>
              <w:t xml:space="preserve"> </w:t>
            </w:r>
            <w:r>
              <w:rPr>
                <w:bCs/>
                <w:b/>
              </w:rPr>
              <w:t xml:space="preserve">Item-level verified for REL1/REL2/REL3 (not</w:t>
            </w:r>
            <w:r>
              <w:rPr>
                <w:bCs/>
                <w:b/>
              </w:rPr>
              <w:t xml:space="preserve"> </w:t>
            </w:r>
            <w:r>
              <w:rPr>
                <w:bCs/>
                <w:b/>
              </w:rPr>
              <w:t xml:space="preserve">“</w:t>
            </w:r>
            <w:r>
              <w:rPr>
                <w:bCs/>
                <w:b/>
              </w:rPr>
              <w:t xml:space="preserve">pending</w:t>
            </w:r>
            <w:r>
              <w:rPr>
                <w:bCs/>
                <w:b/>
              </w:rPr>
              <w:t xml:space="preserve">”</w:t>
            </w:r>
            <w:r>
              <w:rPr>
                <w:bCs/>
                <w:b/>
              </w:rPr>
              <w:t xml:space="preserve">). REL4 open flag:</w:t>
            </w:r>
            <w:r>
              <w:t xml:space="preserve"> </w:t>
            </w:r>
            <w:r>
              <w:t xml:space="preserve">Klar (1990), the primary source, has not been independently verified by the team — flagged for the team’s judgement (further sourcing vs. self-development), not resolved unilaterally.</w:t>
            </w:r>
            <w:r>
              <w:t xml:space="preserve"> </w:t>
            </w:r>
            <w:r>
              <w:rPr>
                <w:bCs/>
                <w:b/>
              </w:rPr>
              <w:t xml:space="preserve">Amendment A-9’s REL4-exclusion logic is RETIRED:</w:t>
            </w:r>
            <w:r>
              <w:t xml:space="preserve"> </w:t>
            </w:r>
            <w:r>
              <w:t xml:space="preserve">the REL4 item it applied to (Tam &amp; Ho, 2006, decision-usefulness wording) has been removed from the instrument entirely, not merely excluded. The current REL4 is a different, unrelated item (Klar 1990 → Ahluwalia et al. 2001 → De Keyzer et al. 2015) and is fully included in the measurement model — fielded and analysed counts for REL are now identical (4 = 4). No REL4 sensitivity analysis is required or should be reported; do not reuse the retired REL_mean_4item variable name.</w:t>
            </w:r>
          </w:p>
        </w:tc>
      </w:tr>
      <w:tr>
        <w:tc>
          <w:tcPr/>
          <w:p>
            <w:pPr>
              <w:pStyle w:val="Compact"/>
              <w:jc w:val="left"/>
            </w:pPr>
            <w:r>
              <w:rPr>
                <w:bCs/>
                <w:b/>
              </w:rPr>
              <w:t xml:space="preserve">INT</w:t>
            </w:r>
          </w:p>
        </w:tc>
        <w:tc>
          <w:tcPr/>
          <w:p>
            <w:pPr>
              <w:pStyle w:val="Compact"/>
              <w:jc w:val="left"/>
            </w:pPr>
            <w:r>
              <w:t xml:space="preserve">5 (INT1–INT5)</w:t>
            </w:r>
          </w:p>
        </w:tc>
        <w:tc>
          <w:tcPr/>
          <w:p>
            <w:pPr>
              <w:pStyle w:val="Compact"/>
              <w:jc w:val="left"/>
            </w:pPr>
            <w:r>
              <w:t xml:space="preserve">5</w:t>
            </w:r>
          </w:p>
        </w:tc>
        <w:tc>
          <w:tcPr/>
          <w:p>
            <w:pPr>
              <w:pStyle w:val="Compact"/>
              <w:jc w:val="left"/>
            </w:pPr>
            <w:r>
              <w:t xml:space="preserve">Li, Edwards &amp; Lee (2002), Journal of Advertising, 31(2), 37–47 — intrusiveness scale (previously miscited in this document as</w:t>
            </w:r>
            <w:r>
              <w:t xml:space="preserve"> </w:t>
            </w:r>
            <w:r>
              <w:t xml:space="preserve">“</w:t>
            </w:r>
            <w:r>
              <w:t xml:space="preserve">Li et al. (2017)</w:t>
            </w:r>
            <w:r>
              <w:t xml:space="preserve">”</w:t>
            </w:r>
            <w:r>
              <w:t xml:space="preserve">; corrected to match B1.5 and Master Codebook v2.5).</w:t>
            </w:r>
          </w:p>
        </w:tc>
        <w:tc>
          <w:tcPr/>
          <w:p>
            <w:pPr>
              <w:pStyle w:val="Compact"/>
              <w:jc w:val="left"/>
            </w:pPr>
            <w:r>
              <w:t xml:space="preserve">Verified against the original PDF (see B1.5 Table 4). If adapted from a 5-point original to the 7-point format, the Method section must acknowledge this explicitly.</w:t>
            </w:r>
          </w:p>
        </w:tc>
      </w:tr>
      <w:tr>
        <w:tc>
          <w:tcPr/>
          <w:p>
            <w:pPr>
              <w:pStyle w:val="Compact"/>
              <w:jc w:val="left"/>
            </w:pPr>
            <w:r>
              <w:rPr>
                <w:bCs/>
                <w:b/>
              </w:rPr>
              <w:t xml:space="preserve">TRU</w:t>
            </w:r>
          </w:p>
        </w:tc>
        <w:tc>
          <w:tcPr/>
          <w:p>
            <w:pPr>
              <w:pStyle w:val="Compact"/>
              <w:jc w:val="left"/>
            </w:pPr>
            <w:r>
              <w:t xml:space="preserve">6 (TRU1–TRU6)</w:t>
            </w:r>
          </w:p>
        </w:tc>
        <w:tc>
          <w:tcPr/>
          <w:p>
            <w:pPr>
              <w:pStyle w:val="Compact"/>
              <w:jc w:val="left"/>
            </w:pPr>
            <w:r>
              <w:t xml:space="preserve">6</w:t>
            </w:r>
          </w:p>
        </w:tc>
        <w:tc>
          <w:tcPr/>
          <w:p>
            <w:pPr>
              <w:pStyle w:val="Compact"/>
              <w:jc w:val="left"/>
            </w:pPr>
            <w:r>
              <w:t xml:space="preserve">McKnight et al. (2002) — cognitive + affective.</w:t>
            </w:r>
          </w:p>
        </w:tc>
        <w:tc>
          <w:tcPr/>
          <w:p>
            <w:pPr>
              <w:pStyle w:val="Compact"/>
              <w:jc w:val="left"/>
            </w:pPr>
            <w:r>
              <w:t xml:space="preserve">Pillar source; reference verified.</w:t>
            </w:r>
            <w:r>
              <w:t xml:space="preserve"> </w:t>
            </w:r>
            <w:r>
              <w:rPr>
                <w:bCs/>
                <w:b/>
              </w:rPr>
              <w:t xml:space="preserve">Count is 6, ratified by Amendment A-20</w:t>
            </w:r>
            <w:r>
              <w:t xml:space="preserve">, superseding Amendment A-10’s reduction to 5 for TRU. TRU1–TRU3 = cognitive trusting beliefs (competence, integrity, benevolence; McKnight et al., 2002); TRU4–TRU6 = discrete affective trusting-intention items — secure, comfortable, content (Komiak &amp; Benbasat, 2006,</w:t>
            </w:r>
            <w:r>
              <w:t xml:space="preserve"> </w:t>
            </w:r>
            <w:r>
              <w:rPr>
                <w:iCs/>
                <w:i/>
              </w:rPr>
              <w:t xml:space="preserve">MIS Quarterly</w:t>
            </w:r>
            <w:r>
              <w:t xml:space="preserve"> </w:t>
            </w:r>
            <w:r>
              <w:t xml:space="preserve">30(4)). Verified against the live Qualtrics export, 15 September 2026; the five-item TRU register in Master Codebook v2.4–v2.6 was stale and is corrected in v2.7.</w:t>
            </w:r>
            <w:r>
              <w:t xml:space="preserve"> </w:t>
            </w:r>
            <w:r>
              <w:rPr>
                <w:bCs/>
                <w:b/>
              </w:rPr>
              <w:t xml:space="preserve">Known risk:</w:t>
            </w:r>
            <w:r>
              <w:t xml:space="preserve"> </w:t>
            </w:r>
            <w:r>
              <w:t xml:space="preserve">items must be anchored to a single trustee (the AI agent / platform) rather than mixing recommendation competence with data protection, or both H4 and H6a attenuate.</w:t>
            </w:r>
          </w:p>
        </w:tc>
      </w:tr>
      <w:tr>
        <w:tc>
          <w:tcPr/>
          <w:p>
            <w:pPr>
              <w:pStyle w:val="Compact"/>
              <w:jc w:val="left"/>
            </w:pPr>
            <w:r>
              <w:rPr>
                <w:bCs/>
                <w:b/>
              </w:rPr>
              <w:t xml:space="preserve">ENG</w:t>
            </w:r>
          </w:p>
        </w:tc>
        <w:tc>
          <w:tcPr/>
          <w:p>
            <w:pPr>
              <w:pStyle w:val="Compact"/>
              <w:jc w:val="left"/>
            </w:pPr>
            <w:r>
              <w:t xml:space="preserve">6 (ENG1–ENG6)</w:t>
            </w:r>
          </w:p>
        </w:tc>
        <w:tc>
          <w:tcPr/>
          <w:p>
            <w:pPr>
              <w:pStyle w:val="Compact"/>
              <w:jc w:val="left"/>
            </w:pPr>
            <w:r>
              <w:t xml:space="preserve">6</w:t>
            </w:r>
          </w:p>
        </w:tc>
        <w:tc>
          <w:tcPr/>
          <w:p>
            <w:pPr>
              <w:pStyle w:val="Compact"/>
              <w:jc w:val="left"/>
            </w:pPr>
            <w:r>
              <w:t xml:space="preserve">Hollebeek, Glynn, &amp; Brodie (2014) — Consumer Brand Engagement (CBE) scale, abbreviated to 2 items per dimension (original: 3/dimension); conceptual grounding: Brodie et al. (2011) FP1/FP4.</w:t>
            </w:r>
            <w:r>
              <w:t xml:space="preserve"> </w:t>
            </w:r>
            <w:r>
              <w:rPr>
                <w:bCs/>
                <w:b/>
              </w:rPr>
              <w:t xml:space="preserve">Citation corrected from</w:t>
            </w:r>
            <w:r>
              <w:rPr>
                <w:bCs/>
                <w:b/>
              </w:rPr>
              <w:t xml:space="preserve"> </w:t>
            </w:r>
            <w:r>
              <w:rPr>
                <w:bCs/>
                <w:b/>
              </w:rPr>
              <w:t xml:space="preserve">“</w:t>
            </w:r>
            <w:r>
              <w:rPr>
                <w:bCs/>
                <w:b/>
              </w:rPr>
              <w:t xml:space="preserve">Brodie et al. (2011)</w:t>
            </w:r>
            <w:r>
              <w:rPr>
                <w:bCs/>
                <w:b/>
              </w:rPr>
              <w:t xml:space="preserve">”</w:t>
            </w:r>
            <w:r>
              <w:rPr>
                <w:bCs/>
                <w:b/>
              </w:rPr>
              <w:t xml:space="preserve"> </w:t>
            </w:r>
            <w:r>
              <w:rPr>
                <w:bCs/>
                <w:b/>
              </w:rPr>
              <w:t xml:space="preserve">by Amendment A-12</w:t>
            </w:r>
            <w:r>
              <w:t xml:space="preserve"> </w:t>
            </w:r>
            <w:r>
              <w:t xml:space="preserve">— that paper is conceptual and does not supply the item battery.</w:t>
            </w:r>
          </w:p>
        </w:tc>
        <w:tc>
          <w:tcPr/>
          <w:p>
            <w:pPr>
              <w:pStyle w:val="Compact"/>
              <w:jc w:val="left"/>
            </w:pPr>
            <w:r>
              <w:rPr>
                <w:bCs/>
                <w:b/>
              </w:rPr>
              <w:t xml:space="preserve">Amendment A-20 (diagnostics):</w:t>
            </w:r>
            <w:r>
              <w:t xml:space="preserve"> </w:t>
            </w:r>
            <w:r>
              <w:t xml:space="preserve">ENG reliability, EFA/CFA, outer loadings, CR, AVE and item-retention are computed on the</w:t>
            </w:r>
            <w:r>
              <w:t xml:space="preserve"> </w:t>
            </w:r>
            <w:r>
              <w:rPr>
                <w:bCs/>
                <w:b/>
              </w:rPr>
              <w:t xml:space="preserve">pooled six-item set</w:t>
            </w:r>
            <w:r>
              <w:t xml:space="preserve">, as for every other construct; ENG must appear in every reliability and CR/AVE table. The three-dimension labelling introduced by A-12 — Cognitive Processing (ENG1–ENG2), Affection (ENG3, ENG6), Activation (ENG4–ENG5), §A.4.1 — is retained as content description only and no longer governs computation. Facet alphas at n = 277: Cognitive 0.695, Affection 0.788, Activation 0.776 (pilot n = 46 figures were 0.768 / 0.532 / 0.345).</w:t>
            </w:r>
            <w:r>
              <w:t xml:space="preserve"> </w:t>
            </w:r>
            <w:r>
              <w:rPr>
                <w:bCs/>
                <w:b/>
              </w:rPr>
              <w:t xml:space="preserve">ENG4 is retained</w:t>
            </w:r>
            <w:r>
              <w:t xml:space="preserve"> </w:t>
            </w:r>
            <w:r>
              <w:t xml:space="preserve">despite weak Activation-facet reliability — dropping it would leave Activation as a single-item facet; the low reliability is a known consequence of abbreviating the original 3-item/dimension CBE scale to 2/dimension and is reported in Limitations, not resolved by item deletion. Not modeled as a structural second-order construct (§A.4.1 scope note).</w:t>
            </w:r>
          </w:p>
        </w:tc>
      </w:tr>
      <w:tr>
        <w:tc>
          <w:tcPr/>
          <w:p>
            <w:pPr>
              <w:pStyle w:val="Compact"/>
              <w:jc w:val="left"/>
            </w:pPr>
            <w:r>
              <w:rPr>
                <w:bCs/>
                <w:b/>
              </w:rPr>
              <w:t xml:space="preserve">PI</w:t>
            </w:r>
          </w:p>
        </w:tc>
        <w:tc>
          <w:tcPr/>
          <w:p>
            <w:pPr>
              <w:pStyle w:val="Compact"/>
              <w:jc w:val="left"/>
            </w:pPr>
            <w:r>
              <w:t xml:space="preserve">4 (PI1–PI4)</w:t>
            </w:r>
          </w:p>
        </w:tc>
        <w:tc>
          <w:tcPr/>
          <w:p>
            <w:pPr>
              <w:pStyle w:val="Compact"/>
              <w:jc w:val="left"/>
            </w:pPr>
            <w:r>
              <w:t xml:space="preserve">4</w:t>
            </w:r>
          </w:p>
        </w:tc>
        <w:tc>
          <w:tcPr/>
          <w:p>
            <w:pPr>
              <w:pStyle w:val="Compact"/>
              <w:jc w:val="left"/>
            </w:pPr>
            <w:r>
              <w:t xml:space="preserve">Pavlou (2003) — willingness to transact, for PI1–PI3 (Pavlou’s construct is inherently a 3-item maximum; it does not contain a fourth item). PI4 added from Dodds, Monroe &amp; Grewal (1991), Journal of Marketing Research, 28(3), Appendix,</w:t>
            </w:r>
            <w:r>
              <w:t xml:space="preserve"> </w:t>
            </w:r>
            <w:r>
              <w:t xml:space="preserve">“</w:t>
            </w:r>
            <w:r>
              <w:t xml:space="preserve">Willingness to Buy</w:t>
            </w:r>
            <w:r>
              <w:t xml:space="preserve">”</w:t>
            </w:r>
            <w:r>
              <w:t xml:space="preserve"> </w:t>
            </w:r>
            <w:r>
              <w:t xml:space="preserve">indicator 1/4, converted from semantic differential to Likert format; the price-specific framing used in two of that scale’s five items was dropped as not applicable to this vignette. Verified against the original PDF.</w:t>
            </w:r>
          </w:p>
        </w:tc>
        <w:tc>
          <w:tcPr/>
          <w:p>
            <w:pPr>
              <w:pStyle w:val="Compact"/>
              <w:jc w:val="left"/>
            </w:pPr>
            <w:r>
              <w:t xml:space="preserve">Pavlou (2003) sourcing for PI1–PI3 still pending primary-source verification; PI4 (Dodds, Monroe &amp; Grewal, 1991) is verified. PI carries the hypothesised antecedent H6c (A-1), so it is a substantive outcome, not merely a distal criterion.</w:t>
            </w:r>
          </w:p>
        </w:tc>
      </w:tr>
      <w:tr>
        <w:tc>
          <w:tcPr/>
          <w:p>
            <w:pPr>
              <w:pStyle w:val="Compact"/>
              <w:jc w:val="left"/>
            </w:pPr>
            <w:r>
              <w:rPr>
                <w:bCs/>
                <w:b/>
              </w:rPr>
              <w:t xml:space="preserve">PDPL</w:t>
            </w:r>
          </w:p>
        </w:tc>
        <w:tc>
          <w:tcPr/>
          <w:p>
            <w:pPr>
              <w:pStyle w:val="Compact"/>
              <w:jc w:val="left"/>
            </w:pPr>
            <w:r>
              <w:t xml:space="preserve">4 (PDPL1–PDPL4)</w:t>
            </w:r>
          </w:p>
        </w:tc>
        <w:tc>
          <w:tcPr/>
          <w:p>
            <w:pPr>
              <w:pStyle w:val="Compact"/>
              <w:jc w:val="left"/>
            </w:pPr>
            <w:r>
              <w:t xml:space="preserve">4</w:t>
            </w:r>
          </w:p>
        </w:tc>
        <w:tc>
          <w:tcPr/>
          <w:p>
            <w:pPr>
              <w:pStyle w:val="Compact"/>
              <w:jc w:val="left"/>
            </w:pPr>
            <w:r>
              <w:t xml:space="preserve">Newly developed on the content of Law 91/2025/QH15 (Arts. 8–10, 28).</w:t>
            </w:r>
          </w:p>
        </w:tc>
        <w:tc>
          <w:tcPr/>
          <w:p>
            <w:pPr>
              <w:pStyle w:val="Compact"/>
              <w:jc w:val="left"/>
            </w:pPr>
            <w:r>
              <w:t xml:space="preserve">New construct: content validity must be established by expert review.</w:t>
            </w:r>
            <w:r>
              <w:t xml:space="preserve"> </w:t>
            </w:r>
            <w:r>
              <w:rPr>
                <w:bCs/>
                <w:b/>
              </w:rPr>
              <w:t xml:space="preserve">OD-11 closed by Amendment A-17 (superseding A-16):</w:t>
            </w:r>
            <w:r>
              <w:t xml:space="preserve"> </w:t>
            </w:r>
            <w:r>
              <w:t xml:space="preserve">item stems remain generic by design (do not name Law 91/2025/QH15), and the fielded preamble is likewise generic with no statute-naming segment – the statute’s name appears only in the literature review and the Method section’s instrument-development narrative, not anywhere in survey administration. Must not reference Decree 13/2023/NĐ-CP.</w:t>
            </w:r>
            <w:r>
              <w:t xml:space="preserve"> </w:t>
            </w:r>
            <w:r>
              <w:rPr>
                <w:bCs/>
                <w:b/>
              </w:rPr>
              <w:t xml:space="preserve">Statutory anchors (Amendment A-20):</w:t>
            </w:r>
            <w:r>
              <w:t xml:space="preserve"> </w:t>
            </w:r>
            <w:r>
              <w:t xml:space="preserve">PDPL1 → Art. 1, Art. 38; PDPL2 → Art. 4(1)(d), Art. 14; PDPL3 → Art. 11(1), Art. 9; PDPL4 → Art. 4(1)(a), per B1.5 v3 — superseding both the coarser</w:t>
            </w:r>
            <w:r>
              <w:t xml:space="preserve"> </w:t>
            </w:r>
            <w:r>
              <w:t xml:space="preserve">“</w:t>
            </w:r>
            <w:r>
              <w:t xml:space="preserve">Arts. 8–10, 28</w:t>
            </w:r>
            <w:r>
              <w:t xml:space="preserve">”</w:t>
            </w:r>
            <w:r>
              <w:t xml:space="preserve"> </w:t>
            </w:r>
            <w:r>
              <w:t xml:space="preserve">summary previously shown here and the</w:t>
            </w:r>
            <w:r>
              <w:t xml:space="preserve"> </w:t>
            </w:r>
            <w:r>
              <w:t xml:space="preserve">“</w:t>
            </w:r>
            <w:r>
              <w:t xml:space="preserve">Art. 10 / Art. 9 / Art. 8 &amp; 28</w:t>
            </w:r>
            <w:r>
              <w:t xml:space="preserve">”</w:t>
            </w:r>
            <w:r>
              <w:t xml:space="preserve"> </w:t>
            </w:r>
            <w:r>
              <w:t xml:space="preserve">mapping in the Master Codebook.</w:t>
            </w:r>
            <w:r>
              <w:t xml:space="preserve"> </w:t>
            </w:r>
            <w:r>
              <w:rPr>
                <w:bCs/>
                <w:b/>
              </w:rPr>
              <w:t xml:space="preserve">Caveat (new OD-13):</w:t>
            </w:r>
            <w:r>
              <w:t xml:space="preserve"> </w:t>
            </w:r>
            <w:r>
              <w:t xml:space="preserve">A-11’s article-by-article verification (26 August 2026) was run against the</w:t>
            </w:r>
            <w:r>
              <w:t xml:space="preserve"> </w:t>
            </w:r>
            <w:r>
              <w:rPr>
                <w:iCs/>
                <w:i/>
              </w:rPr>
              <w:t xml:space="preserve">earlier</w:t>
            </w:r>
            <w:r>
              <w:t xml:space="preserve"> </w:t>
            </w:r>
            <w:r>
              <w:t xml:space="preserve">mapping; the B1.5 mapping adopted here has not itself been checked against the statute text. Re-verify before the Method section is drafted.</w:t>
            </w:r>
          </w:p>
        </w:tc>
      </w:tr>
      <w:tr>
        <w:tc>
          <w:tcPr/>
          <w:p>
            <w:pPr>
              <w:pStyle w:val="Compact"/>
              <w:jc w:val="left"/>
            </w:pPr>
            <w:r>
              <w:rPr>
                <w:bCs/>
                <w:b/>
              </w:rPr>
              <w:t xml:space="preserve">DISC</w:t>
            </w:r>
          </w:p>
        </w:tc>
        <w:tc>
          <w:tcPr/>
          <w:p>
            <w:pPr>
              <w:pStyle w:val="Compact"/>
              <w:jc w:val="left"/>
            </w:pPr>
            <w:r>
              <w:t xml:space="preserve">—</w:t>
            </w:r>
          </w:p>
        </w:tc>
        <w:tc>
          <w:tcPr/>
          <w:p>
            <w:pPr>
              <w:pStyle w:val="Compact"/>
              <w:jc w:val="left"/>
            </w:pPr>
            <w:r>
              <w:t xml:space="preserve">—</w:t>
            </w:r>
          </w:p>
        </w:tc>
        <w:tc>
          <w:tcPr/>
          <w:p>
            <w:pPr>
              <w:pStyle w:val="Compact"/>
              <w:jc w:val="left"/>
            </w:pPr>
            <w:r>
              <w:t xml:space="preserve">Manipulation only: 2 × 2 design, AIP Low/High × Disclosure No/With.</w:t>
            </w:r>
          </w:p>
        </w:tc>
        <w:tc>
          <w:tcPr/>
          <w:p>
            <w:pPr>
              <w:pStyle w:val="Compact"/>
              <w:jc w:val="left"/>
            </w:pPr>
            <w:r>
              <w:rPr>
                <w:bCs/>
                <w:b/>
              </w:rPr>
              <w:t xml:space="preserve">Never a Likert construct</w:t>
            </w:r>
            <w:r>
              <w:t xml:space="preserve"> </w:t>
            </w:r>
            <w:r>
              <w:t xml:space="preserve">(governance rule 4). Dummy-coded 0/1 in the SEM; moderator in H7b. Including DISC in a measurement-model or reliability table is a structural error.</w:t>
            </w:r>
          </w:p>
        </w:tc>
      </w:tr>
    </w:tbl>
    <w:p>
      <w:pPr>
        <w:pStyle w:val="BodyText"/>
      </w:pPr>
      <w:r>
        <w:t xml:space="preserve">Table 5. Measurement register — 34 reflective items fielded, 34 analysed (fielded = analysed; no fielded-but-excluded items remain), across 7 constructs, plus the DISC manipulation.</w:t>
      </w:r>
    </w:p>
    <w:bookmarkStart w:id="61" w:name="Xa494a454b14e031da0eb4ba60c36371a1ac097a"/>
    <w:p>
      <w:pPr>
        <w:pStyle w:val="Heading3"/>
      </w:pPr>
      <w:r>
        <w:t xml:space="preserve">C.4.1 Item-count constants — RETIRED (fielded = analysed since the AIP/REL/PI correction pass)</w:t>
      </w:r>
    </w:p>
    <w:p>
      <w:pPr>
        <w:pStyle w:val="FirstParagraph"/>
      </w:pPr>
      <w:r>
        <w:t xml:space="preserve">This subsection’s original purpose — tracking a fielded/analysed split caused by REL4 being fielded but excluded from the measurement model (Amendment A-9) — no longer applies. The REL4 that Amendment A-9 excluded (Tam &amp; Ho, 2006, decision-usefulness wording) has been removed from the instrument entirely, not merely excluded; the current REL4 is a different, unrelated item (Yin, Qiu &amp; Wang, 2025) that is fully included in the measurement model. Fielded and analysed item counts are now identical (34) for every construct, including REL. The table below is retained for historical reference only — use 34 uniformly wherever it previously distinguished 33 vs. 32:</w:t>
      </w:r>
    </w:p>
    <w:tbl>
      <w:tblPr>
        <w:tblStyle w:val="Table"/>
        <w:tblW w:type="pct" w:w="4966"/>
        <w:tblLook w:firstRow="1" w:lastRow="0" w:firstColumn="0" w:lastColumn="0" w:noHBand="0" w:noVBand="0" w:val="0020"/>
        <w:jc w:val="start"/>
      </w:tblPr>
      <w:tblGrid>
        <w:gridCol w:w="1422"/>
        <w:gridCol w:w="698"/>
        <w:gridCol w:w="5745"/>
      </w:tblGrid>
      <w:tr>
        <w:trPr>
          <w:tblHeader w:val="true"/>
        </w:trPr>
        <w:tc>
          <w:tcPr/>
          <w:p>
            <w:pPr>
              <w:pStyle w:val="Compact"/>
              <w:jc w:val="left"/>
            </w:pPr>
            <w:r>
              <w:rPr>
                <w:bCs/>
                <w:b/>
              </w:rPr>
              <w:t xml:space="preserve">Rule / artefact</w:t>
            </w:r>
          </w:p>
        </w:tc>
        <w:tc>
          <w:tcPr/>
          <w:p>
            <w:pPr>
              <w:pStyle w:val="Compact"/>
              <w:jc w:val="left"/>
            </w:pPr>
            <w:r>
              <w:rPr>
                <w:bCs/>
                <w:b/>
              </w:rPr>
              <w:t xml:space="preserve">Count to use</w:t>
            </w:r>
          </w:p>
        </w:tc>
        <w:tc>
          <w:tcPr/>
          <w:p>
            <w:pPr>
              <w:pStyle w:val="Compact"/>
              <w:jc w:val="left"/>
            </w:pPr>
            <w:r>
              <w:rPr>
                <w:bCs/>
                <w:b/>
              </w:rPr>
              <w:t xml:space="preserve">Reason</w:t>
            </w:r>
          </w:p>
        </w:tc>
      </w:tr>
      <w:tr>
        <w:tc>
          <w:tcPr/>
          <w:p>
            <w:pPr>
              <w:pStyle w:val="Compact"/>
              <w:jc w:val="left"/>
            </w:pPr>
            <w:r>
              <w:t xml:space="preserve">Missing-data exclusion (≤ 10% of items missing)</w:t>
            </w:r>
          </w:p>
        </w:tc>
        <w:tc>
          <w:tcPr/>
          <w:p>
            <w:pPr>
              <w:pStyle w:val="Compact"/>
              <w:jc w:val="left"/>
            </w:pPr>
            <w:r>
              <w:t xml:space="preserve">34 (fielded = analysed)</w:t>
            </w:r>
          </w:p>
        </w:tc>
        <w:tc>
          <w:tcPr/>
          <w:p>
            <w:pPr>
              <w:pStyle w:val="Compact"/>
              <w:jc w:val="left"/>
            </w:pPr>
            <w:r>
              <w:t xml:space="preserve">Data-quality screen applied to what the respondent was actually asked. The historical rationale (a REL4-only non-response changing inclusion status) no longer applies since there is no fielded-but-excluded item.</w:t>
            </w:r>
          </w:p>
        </w:tc>
      </w:tr>
      <w:tr>
        <w:tc>
          <w:tcPr/>
          <w:p>
            <w:pPr>
              <w:pStyle w:val="Compact"/>
              <w:jc w:val="left"/>
            </w:pPr>
            <w:r>
              <w:t xml:space="preserve">Straightlining flag (SD across items)</w:t>
            </w:r>
          </w:p>
        </w:tc>
        <w:tc>
          <w:tcPr/>
          <w:p>
            <w:pPr>
              <w:pStyle w:val="Compact"/>
              <w:jc w:val="left"/>
            </w:pPr>
            <w:r>
              <w:t xml:space="preserve">34 (fielded = analysed)</w:t>
            </w:r>
          </w:p>
        </w:tc>
        <w:tc>
          <w:tcPr/>
          <w:p>
            <w:pPr>
              <w:pStyle w:val="Compact"/>
              <w:jc w:val="left"/>
            </w:pPr>
            <w:r>
              <w:t xml:space="preserve">Same rationale: the flag detects response style across the whole battery.</w:t>
            </w:r>
          </w:p>
        </w:tc>
      </w:tr>
      <w:tr>
        <w:tc>
          <w:tcPr/>
          <w:p>
            <w:pPr>
              <w:pStyle w:val="Compact"/>
              <w:jc w:val="left"/>
            </w:pPr>
            <w:r>
              <w:t xml:space="preserve">Measurement model, α / ρ_A / AVE / HTMT / loadings</w:t>
            </w:r>
          </w:p>
        </w:tc>
        <w:tc>
          <w:tcPr/>
          <w:p>
            <w:pPr>
              <w:pStyle w:val="Compact"/>
              <w:jc w:val="left"/>
            </w:pPr>
            <w:r>
              <w:t xml:space="preserve">34 (fielded = analysed)</w:t>
            </w:r>
          </w:p>
        </w:tc>
        <w:tc>
          <w:tcPr/>
          <w:p>
            <w:pPr>
              <w:pStyle w:val="Compact"/>
              <w:jc w:val="left"/>
            </w:pPr>
            <w:r>
              <w:t xml:space="preserve">All items, including REL4, are indicators of their construct and enter every reliability/validity statistic. No item is excluded.</w:t>
            </w:r>
          </w:p>
        </w:tc>
      </w:tr>
      <w:tr>
        <w:tc>
          <w:tcPr/>
          <w:p>
            <w:pPr>
              <w:pStyle w:val="Compact"/>
              <w:jc w:val="left"/>
            </w:pPr>
            <w:r>
              <w:t xml:space="preserve">Construct score for REL</w:t>
            </w:r>
          </w:p>
        </w:tc>
        <w:tc>
          <w:tcPr/>
          <w:p>
            <w:pPr>
              <w:pStyle w:val="Compact"/>
              <w:jc w:val="left"/>
            </w:pPr>
            <w:r>
              <w:t xml:space="preserve">REL1–REL4 mean</w:t>
            </w:r>
          </w:p>
        </w:tc>
        <w:tc>
          <w:tcPr/>
          <w:p>
            <w:pPr>
              <w:pStyle w:val="Compact"/>
              <w:jc w:val="left"/>
            </w:pPr>
            <w:r>
              <w:t xml:space="preserve">No exclusion; REL_mean_4item is retired and should not be reused as a variable name.</w:t>
            </w:r>
          </w:p>
        </w:tc>
      </w:tr>
      <w:tr>
        <w:tc>
          <w:tcPr/>
          <w:p>
            <w:pPr>
              <w:pStyle w:val="Compact"/>
              <w:jc w:val="left"/>
            </w:pPr>
            <w:r>
              <w:t xml:space="preserve">Methods text</w:t>
            </w:r>
            <w:r>
              <w:t xml:space="preserve"> </w:t>
            </w:r>
            <w:r>
              <w:t xml:space="preserve">“</w:t>
            </w:r>
            <w:r>
              <w:t xml:space="preserve">n items</w:t>
            </w:r>
            <w:r>
              <w:t xml:space="preserve">”</w:t>
            </w:r>
          </w:p>
        </w:tc>
        <w:tc>
          <w:tcPr/>
          <w:p>
            <w:pPr>
              <w:pStyle w:val="Compact"/>
              <w:jc w:val="left"/>
            </w:pPr>
            <w:r>
              <w:t xml:space="preserve">State one number</w:t>
            </w:r>
          </w:p>
        </w:tc>
        <w:tc>
          <w:tcPr/>
          <w:p>
            <w:pPr>
              <w:pStyle w:val="Compact"/>
              <w:jc w:val="left"/>
            </w:pPr>
            <w:r>
              <w:t xml:space="preserve">e.g. </w:t>
            </w:r>
            <w:r>
              <w:t xml:space="preserve">“</w:t>
            </w:r>
            <w:r>
              <w:t xml:space="preserve">34 items were administered and entered the measurement model; no items were fielded-but-excluded.</w:t>
            </w:r>
            <w:r>
              <w:t xml:space="preserve">”</w:t>
            </w:r>
          </w:p>
        </w:tc>
      </w:tr>
      <w:tr>
        <w:tc>
          <w:tcPr/>
          <w:p>
            <w:pPr>
              <w:pStyle w:val="Compact"/>
              <w:jc w:val="left"/>
            </w:pPr>
            <w:r>
              <w:t xml:space="preserve">REL4 sensitivity analysis</w:t>
            </w:r>
          </w:p>
        </w:tc>
        <w:tc>
          <w:tcPr/>
          <w:p>
            <w:pPr>
              <w:pStyle w:val="Compact"/>
              <w:jc w:val="left"/>
            </w:pPr>
            <w:r>
              <w:t xml:space="preserve">Not applicable</w:t>
            </w:r>
          </w:p>
        </w:tc>
        <w:tc>
          <w:tcPr/>
          <w:p>
            <w:pPr>
              <w:pStyle w:val="Compact"/>
              <w:jc w:val="left"/>
            </w:pPr>
            <w:r>
              <w:t xml:space="preserve">Retired. No sensitivity analysis is needed since REL is a clean 4-item construct with no exclusion.</w:t>
            </w:r>
          </w:p>
        </w:tc>
      </w:tr>
    </w:tbl>
    <w:p>
      <w:pPr>
        <w:pStyle w:val="BodyText"/>
      </w:pPr>
      <w:r>
        <w:t xml:space="preserve">Table 5a. Which item count governs which rule.</w:t>
      </w:r>
    </w:p>
    <w:bookmarkEnd w:id="61"/>
    <w:bookmarkEnd w:id="62"/>
    <w:bookmarkStart w:id="63" w:name="Xd2d0968b92b1a517383e8d7abea464aa68c7108"/>
    <w:p>
      <w:pPr>
        <w:pStyle w:val="Heading2"/>
      </w:pPr>
      <w:r>
        <w:t xml:space="preserve">C.5 Consistency Checklist (Pre-Submission Quality Gate)</w:t>
      </w:r>
    </w:p>
    <w:p>
      <w:pPr>
        <w:numPr>
          <w:ilvl w:val="0"/>
          <w:numId w:val="1015"/>
        </w:numPr>
      </w:pPr>
      <w:r>
        <w:t xml:space="preserve">Construct labels match Table 1 verbatim across the diagram, hypothesis table, questionnaire, SmartPLS model, and manuscript (</w:t>
      </w:r>
      <w:r>
        <w:t xml:space="preserve">“</w:t>
      </w:r>
      <w:r>
        <w:t xml:space="preserve">PDPL Awareness</w:t>
      </w:r>
      <w:r>
        <w:t xml:space="preserve">”</w:t>
      </w:r>
      <w:r>
        <w:t xml:space="preserve">;</w:t>
      </w:r>
      <w:r>
        <w:t xml:space="preserve"> </w:t>
      </w:r>
      <w:r>
        <w:t xml:space="preserve">“</w:t>
      </w:r>
      <w:r>
        <w:t xml:space="preserve">Disclosure Level</w:t>
      </w:r>
      <w:r>
        <w:t xml:space="preserve">”</w:t>
      </w:r>
      <w:r>
        <w:t xml:space="preserve">). No occurrence of</w:t>
      </w:r>
      <w:r>
        <w:t xml:space="preserve"> </w:t>
      </w:r>
      <w:r>
        <w:t xml:space="preserve">“</w:t>
      </w:r>
      <w:r>
        <w:t xml:space="preserve">PDPD</w:t>
      </w:r>
      <w:r>
        <w:t xml:space="preserve">”</w:t>
      </w:r>
      <w:r>
        <w:t xml:space="preserve">,</w:t>
      </w:r>
      <w:r>
        <w:t xml:space="preserve"> </w:t>
      </w:r>
      <w:r>
        <w:t xml:space="preserve">“</w:t>
      </w:r>
      <w:r>
        <w:t xml:space="preserve">PDP Law Awareness</w:t>
      </w:r>
      <w:r>
        <w:t xml:space="preserve">”</w:t>
      </w:r>
      <w:r>
        <w:t xml:space="preserve">,</w:t>
      </w:r>
      <w:r>
        <w:t xml:space="preserve"> </w:t>
      </w:r>
      <w:r>
        <w:t xml:space="preserve">“</w:t>
      </w:r>
      <w:r>
        <w:t xml:space="preserve">Decree 13</w:t>
      </w:r>
      <w:r>
        <w:t xml:space="preserve">”</w:t>
      </w:r>
      <w:r>
        <w:t xml:space="preserve"> </w:t>
      </w:r>
      <w:r>
        <w:t xml:space="preserve">as the operative instrument, or</w:t>
      </w:r>
      <w:r>
        <w:t xml:space="preserve"> </w:t>
      </w:r>
      <w:r>
        <w:t xml:space="preserve">“</w:t>
      </w:r>
      <w:r>
        <w:t xml:space="preserve">Data Collection Depth</w:t>
      </w:r>
      <w:r>
        <w:t xml:space="preserve">”</w:t>
      </w:r>
      <w:r>
        <w:t xml:space="preserve"> </w:t>
      </w:r>
      <w:r>
        <w:t xml:space="preserve">survives anywhere.</w:t>
      </w:r>
    </w:p>
    <w:p>
      <w:pPr>
        <w:numPr>
          <w:ilvl w:val="0"/>
          <w:numId w:val="1015"/>
        </w:numPr>
      </w:pPr>
      <w:r>
        <w:t xml:space="preserve">Hypothesis numbering matches Table 3 exactly:</w:t>
      </w:r>
      <w:r>
        <w:t xml:space="preserve"> </w:t>
      </w:r>
      <w:r>
        <w:rPr>
          <w:bCs/>
          <w:b/>
        </w:rPr>
        <w:t xml:space="preserve">H3 = DISC → INT</w:t>
      </w:r>
      <w:r>
        <w:t xml:space="preserve"> </w:t>
      </w:r>
      <w:r>
        <w:t xml:space="preserve">and</w:t>
      </w:r>
      <w:r>
        <w:t xml:space="preserve"> </w:t>
      </w:r>
      <w:r>
        <w:rPr>
          <w:bCs/>
          <w:b/>
        </w:rPr>
        <w:t xml:space="preserve">H5 = REL → ENG</w:t>
      </w:r>
      <w:r>
        <w:t xml:space="preserve">. Any artefact still reading</w:t>
      </w:r>
      <w:r>
        <w:t xml:space="preserve"> </w:t>
      </w:r>
      <w:r>
        <w:t xml:space="preserve">“</w:t>
      </w:r>
      <w:r>
        <w:t xml:space="preserve">H3 = REL → ENG</w:t>
      </w:r>
      <w:r>
        <w:t xml:space="preserve">”</w:t>
      </w:r>
      <w:r>
        <w:t xml:space="preserve"> </w:t>
      </w:r>
      <w:r>
        <w:t xml:space="preserve">or</w:t>
      </w:r>
      <w:r>
        <w:t xml:space="preserve"> </w:t>
      </w:r>
      <w:r>
        <w:t xml:space="preserve">“</w:t>
      </w:r>
      <w:r>
        <w:t xml:space="preserve">H5 = TRU → PI</w:t>
      </w:r>
      <w:r>
        <w:t xml:space="preserve">”</w:t>
      </w:r>
      <w:r>
        <w:t xml:space="preserve"> </w:t>
      </w:r>
      <w:r>
        <w:t xml:space="preserve">is a v1.0 remnant and must be corrected.</w:t>
      </w:r>
    </w:p>
    <w:p>
      <w:pPr>
        <w:numPr>
          <w:ilvl w:val="0"/>
          <w:numId w:val="1015"/>
        </w:numPr>
      </w:pPr>
      <w:r>
        <w:t xml:space="preserve">H6 is reported as</w:t>
      </w:r>
      <w:r>
        <w:t xml:space="preserve"> </w:t>
      </w:r>
      <w:r>
        <w:rPr>
          <w:bCs/>
          <w:b/>
        </w:rPr>
        <w:t xml:space="preserve">H6a, H6b and H6c</w:t>
      </w:r>
      <w:r>
        <w:t xml:space="preserve">. The established-path register contains</w:t>
      </w:r>
      <w:r>
        <w:t xml:space="preserve"> </w:t>
      </w:r>
      <w:r>
        <w:rPr>
          <w:bCs/>
          <w:b/>
        </w:rPr>
        <w:t xml:space="preserve">E1 and E2 only</w:t>
      </w:r>
      <w:r>
        <w:t xml:space="preserve">; no E3 or E4 exists. TRU → PI appears nowhere in the main model — only as a competing-model robustness check in the Discussion.</w:t>
      </w:r>
    </w:p>
    <w:p>
      <w:pPr>
        <w:numPr>
          <w:ilvl w:val="0"/>
          <w:numId w:val="1015"/>
        </w:numPr>
      </w:pPr>
      <w:r>
        <w:rPr>
          <w:bCs/>
          <w:b/>
        </w:rPr>
        <w:t xml:space="preserve">H7 is specified everywhere as two hypotheses: H7a (PDPL × INT, β_M1) and H7b (DISC × INT, β_M2), both moderating the H6a path (INT → TRU) and neither moderating H6b or H6c.</w:t>
      </w:r>
      <w:r>
        <w:t xml:space="preserve"> </w:t>
      </w:r>
      <w:r>
        <w:t xml:space="preserve">No three-way product term is estimated, drawn, tabulated or discussed.</w:t>
      </w:r>
      <w:r>
        <w:t xml:space="preserve"> </w:t>
      </w:r>
      <w:r>
        <w:rPr>
          <w:bCs/>
          <w:b/>
        </w:rPr>
        <w:t xml:space="preserve">Any occurrence of</w:t>
      </w:r>
      <w:r>
        <w:rPr>
          <w:bCs/>
          <w:b/>
        </w:rPr>
        <w:t xml:space="preserve"> </w:t>
      </w:r>
      <w:r>
        <w:rPr>
          <w:bCs/>
          <w:b/>
        </w:rPr>
        <w:t xml:space="preserve">“</w:t>
      </w:r>
      <w:r>
        <w:rPr>
          <w:bCs/>
          <w:b/>
        </w:rPr>
        <w:t xml:space="preserve">β_M3</w:t>
      </w:r>
      <w:r>
        <w:rPr>
          <w:bCs/>
          <w:b/>
        </w:rPr>
        <w:t xml:space="preserve">”</w:t>
      </w:r>
      <w:r>
        <w:rPr>
          <w:bCs/>
          <w:b/>
        </w:rPr>
        <w:t xml:space="preserve">,</w:t>
      </w:r>
      <w:r>
        <w:rPr>
          <w:bCs/>
          <w:b/>
        </w:rPr>
        <w:t xml:space="preserve"> </w:t>
      </w:r>
      <w:r>
        <w:rPr>
          <w:bCs/>
          <w:b/>
        </w:rPr>
        <w:t xml:space="preserve">“</w:t>
      </w:r>
      <w:r>
        <w:rPr>
          <w:bCs/>
          <w:b/>
        </w:rPr>
        <w:t xml:space="preserve">β_M4</w:t>
      </w:r>
      <w:r>
        <w:rPr>
          <w:bCs/>
          <w:b/>
        </w:rPr>
        <w:t xml:space="preserve">”</w:t>
      </w:r>
      <w:r>
        <w:rPr>
          <w:bCs/>
          <w:b/>
        </w:rPr>
        <w:t xml:space="preserve">,</w:t>
      </w:r>
      <w:r>
        <w:rPr>
          <w:bCs/>
          <w:b/>
        </w:rPr>
        <w:t xml:space="preserve"> </w:t>
      </w:r>
      <w:r>
        <w:rPr>
          <w:bCs/>
          <w:b/>
        </w:rPr>
        <w:t xml:space="preserve">“</w:t>
      </w:r>
      <w:r>
        <w:rPr>
          <w:bCs/>
          <w:b/>
        </w:rPr>
        <w:t xml:space="preserve">moderated moderation</w:t>
      </w:r>
      <w:r>
        <w:rPr>
          <w:bCs/>
          <w:b/>
        </w:rPr>
        <w:t xml:space="preserve">”</w:t>
      </w:r>
      <w:r>
        <w:rPr>
          <w:bCs/>
          <w:b/>
        </w:rPr>
        <w:t xml:space="preserve">, or</w:t>
      </w:r>
      <w:r>
        <w:rPr>
          <w:bCs/>
          <w:b/>
        </w:rPr>
        <w:t xml:space="preserve"> </w:t>
      </w:r>
      <w:r>
        <w:rPr>
          <w:bCs/>
          <w:b/>
        </w:rPr>
        <w:t xml:space="preserve">“</w:t>
      </w:r>
      <w:r>
        <w:rPr>
          <w:bCs/>
          <w:b/>
        </w:rPr>
        <w:t xml:space="preserve">three-way interaction</w:t>
      </w:r>
      <w:r>
        <w:rPr>
          <w:bCs/>
          <w:b/>
        </w:rPr>
        <w:t xml:space="preserve">”</w:t>
      </w:r>
      <w:r>
        <w:rPr>
          <w:bCs/>
          <w:b/>
        </w:rPr>
        <w:t xml:space="preserve"> </w:t>
      </w:r>
      <w:r>
        <w:rPr>
          <w:bCs/>
          <w:b/>
        </w:rPr>
        <w:t xml:space="preserve">is a pre-v2.3 remnant and must be removed</w:t>
      </w:r>
      <w:r>
        <w:t xml:space="preserve"> </w:t>
      </w:r>
      <w:r>
        <w:t xml:space="preserve">— check the model figure, B1.4, the SmartPLS model file, 06_power_analysis.py, 07_plssem_bridge.R and CLAUDE.md.</w:t>
      </w:r>
    </w:p>
    <w:p>
      <w:pPr>
        <w:numPr>
          <w:ilvl w:val="0"/>
          <w:numId w:val="1015"/>
        </w:numPr>
      </w:pPr>
      <w:r>
        <w:rPr>
          <w:bCs/>
          <w:b/>
        </w:rPr>
        <w:t xml:space="preserve">REL is measured by REL1–REL4 in every measurement-model artefact.</w:t>
      </w:r>
      <w:r>
        <w:t xml:space="preserve"> </w:t>
      </w:r>
      <w:r>
        <w:t xml:space="preserve">All four items enter α, AVE, HTMT and loading tables; none is excluded. Any artefact still excluding REL4 or capping REL at 3 items is a pre-correction-pass remnant and must be updated.</w:t>
      </w:r>
    </w:p>
    <w:p>
      <w:pPr>
        <w:numPr>
          <w:ilvl w:val="0"/>
          <w:numId w:val="1015"/>
        </w:numPr>
      </w:pPr>
      <w:r>
        <w:rPr>
          <w:bCs/>
          <w:b/>
        </w:rPr>
        <w:t xml:space="preserve">TRU = TRU1–TRU6 and ENG = ENG1–ENG6 everywhere.</w:t>
      </w:r>
      <w:r>
        <w:t xml:space="preserve"> </w:t>
      </w:r>
      <w:r>
        <w:t xml:space="preserve">Any artefact reading</w:t>
      </w:r>
      <w:r>
        <w:t xml:space="preserve"> </w:t>
      </w:r>
      <w:r>
        <w:t xml:space="preserve">“</w:t>
      </w:r>
      <w:r>
        <w:t xml:space="preserve">TRU1–TRU5</w:t>
      </w:r>
      <w:r>
        <w:t xml:space="preserve">”</w:t>
      </w:r>
      <w:r>
        <w:t xml:space="preserve"> </w:t>
      </w:r>
      <w:r>
        <w:t xml:space="preserve">or</w:t>
      </w:r>
      <w:r>
        <w:t xml:space="preserve"> </w:t>
      </w:r>
      <w:r>
        <w:t xml:space="preserve">“</w:t>
      </w:r>
      <w:r>
        <w:t xml:space="preserve">ENG1–ENG5</w:t>
      </w:r>
      <w:r>
        <w:t xml:space="preserve">”</w:t>
      </w:r>
      <w:r>
        <w:t xml:space="preserve"> </w:t>
      </w:r>
      <w:r>
        <w:t xml:space="preserve">predates the post-B1.5 correction pass that reversed Amendment A-10’s TRU reduction.</w:t>
      </w:r>
    </w:p>
    <w:p>
      <w:pPr>
        <w:numPr>
          <w:ilvl w:val="0"/>
          <w:numId w:val="1015"/>
        </w:numPr>
      </w:pPr>
      <w:r>
        <w:rPr>
          <w:bCs/>
          <w:b/>
        </w:rPr>
        <w:t xml:space="preserve">ENG reliability, EFA/CFA, outer loadings, CR, AVE and item-retention are computed on the pooled six-item set (Amendment A-20).</w:t>
      </w:r>
      <w:r>
        <w:t xml:space="preserve"> </w:t>
      </w:r>
      <w:r>
        <w:t xml:space="preserve">ENG appears in every reliability and CR/AVE table alongside the other six constructs; its absence from those tables is a defect. The three-dimension labelling (Cognitive: ENG1–ENG2; Affection: ENG3, ENG6; Activation: ENG4–ENG5) is content description only. Any artefact still excluding ENG from a pooled table is a pre-A-20 remnant. ENG4 is retained in the measurement model despite weak Activation-facet reliability (§A.4.1, Amendment A-12); it is not dropped by analogy to REL4. Any artefact citing</w:t>
      </w:r>
      <w:r>
        <w:t xml:space="preserve"> </w:t>
      </w:r>
      <w:r>
        <w:t xml:space="preserve">“</w:t>
      </w:r>
      <w:r>
        <w:t xml:space="preserve">Brodie et al. (2011)</w:t>
      </w:r>
      <w:r>
        <w:t xml:space="preserve">”</w:t>
      </w:r>
      <w:r>
        <w:t xml:space="preserve"> </w:t>
      </w:r>
      <w:r>
        <w:t xml:space="preserve">as the</w:t>
      </w:r>
      <w:r>
        <w:t xml:space="preserve"> </w:t>
      </w:r>
      <w:r>
        <w:rPr>
          <w:iCs/>
          <w:i/>
        </w:rPr>
        <w:t xml:space="preserve">measurement</w:t>
      </w:r>
      <w:r>
        <w:t xml:space="preserve"> </w:t>
      </w:r>
      <w:r>
        <w:t xml:space="preserve">source for ENG1–ENG6 (rather than Hollebeek, Glynn, &amp; Brodie, 2014) is a pre-A-12 remnant. ENG remains a single first-order reflective composite in the structural model — no second-order ENG specification appears anywhere without a dedicated amendment.</w:t>
      </w:r>
    </w:p>
    <w:p>
      <w:pPr>
        <w:numPr>
          <w:ilvl w:val="0"/>
          <w:numId w:val="1015"/>
        </w:numPr>
      </w:pPr>
      <w:r>
        <w:t xml:space="preserve">Model figure legend: solid arrows = the hypothesised direct paths H1–H6c;</w:t>
      </w:r>
      <w:r>
        <w:t xml:space="preserve"> </w:t>
      </w:r>
      <w:r>
        <w:rPr>
          <w:bCs/>
          <w:b/>
        </w:rPr>
        <w:t xml:space="preserve">two separate dashed arrows, one from PDPL Awareness and one from Disclosure Level, each converging on its own moderation point astride the INT → TRU path</w:t>
      </w:r>
      <w:r>
        <w:t xml:space="preserve"> </w:t>
      </w:r>
      <w:r>
        <w:t xml:space="preserve">= H7a and H7b; dotted arrows = E1 and E2. The moderator box reads</w:t>
      </w:r>
      <w:r>
        <w:t xml:space="preserve"> </w:t>
      </w:r>
      <w:r>
        <w:t xml:space="preserve">“</w:t>
      </w:r>
      <w:r>
        <w:t xml:space="preserve">PDPL Awareness (Law 91/2025/QH15)</w:t>
      </w:r>
      <w:r>
        <w:t xml:space="preserve">”</w:t>
      </w:r>
      <w:r>
        <w:t xml:space="preserve"> </w:t>
      </w:r>
      <w:r>
        <w:t xml:space="preserve">— any figure still labelled</w:t>
      </w:r>
      <w:r>
        <w:t xml:space="preserve"> </w:t>
      </w:r>
      <w:r>
        <w:t xml:space="preserve">“</w:t>
      </w:r>
      <w:r>
        <w:t xml:space="preserve">PDPD</w:t>
      </w:r>
      <w:r>
        <w:t xml:space="preserve">”</w:t>
      </w:r>
      <w:r>
        <w:t xml:space="preserve"> </w:t>
      </w:r>
      <w:r>
        <w:t xml:space="preserve">is a governance-rule-1 violation. DISC is drawn as an observed variable (rectangular, dashed border), not a latent oval, and annotated</w:t>
      </w:r>
      <w:r>
        <w:t xml:space="preserve"> </w:t>
      </w:r>
      <w:r>
        <w:t xml:space="preserve">“</w:t>
      </w:r>
      <w:r>
        <w:t xml:space="preserve">manipulated factor; dummy 0/1; no measurement model</w:t>
      </w:r>
      <w:r>
        <w:t xml:space="preserve">”</w:t>
      </w:r>
      <w:r>
        <w:t xml:space="preserve">. Labels read</w:t>
      </w:r>
      <w:r>
        <w:t xml:space="preserve"> </w:t>
      </w:r>
      <w:r>
        <w:t xml:space="preserve">“</w:t>
      </w:r>
      <w:r>
        <w:t xml:space="preserve">H7a: β_M1 0</w:t>
      </w:r>
      <w:r>
        <w:t xml:space="preserve">”</w:t>
      </w:r>
      <w:r>
        <w:t xml:space="preserve"> </w:t>
      </w:r>
      <w:r>
        <w:t xml:space="preserve">and</w:t>
      </w:r>
      <w:r>
        <w:t xml:space="preserve"> </w:t>
      </w:r>
      <w:r>
        <w:t xml:space="preserve">“</w:t>
      </w:r>
      <w:r>
        <w:t xml:space="preserve">H7b: β_M2 0</w:t>
      </w:r>
      <w:r>
        <w:t xml:space="preserve">”</w:t>
      </w:r>
      <w:r>
        <w:t xml:space="preserve"> </w:t>
      </w:r>
      <w:r>
        <w:t xml:space="preserve">—</w:t>
      </w:r>
      <w:r>
        <w:t xml:space="preserve"> </w:t>
      </w:r>
      <w:r>
        <w:rPr>
          <w:bCs/>
          <w:b/>
        </w:rPr>
        <w:t xml:space="preserve">not</w:t>
      </w:r>
      <w:r>
        <w:t xml:space="preserve"> </w:t>
      </w:r>
      <w:r>
        <w:t xml:space="preserve">the single-node, single-label rendering specified before A-8.</w:t>
      </w:r>
    </w:p>
    <w:p>
      <w:pPr>
        <w:numPr>
          <w:ilvl w:val="0"/>
          <w:numId w:val="1015"/>
        </w:numPr>
      </w:pPr>
      <w:r>
        <w:rPr>
          <w:bCs/>
          <w:b/>
        </w:rPr>
        <w:t xml:space="preserve">TRU = TRU1–TRU6 with the Komiak &amp; Benbasat (2006) affective wording (secure / comfortable / content), and REL4 is sourced to Klar (1990) → Ahluwalia et al. (2001) → De Keyzer et al. (2015).</w:t>
      </w:r>
      <w:r>
        <w:t xml:space="preserve"> </w:t>
      </w:r>
      <w:r>
        <w:t xml:space="preserve">Any artefact showing five TRU items, or attributing REL4 to Yin, Qiu &amp; Wang (2025), is a pre-A-20 remnant — check B1.5, the Master Codebook,</w:t>
      </w:r>
      <w:r>
        <w:t xml:space="preserve"> </w:t>
      </w:r>
      <w:r>
        <w:rPr>
          <w:rStyle w:val="VerbatimChar"/>
        </w:rPr>
        <w:t xml:space="preserve">_config.py</w:t>
      </w:r>
      <w:r>
        <w:t xml:space="preserve">,</w:t>
      </w:r>
      <w:r>
        <w:t xml:space="preserve"> </w:t>
      </w:r>
      <w:r>
        <w:rPr>
          <w:rStyle w:val="VerbatimChar"/>
        </w:rPr>
        <w:t xml:space="preserve">07_plssem_bridge.R</w:t>
      </w:r>
      <w:r>
        <w:t xml:space="preserve"> </w:t>
      </w:r>
      <w:r>
        <w:t xml:space="preserve">and the SmartPLS model file.</w:t>
      </w:r>
    </w:p>
    <w:p>
      <w:pPr>
        <w:numPr>
          <w:ilvl w:val="0"/>
          <w:numId w:val="1015"/>
        </w:numPr>
      </w:pPr>
      <w:r>
        <w:rPr>
          <w:bCs/>
          <w:b/>
        </w:rPr>
        <w:t xml:space="preserve">No personal data in any shared or committed artefact.</w:t>
      </w:r>
      <w:r>
        <w:t xml:space="preserve"> </w:t>
      </w:r>
      <w:r>
        <w:t xml:space="preserve">IPAddress, LocationLatitude, LocationLongitude, recipient name/email fields and ExternalReference are personal data under Law 91/2025/QH15 Art. 2 and must be stripped before any commit or circulation. A study measuring awareness of this statute cannot be seen to breach it (OD-15).</w:t>
      </w:r>
    </w:p>
    <w:p>
      <w:pPr>
        <w:numPr>
          <w:ilvl w:val="0"/>
          <w:numId w:val="1015"/>
        </w:numPr>
      </w:pPr>
      <w:r>
        <w:rPr>
          <w:bCs/>
          <w:b/>
        </w:rPr>
        <w:t xml:space="preserve">Bart et al. (2005) framed as empirical support, never as a theoretical pillar.</w:t>
      </w:r>
      <w:r>
        <w:t xml:space="preserve"> </w:t>
      </w:r>
      <w:r>
        <w:t xml:space="preserve">The three pillars are and remain Privacy Calculus (Dinev &amp; Hart, 2006), Trust Theory (McKnight et al., 2002), and Institutional Theory (Scott, 1995).</w:t>
      </w:r>
    </w:p>
    <w:p>
      <w:pPr>
        <w:numPr>
          <w:ilvl w:val="0"/>
          <w:numId w:val="1015"/>
        </w:numPr>
      </w:pPr>
      <w:r>
        <w:t xml:space="preserve">SDG 16 used for societal/governance justification and the Group 4 vignette designation only; SDG 12 used for the artifact objective only. Neither is a measurement basis.</w:t>
      </w:r>
    </w:p>
    <w:p>
      <w:pPr>
        <w:numPr>
          <w:ilvl w:val="0"/>
          <w:numId w:val="1015"/>
        </w:numPr>
      </w:pPr>
      <w:r>
        <w:t xml:space="preserve">All regulatory citations reference PDP Law 2025 article numbers as tabulated in Part B; Decree 13/2023/NĐ-CP is cited only historically.</w:t>
      </w:r>
    </w:p>
    <w:p>
      <w:pPr>
        <w:numPr>
          <w:ilvl w:val="0"/>
          <w:numId w:val="1015"/>
        </w:numPr>
      </w:pPr>
      <w:r>
        <w:t xml:space="preserve">Every reference verified in Scopus/Google Scholar before manuscript inclusion; 2026-dated and incomplete 2024-dated citations receive a second verification pass. Legal instruments are housed in the regulatory comparison, not the academic literature table.</w:t>
      </w:r>
    </w:p>
    <w:p>
      <w:pPr>
        <w:numPr>
          <w:ilvl w:val="0"/>
          <w:numId w:val="1015"/>
        </w:numPr>
      </w:pPr>
      <w:r>
        <w:t xml:space="preserve">Achieved power for β_M1 and β_M2 stated in the Method section; sample-size logic distinguishes the Cochran (1977) n = 385 convention from the study-specific power calculation. iThenticate total similarity &lt; 20% with no single source above 5%, checked with particular attention to the four vignettes.</w:t>
      </w:r>
    </w:p>
    <w:bookmarkEnd w:id="63"/>
    <w:bookmarkStart w:id="64" w:name="c.6-open-decisions-and-residual-risks"/>
    <w:p>
      <w:pPr>
        <w:pStyle w:val="Heading2"/>
      </w:pPr>
      <w:r>
        <w:t xml:space="preserve">C.6 Open Decisions and Residual Risks</w:t>
      </w:r>
    </w:p>
    <w:tbl>
      <w:tblPr>
        <w:tblStyle w:val="Table"/>
        <w:tblW w:type="pct" w:w="4993"/>
        <w:tblLook w:firstRow="1" w:lastRow="0" w:firstColumn="0" w:lastColumn="0" w:noHBand="0" w:noVBand="0" w:val="0020"/>
        <w:jc w:val="start"/>
      </w:tblPr>
      <w:tblGrid>
        <w:gridCol w:w="139"/>
        <w:gridCol w:w="1059"/>
        <w:gridCol w:w="6709"/>
      </w:tblGrid>
      <w:tr>
        <w:trPr>
          <w:tblHeader w:val="true"/>
        </w:trPr>
        <w:tc>
          <w:tcPr/>
          <w:p>
            <w:pPr>
              <w:pStyle w:val="Compact"/>
              <w:jc w:val="left"/>
            </w:pPr>
            <w:r>
              <w:rPr>
                <w:bCs/>
                <w:b/>
              </w:rPr>
              <w:t xml:space="preserve">ID</w:t>
            </w:r>
          </w:p>
        </w:tc>
        <w:tc>
          <w:tcPr/>
          <w:p>
            <w:pPr>
              <w:pStyle w:val="Compact"/>
              <w:jc w:val="left"/>
            </w:pPr>
            <w:r>
              <w:rPr>
                <w:bCs/>
                <w:b/>
              </w:rPr>
              <w:t xml:space="preserve">Issue</w:t>
            </w:r>
          </w:p>
        </w:tc>
        <w:tc>
          <w:tcPr/>
          <w:p>
            <w:pPr>
              <w:pStyle w:val="Compact"/>
              <w:jc w:val="left"/>
            </w:pPr>
            <w:r>
              <w:rPr>
                <w:bCs/>
                <w:b/>
              </w:rPr>
              <w:t xml:space="preserve">Status and recommended handling</w:t>
            </w:r>
          </w:p>
        </w:tc>
      </w:tr>
      <w:tr>
        <w:tc>
          <w:tcPr/>
          <w:p>
            <w:pPr>
              <w:pStyle w:val="Compact"/>
              <w:jc w:val="left"/>
            </w:pPr>
            <w:r>
              <w:rPr>
                <w:bCs/>
                <w:b/>
              </w:rPr>
              <w:t xml:space="preserve">OD-1</w:t>
            </w:r>
          </w:p>
        </w:tc>
        <w:tc>
          <w:tcPr/>
          <w:p>
            <w:pPr>
              <w:pStyle w:val="Compact"/>
              <w:jc w:val="left"/>
            </w:pPr>
            <w:r>
              <w:t xml:space="preserve">Purchase Intention has no hypothesized antecedent.</w:t>
            </w:r>
          </w:p>
        </w:tc>
        <w:tc>
          <w:tcPr/>
          <w:p>
            <w:pPr>
              <w:pStyle w:val="Compact"/>
              <w:jc w:val="left"/>
            </w:pPr>
            <w:r>
              <w:rPr>
                <w:bCs/>
                <w:b/>
              </w:rPr>
              <w:t xml:space="preserve">CLOSED, 30 July 2026</w:t>
            </w:r>
            <w:r>
              <w:t xml:space="preserve"> </w:t>
            </w:r>
            <w:r>
              <w:t xml:space="preserve">by A-1: INT → PI restored as H6c.</w:t>
            </w:r>
          </w:p>
        </w:tc>
      </w:tr>
      <w:tr>
        <w:tc>
          <w:tcPr/>
          <w:p>
            <w:pPr>
              <w:pStyle w:val="Compact"/>
              <w:jc w:val="left"/>
            </w:pPr>
            <w:r>
              <w:rPr>
                <w:bCs/>
                <w:b/>
              </w:rPr>
              <w:t xml:space="preserve">OD-2</w:t>
            </w:r>
          </w:p>
        </w:tc>
        <w:tc>
          <w:tcPr/>
          <w:p>
            <w:pPr>
              <w:pStyle w:val="Compact"/>
              <w:jc w:val="left"/>
            </w:pPr>
            <w:r>
              <w:t xml:space="preserve">Statistical power for the highest-order H7 term (β_M4).</w:t>
            </w:r>
          </w:p>
        </w:tc>
        <w:tc>
          <w:tcPr/>
          <w:p>
            <w:pPr>
              <w:pStyle w:val="Compact"/>
              <w:jc w:val="left"/>
            </w:pPr>
            <w:r>
              <w:rPr>
                <w:bCs/>
                <w:b/>
              </w:rPr>
              <w:t xml:space="preserve">CLOSED, 24 August 2026</w:t>
            </w:r>
            <w:r>
              <w:t xml:space="preserve"> </w:t>
            </w:r>
            <w:r>
              <w:t xml:space="preserve">by A-8. The third-order term no longer exists; f² ≈ 0.02 per second-order term is detectable at n ≥ 400. No sample-size increase required. The a priori figure must still be reconciled against an R-side pwr/WebPower check before the quota is frozen.</w:t>
            </w:r>
          </w:p>
        </w:tc>
      </w:tr>
      <w:tr>
        <w:tc>
          <w:tcPr/>
          <w:p>
            <w:pPr>
              <w:pStyle w:val="Compact"/>
              <w:jc w:val="left"/>
            </w:pPr>
            <w:r>
              <w:rPr>
                <w:bCs/>
                <w:b/>
              </w:rPr>
              <w:t xml:space="preserve">OD-3</w:t>
            </w:r>
          </w:p>
        </w:tc>
        <w:tc>
          <w:tcPr/>
          <w:p>
            <w:pPr>
              <w:pStyle w:val="Compact"/>
              <w:jc w:val="left"/>
            </w:pPr>
            <w:r>
              <w:t xml:space="preserve">Green Score / SDG 12 attitude as a construct.</w:t>
            </w:r>
          </w:p>
        </w:tc>
        <w:tc>
          <w:tcPr/>
          <w:p>
            <w:pPr>
              <w:pStyle w:val="Compact"/>
              <w:jc w:val="left"/>
            </w:pPr>
            <w:r>
              <w:t xml:space="preserve">Remains an</w:t>
            </w:r>
            <w:r>
              <w:t xml:space="preserve"> </w:t>
            </w:r>
            <w:r>
              <w:rPr>
                <w:bCs/>
                <w:b/>
              </w:rPr>
              <w:t xml:space="preserve">artifact-evaluation variable only</w:t>
            </w:r>
            <w:r>
              <w:t xml:space="preserve">, not a construct in the Study 1 SEM, unless formally revised. Adding it would require new items, new pillar-level justification, and re-running discriminant validity — not advisable within the current timeline.</w:t>
            </w:r>
          </w:p>
        </w:tc>
      </w:tr>
      <w:tr>
        <w:tc>
          <w:tcPr/>
          <w:p>
            <w:pPr>
              <w:pStyle w:val="Compact"/>
              <w:jc w:val="left"/>
            </w:pPr>
            <w:r>
              <w:rPr>
                <w:bCs/>
                <w:b/>
              </w:rPr>
              <w:t xml:space="preserve">OD-4</w:t>
            </w:r>
          </w:p>
        </w:tc>
        <w:tc>
          <w:tcPr/>
          <w:p>
            <w:pPr>
              <w:pStyle w:val="Compact"/>
              <w:jc w:val="left"/>
            </w:pPr>
            <w:r>
              <w:t xml:space="preserve">Article-level citations to Law 91/2025/QH15 not yet verified against the signed statute.</w:t>
            </w:r>
          </w:p>
        </w:tc>
        <w:tc>
          <w:tcPr/>
          <w:p>
            <w:pPr>
              <w:pStyle w:val="Compact"/>
              <w:jc w:val="left"/>
            </w:pPr>
            <w:r>
              <w:rPr>
                <w:bCs/>
                <w:b/>
              </w:rPr>
              <w:t xml:space="preserve">CLOSED, 26 August 2026</w:t>
            </w:r>
            <w:r>
              <w:t xml:space="preserve"> </w:t>
            </w:r>
            <w:r>
              <w:t xml:space="preserve">by A-11. A machine-readable full-text copy of the statute (luat_PDPL.pdf) replaced the unreadable scanned copy (91qh.signed.pdf) in the project files, making direct verification possible without the OCR pipeline originally anticipated. Every Art. n citation in Part B and §A.5.1 checked article-by-article: all accurate, no correction required. See Table 0d (A-11) for the two findings that strengthen the Study 2 statutory grounding (Art. 28(8) personalized-advertising sub-case; Art. 30(4) AI risk-classification duty).</w:t>
            </w:r>
          </w:p>
        </w:tc>
      </w:tr>
      <w:tr>
        <w:tc>
          <w:tcPr/>
          <w:p>
            <w:pPr>
              <w:pStyle w:val="Compact"/>
              <w:jc w:val="left"/>
            </w:pPr>
            <w:r>
              <w:rPr>
                <w:bCs/>
                <w:b/>
              </w:rPr>
              <w:t xml:space="preserve">OD-5</w:t>
            </w:r>
          </w:p>
        </w:tc>
        <w:tc>
          <w:tcPr/>
          <w:p>
            <w:pPr>
              <w:pStyle w:val="Compact"/>
              <w:jc w:val="left"/>
            </w:pPr>
            <w:r>
              <w:t xml:space="preserve">SDG 12 vs. SDG 16 division of labour.</w:t>
            </w:r>
          </w:p>
        </w:tc>
        <w:tc>
          <w:tcPr/>
          <w:p>
            <w:pPr>
              <w:pStyle w:val="Compact"/>
              <w:jc w:val="left"/>
            </w:pPr>
            <w:r>
              <w:t xml:space="preserve">Settled convention:</w:t>
            </w:r>
            <w:r>
              <w:t xml:space="preserve"> </w:t>
            </w:r>
            <w:r>
              <w:rPr>
                <w:bCs/>
                <w:b/>
              </w:rPr>
              <w:t xml:space="preserve">SDG 16</w:t>
            </w:r>
            <w:r>
              <w:t xml:space="preserve"> </w:t>
            </w:r>
            <w:r>
              <w:t xml:space="preserve">= governance/transparency justification and the Group 4 vignette designation;</w:t>
            </w:r>
            <w:r>
              <w:t xml:space="preserve"> </w:t>
            </w:r>
            <w:r>
              <w:rPr>
                <w:bCs/>
                <w:b/>
              </w:rPr>
              <w:t xml:space="preserve">SDG 12</w:t>
            </w:r>
            <w:r>
              <w:t xml:space="preserve"> </w:t>
            </w:r>
            <w:r>
              <w:t xml:space="preserve">= the artifact’s sustainability objective. Neither is a measurement basis and neither is a construct.</w:t>
            </w:r>
          </w:p>
        </w:tc>
      </w:tr>
      <w:tr>
        <w:tc>
          <w:tcPr/>
          <w:p>
            <w:pPr>
              <w:pStyle w:val="Compact"/>
              <w:jc w:val="left"/>
            </w:pPr>
            <w:r>
              <w:rPr>
                <w:bCs/>
                <w:b/>
              </w:rPr>
              <w:t xml:space="preserve">OD-6</w:t>
            </w:r>
          </w:p>
        </w:tc>
        <w:tc>
          <w:tcPr/>
          <w:p>
            <w:pPr>
              <w:pStyle w:val="Compact"/>
              <w:jc w:val="left"/>
            </w:pPr>
            <w:r>
              <w:t xml:space="preserve">Legacy</w:t>
            </w:r>
            <w:r>
              <w:t xml:space="preserve"> </w:t>
            </w:r>
            <w:r>
              <w:t xml:space="preserve">“</w:t>
            </w:r>
            <w:r>
              <w:t xml:space="preserve">PDPD</w:t>
            </w:r>
            <w:r>
              <w:t xml:space="preserve">”</w:t>
            </w:r>
            <w:r>
              <w:t xml:space="preserve"> </w:t>
            </w:r>
            <w:r>
              <w:t xml:space="preserve">/ Decree 13 terminology outside this document.</w:t>
            </w:r>
          </w:p>
        </w:tc>
        <w:tc>
          <w:tcPr/>
          <w:p>
            <w:pPr>
              <w:pStyle w:val="Compact"/>
              <w:jc w:val="left"/>
            </w:pPr>
            <w:r>
              <w:t xml:space="preserve">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tc>
          <w:tcPr/>
          <w:p>
            <w:pPr>
              <w:pStyle w:val="Compact"/>
              <w:jc w:val="left"/>
            </w:pPr>
            <w:r>
              <w:rPr>
                <w:bCs/>
                <w:b/>
              </w:rPr>
              <w:t xml:space="preserve">OD-7</w:t>
            </w:r>
          </w:p>
        </w:tc>
        <w:tc>
          <w:tcPr/>
          <w:p>
            <w:pPr>
              <w:pStyle w:val="Compact"/>
              <w:jc w:val="left"/>
            </w:pPr>
            <w:r>
              <w:t xml:space="preserve">The research model figure is not compliant with this document.</w:t>
            </w:r>
          </w:p>
        </w:tc>
        <w:tc>
          <w:tcPr/>
          <w:p>
            <w:pPr>
              <w:pStyle w:val="Compact"/>
              <w:jc w:val="left"/>
            </w:pPr>
            <w:r>
              <w:rPr>
                <w:bCs/>
                <w:b/>
              </w:rPr>
              <w:t xml:space="preserve">Action required before any circulation.</w:t>
            </w:r>
            <w:r>
              <w:t xml:space="preserve"> </w:t>
            </w:r>
            <w:r>
              <w:t xml:space="preserve">Defects, as revised by A-8: (i) moderator box reads</w:t>
            </w:r>
            <w:r>
              <w:t xml:space="preserve"> </w:t>
            </w:r>
            <w:r>
              <w:t xml:space="preserve">“</w:t>
            </w:r>
            <w:r>
              <w:t xml:space="preserve">PDPD</w:t>
            </w:r>
            <w:r>
              <w:t xml:space="preserve">”</w:t>
            </w:r>
            <w:r>
              <w:t xml:space="preserve"> </w:t>
            </w:r>
            <w:r>
              <w:t xml:space="preserve">instead of</w:t>
            </w:r>
            <w:r>
              <w:t xml:space="preserve"> </w:t>
            </w:r>
            <w:r>
              <w:t xml:space="preserve">“</w:t>
            </w:r>
            <w:r>
              <w:t xml:space="preserve">PDPL Awareness (Law 91/2025/QH15)</w:t>
            </w:r>
            <w:r>
              <w:t xml:space="preserve">”</w:t>
            </w:r>
            <w:r>
              <w:t xml:space="preserve">; (ii) the legend gloss omits the moderator; (iii)</w:t>
            </w:r>
            <w:r>
              <w:t xml:space="preserve"> </w:t>
            </w:r>
            <w:r>
              <w:rPr>
                <w:bCs/>
                <w:b/>
              </w:rPr>
              <w:t xml:space="preserve">H7 must now be drawn as two independent dashed arrows — PDPL Awareness and Disclosure Level each converging on its own moderation point on the INT → TRU path. The single shared moderation node specified before A-8 is withdrawn;</w:t>
            </w:r>
            <w:r>
              <w:t xml:space="preserve"> </w:t>
            </w:r>
            <w:r>
              <w:t xml:space="preserve">(iv) the DISC box is drawn identically to AIP — redraw with a dashed border and annotate</w:t>
            </w:r>
            <w:r>
              <w:t xml:space="preserve"> </w:t>
            </w:r>
            <w:r>
              <w:t xml:space="preserve">“</w:t>
            </w:r>
            <w:r>
              <w:t xml:space="preserve">manipulated factor; dummy 0/1; no measurement model</w:t>
            </w:r>
            <w:r>
              <w:t xml:space="preserve">”</w:t>
            </w:r>
            <w:r>
              <w:t xml:space="preserve">; (v) legend reads</w:t>
            </w:r>
            <w:r>
              <w:t xml:space="preserve"> </w:t>
            </w:r>
            <w:r>
              <w:t xml:space="preserve">“</w:t>
            </w:r>
            <w:r>
              <w:t xml:space="preserve">solid = H1–H6</w:t>
            </w:r>
            <w:r>
              <w:t xml:space="preserve">”</w:t>
            </w:r>
            <w:r>
              <w:t xml:space="preserve">, should be</w:t>
            </w:r>
            <w:r>
              <w:t xml:space="preserve"> </w:t>
            </w:r>
            <w:r>
              <w:t xml:space="preserve">“</w:t>
            </w:r>
            <w:r>
              <w:t xml:space="preserve">H1–H6c</w:t>
            </w:r>
            <w:r>
              <w:t xml:space="preserve">”</w:t>
            </w:r>
            <w:r>
              <w:t xml:space="preserve">; (vi) labels must read</w:t>
            </w:r>
            <w:r>
              <w:t xml:space="preserve"> </w:t>
            </w:r>
            <w:r>
              <w:t xml:space="preserve">“</w:t>
            </w:r>
            <w:r>
              <w:t xml:space="preserve">H7a: β_M1 0</w:t>
            </w:r>
            <w:r>
              <w:t xml:space="preserve">”</w:t>
            </w:r>
            <w:r>
              <w:t xml:space="preserve"> </w:t>
            </w:r>
            <w:r>
              <w:t xml:space="preserve">and</w:t>
            </w:r>
            <w:r>
              <w:t xml:space="preserve"> </w:t>
            </w:r>
            <w:r>
              <w:t xml:space="preserve">“</w:t>
            </w:r>
            <w:r>
              <w:t xml:space="preserve">H7b: β_M2 0</w:t>
            </w:r>
            <w:r>
              <w:t xml:space="preserve">”</w:t>
            </w:r>
            <w:r>
              <w:t xml:space="preserve">. Add a figure note declaring the specification terms rather than drawing them. Target reissue: B1.4 v4.3.</w:t>
            </w:r>
          </w:p>
        </w:tc>
      </w:tr>
      <w:tr>
        <w:tc>
          <w:tcPr/>
          <w:p>
            <w:pPr>
              <w:pStyle w:val="Compact"/>
              <w:jc w:val="left"/>
            </w:pPr>
            <w:r>
              <w:rPr>
                <w:bCs/>
                <w:b/>
              </w:rPr>
              <w:t xml:space="preserve">OD-8</w:t>
            </w:r>
          </w:p>
        </w:tc>
        <w:tc>
          <w:tcPr/>
          <w:p>
            <w:pPr>
              <w:pStyle w:val="Compact"/>
              <w:jc w:val="left"/>
            </w:pPr>
            <w:r>
              <w:t xml:space="preserve">Downstream propagation of A-1 to A-6.</w:t>
            </w:r>
          </w:p>
        </w:tc>
        <w:tc>
          <w:tcPr/>
          <w:p>
            <w:pPr>
              <w:pStyle w:val="Compact"/>
              <w:jc w:val="left"/>
            </w:pPr>
            <w:r>
              <w:t xml:space="preserve">Largely absorbed. B1.4 now moves to</w:t>
            </w:r>
            <w:r>
              <w:t xml:space="preserve"> </w:t>
            </w:r>
            <w:r>
              <w:rPr>
                <w:bCs/>
                <w:b/>
              </w:rPr>
              <w:t xml:space="preserve">v4.3</w:t>
            </w:r>
            <w:r>
              <w:t xml:space="preserve"> </w:t>
            </w:r>
            <w:r>
              <w:t xml:space="preserve">carrying A-7 through A-10 together. B1.5, B1.6 and the Qualtrics block labels inherit the measurement-register corrections.</w:t>
            </w:r>
          </w:p>
        </w:tc>
      </w:tr>
      <w:tr>
        <w:tc>
          <w:tcPr/>
          <w:p>
            <w:pPr>
              <w:pStyle w:val="Compact"/>
              <w:jc w:val="left"/>
            </w:pPr>
            <w:r>
              <w:rPr>
                <w:bCs/>
                <w:b/>
              </w:rPr>
              <w:t xml:space="preserve">OD-9</w:t>
            </w:r>
          </w:p>
        </w:tc>
        <w:tc>
          <w:tcPr/>
          <w:p>
            <w:pPr>
              <w:pStyle w:val="Compact"/>
              <w:jc w:val="left"/>
            </w:pPr>
            <w:r>
              <w:t xml:space="preserve">Third novelty statement in §B.6.</w:t>
            </w:r>
          </w:p>
        </w:tc>
        <w:tc>
          <w:tcPr/>
          <w:p>
            <w:pPr>
              <w:pStyle w:val="Compact"/>
              <w:jc w:val="left"/>
            </w:pPr>
            <w:r>
              <w:rPr>
                <w:bCs/>
                <w:b/>
              </w:rPr>
              <w:t xml:space="preserve">Open — Khải’s call.</w:t>
            </w:r>
            <w:r>
              <w:t xml:space="preserve"> </w:t>
            </w:r>
            <w:r>
              <w:t xml:space="preserve">The v2.0 conjunctive statement cannot survive A-8. Option (a) withdraw, option (b) replace with the relative-leverage framing (§B.6). Until decided, the paragraph is not circulated. Should be settled before the Introduction and Discussion are drafted, and read alongside open item 12 of A-7 (the</w:t>
            </w:r>
            <w:r>
              <w:t xml:space="preserve"> </w:t>
            </w:r>
            <w:r>
              <w:t xml:space="preserve">“</w:t>
            </w:r>
            <w:r>
              <w:t xml:space="preserve">research-informed design</w:t>
            </w:r>
            <w:r>
              <w:t xml:space="preserve">”</w:t>
            </w:r>
            <w:r>
              <w:t xml:space="preserve"> </w:t>
            </w:r>
            <w:r>
              <w:t xml:space="preserve">timing question), since both concern how strongly the manuscript may claim a joint contribution. Owner: Khải.</w:t>
            </w:r>
          </w:p>
        </w:tc>
      </w:tr>
      <w:tr>
        <w:tc>
          <w:tcPr/>
          <w:p>
            <w:pPr>
              <w:pStyle w:val="Compact"/>
              <w:jc w:val="left"/>
            </w:pPr>
            <w:r>
              <w:rPr>
                <w:bCs/>
                <w:b/>
              </w:rPr>
              <w:t xml:space="preserve">OD-12</w:t>
            </w:r>
          </w:p>
        </w:tc>
        <w:tc>
          <w:tcPr/>
          <w:p>
            <w:pPr>
              <w:pStyle w:val="Compact"/>
              <w:jc w:val="left"/>
            </w:pPr>
            <w:r>
              <w:t xml:space="preserve">MC_AIP manipulation-check gate not cleared; vignette rewrite declined; differential attrition by AIP_COND.</w:t>
            </w:r>
          </w:p>
        </w:tc>
        <w:tc>
          <w:tcPr/>
          <w:p>
            <w:pPr>
              <w:pStyle w:val="Compact"/>
              <w:jc w:val="left"/>
            </w:pPr>
            <w:r>
              <w:rPr>
                <w:bCs/>
                <w:b/>
              </w:rPr>
              <w:t xml:space="preserve">OPEN — highest priority.</w:t>
            </w:r>
            <w:r>
              <w:t xml:space="preserve"> </w:t>
            </w:r>
            <w:r>
              <w:t xml:space="preserve">Requires faculty-advisor ratification, and must be disclosed in Method/Limitations before that section is drafted. Not resolved by the administrative</w:t>
            </w:r>
            <w:r>
              <w:t xml:space="preserve"> </w:t>
            </w:r>
            <w:r>
              <w:rPr>
                <w:rStyle w:val="VerbatimChar"/>
              </w:rPr>
              <w:t xml:space="preserve">sample_role</w:t>
            </w:r>
            <w:r>
              <w:t xml:space="preserve"> </w:t>
            </w:r>
            <w:r>
              <w:t xml:space="preserve">boundary adopted in A-19. Owner: Khải / faculty advisor.</w:t>
            </w:r>
          </w:p>
        </w:tc>
      </w:tr>
      <w:tr>
        <w:tc>
          <w:tcPr/>
          <w:p>
            <w:pPr>
              <w:pStyle w:val="Compact"/>
              <w:jc w:val="left"/>
            </w:pPr>
            <w:r>
              <w:rPr>
                <w:bCs/>
                <w:b/>
              </w:rPr>
              <w:t xml:space="preserve">OD-13</w:t>
            </w:r>
          </w:p>
        </w:tc>
        <w:tc>
          <w:tcPr/>
          <w:p>
            <w:pPr>
              <w:pStyle w:val="Compact"/>
              <w:jc w:val="left"/>
            </w:pPr>
            <w:r>
              <w:t xml:space="preserve">PDPL statutory anchors realigned to B1.5 but not re-verified against the statute.</w:t>
            </w:r>
          </w:p>
        </w:tc>
        <w:tc>
          <w:tcPr/>
          <w:p>
            <w:pPr>
              <w:pStyle w:val="Compact"/>
              <w:jc w:val="left"/>
            </w:pPr>
            <w:r>
              <w:rPr>
                <w:bCs/>
                <w:b/>
              </w:rPr>
              <w:t xml:space="preserve">OPEN.</w:t>
            </w:r>
            <w:r>
              <w:t xml:space="preserve"> </w:t>
            </w:r>
            <w:r>
              <w:t xml:space="preserve">A-11 verified the earlier mapping, not the B1.5 mapping adopted by A-20. Re-check Arts. 1, 4(1)(a), 4(1)(d), 9, 11(1), 14 and 38 against</w:t>
            </w:r>
            <w:r>
              <w:t xml:space="preserve"> </w:t>
            </w:r>
            <w:r>
              <w:rPr>
                <w:rStyle w:val="VerbatimChar"/>
              </w:rPr>
              <w:t xml:space="preserve">luat_PDPL.pdf</w:t>
            </w:r>
            <w:r>
              <w:t xml:space="preserve"> </w:t>
            </w:r>
            <w:r>
              <w:t xml:space="preserve">before the Method section is drafted; do not carry A-11’s</w:t>
            </w:r>
            <w:r>
              <w:t xml:space="preserve"> </w:t>
            </w:r>
            <w:r>
              <w:t xml:space="preserve">“</w:t>
            </w:r>
            <w:r>
              <w:t xml:space="preserve">all citations verified</w:t>
            </w:r>
            <w:r>
              <w:t xml:space="preserve">”</w:t>
            </w:r>
            <w:r>
              <w:t xml:space="preserve"> </w:t>
            </w:r>
            <w:r>
              <w:t xml:space="preserve">finding over to the new set. Owner: Như Quỳnh.</w:t>
            </w:r>
          </w:p>
        </w:tc>
      </w:tr>
      <w:tr>
        <w:tc>
          <w:tcPr/>
          <w:p>
            <w:pPr>
              <w:pStyle w:val="Compact"/>
              <w:jc w:val="left"/>
            </w:pPr>
            <w:r>
              <w:rPr>
                <w:bCs/>
                <w:b/>
              </w:rPr>
              <w:t xml:space="preserve">OD-14</w:t>
            </w:r>
          </w:p>
        </w:tc>
        <w:tc>
          <w:tcPr/>
          <w:p>
            <w:pPr>
              <w:pStyle w:val="Compact"/>
              <w:jc w:val="left"/>
            </w:pPr>
            <w:r>
              <w:t xml:space="preserve">Hard-drop policy in code diverges from the Master Codebook.</w:t>
            </w:r>
          </w:p>
        </w:tc>
        <w:tc>
          <w:tcPr/>
          <w:p>
            <w:pPr>
              <w:pStyle w:val="Compact"/>
              <w:jc w:val="left"/>
            </w:pPr>
            <w:r>
              <w:rPr>
                <w:bCs/>
                <w:b/>
              </w:rPr>
              <w:t xml:space="preserve">OPEN.</w:t>
            </w:r>
            <w:r>
              <w:t xml:space="preserve"> </w:t>
            </w:r>
            <w:r>
              <w:rPr>
                <w:rStyle w:val="VerbatimChar"/>
              </w:rPr>
              <w:t xml:space="preserve">01_clean.py</w:t>
            </w:r>
            <w:r>
              <w:t xml:space="preserve"> </w:t>
            </w:r>
            <w:r>
              <w:t xml:space="preserve">applies three criteria (missing data, duplicate pattern, straightlining); the codebook’s consent / age / omnichannel / attention / comprehension / speeding drops are disabled and the manipulation check is report-only. Ratify the narrower policy as a named amendment or restore the rules in code — do not carry the divergence into main collection. Owner: Phúc / Khải.</w:t>
            </w:r>
          </w:p>
        </w:tc>
      </w:tr>
      <w:tr>
        <w:tc>
          <w:tcPr/>
          <w:p>
            <w:pPr>
              <w:pStyle w:val="Compact"/>
              <w:jc w:val="left"/>
            </w:pPr>
            <w:r>
              <w:rPr>
                <w:bCs/>
                <w:b/>
              </w:rPr>
              <w:t xml:space="preserve">OD-15</w:t>
            </w:r>
          </w:p>
        </w:tc>
        <w:tc>
          <w:tcPr/>
          <w:p>
            <w:pPr>
              <w:pStyle w:val="Compact"/>
              <w:jc w:val="left"/>
            </w:pPr>
            <w:r>
              <w:t xml:space="preserve">Personal data in a publicly readable repository.</w:t>
            </w:r>
          </w:p>
        </w:tc>
        <w:tc>
          <w:tcPr/>
          <w:p>
            <w:pPr>
              <w:pStyle w:val="Compact"/>
              <w:jc w:val="left"/>
            </w:pPr>
            <w:r>
              <w:rPr>
                <w:bCs/>
                <w:b/>
              </w:rPr>
              <w:t xml:space="preserve">OPEN — urgent.</w:t>
            </w:r>
            <w:r>
              <w:t xml:space="preserve"> </w:t>
            </w:r>
            <w:r>
              <w:rPr>
                <w:rStyle w:val="VerbatimChar"/>
              </w:rPr>
              <w:t xml:space="preserve">NCKH_DATA</w:t>
            </w:r>
            <w:r>
              <w:t xml:space="preserve"> </w:t>
            </w:r>
            <w:r>
              <w:t xml:space="preserve">is public and</w:t>
            </w:r>
            <w:r>
              <w:t xml:space="preserve"> </w:t>
            </w:r>
            <w:r>
              <w:rPr>
                <w:rStyle w:val="VerbatimChar"/>
              </w:rPr>
              <w:t xml:space="preserve">data/raw/pilot_real.csv</w:t>
            </w:r>
            <w:r>
              <w:t xml:space="preserve"> </w:t>
            </w:r>
            <w:r>
              <w:t xml:space="preserve">carries live IPAddress (478 rows) and LocationLatitude/LocationLongitude (481 rows) — personal data under Law 91/2025/QH15 Art. 2. Make the repository private, strip the columns, and rewrite the commit so the values do not survive in history. Owner: Khải.</w:t>
            </w:r>
          </w:p>
        </w:tc>
      </w:tr>
      <w:tr>
        <w:tc>
          <w:tcPr/>
          <w:p>
            <w:pPr>
              <w:pStyle w:val="Compact"/>
              <w:jc w:val="left"/>
            </w:pPr>
            <w:r>
              <w:rPr>
                <w:bCs/>
                <w:b/>
              </w:rPr>
              <w:t xml:space="preserve">OD-16</w:t>
            </w:r>
          </w:p>
        </w:tc>
        <w:tc>
          <w:tcPr/>
          <w:p>
            <w:pPr>
              <w:pStyle w:val="Compact"/>
              <w:jc w:val="left"/>
            </w:pPr>
            <w:r>
              <w:t xml:space="preserve">REL4’s primary source, Klar (1990), not independently verified at item level.</w:t>
            </w:r>
          </w:p>
        </w:tc>
        <w:tc>
          <w:tcPr/>
          <w:p>
            <w:pPr>
              <w:pStyle w:val="Compact"/>
              <w:jc w:val="left"/>
            </w:pPr>
            <w:r>
              <w:rPr>
                <w:bCs/>
                <w:b/>
              </w:rPr>
              <w:t xml:space="preserve">OPEN, carried by A-20.</w:t>
            </w:r>
            <w:r>
              <w:t xml:space="preserve"> </w:t>
            </w:r>
            <w:r>
              <w:t xml:space="preserve">REL4 is the only item in the 34-item battery without a PDF-verified primary source, which is in tension with the project’s citation-integrity rule. Resolve by further sourcing or self-development before final ratification; do not close it by asserting the De Keyzer et al. (2015) chain alone. Owner: Như Quỳnh.</w:t>
            </w:r>
          </w:p>
        </w:tc>
      </w:tr>
      <w:tr>
        <w:tc>
          <w:tcPr/>
          <w:p>
            <w:pPr>
              <w:pStyle w:val="Compact"/>
              <w:jc w:val="left"/>
            </w:pPr>
            <w:r>
              <w:rPr>
                <w:bCs/>
                <w:b/>
              </w:rPr>
              <w:t xml:space="preserve">OD-10</w:t>
            </w:r>
          </w:p>
        </w:tc>
        <w:tc>
          <w:tcPr/>
          <w:p>
            <w:pPr>
              <w:pStyle w:val="Compact"/>
              <w:jc w:val="left"/>
            </w:pPr>
            <w:r>
              <w:t xml:space="preserve">Whether REL4 remains in the fielded instrument.</w:t>
            </w:r>
          </w:p>
        </w:tc>
        <w:tc>
          <w:tcPr/>
          <w:p>
            <w:pPr>
              <w:pStyle w:val="Compact"/>
              <w:jc w:val="left"/>
            </w:pPr>
            <w:r>
              <w:rPr>
                <w:bCs/>
                <w:b/>
              </w:rPr>
              <w:t xml:space="preserve">Open — default adopted.</w:t>
            </w:r>
            <w:r>
              <w:t xml:space="preserve"> </w:t>
            </w:r>
            <w:r>
              <w:t xml:space="preserve">The default recorded in A-9 is to</w:t>
            </w:r>
            <w:r>
              <w:t xml:space="preserve"> </w:t>
            </w:r>
            <w:r>
              <w:rPr>
                <w:bCs/>
                <w:b/>
              </w:rPr>
              <w:t xml:space="preserve">keep REL4 in the instrument</w:t>
            </w:r>
            <w:r>
              <w:t xml:space="preserve"> </w:t>
            </w:r>
            <w:r>
              <w:t xml:space="preserve">and exclude it only from the measurement model. Rationale: the Qualtrics build is already frozen and tested; removing an item invalidates the pilot’s comparability with main collection; and retaining it permits the 4-item vs 3-item sensitivity analysis that makes the exclusion defensible to a reviewer. The alternative — removing REL4 from the instrument — buys roughly ten seconds of respondent time and forfeits the sensitivity analysis.</w:t>
            </w:r>
            <w:r>
              <w:t xml:space="preserve"> </w:t>
            </w:r>
            <w:r>
              <w:rPr>
                <w:bCs/>
                <w:b/>
              </w:rPr>
              <w:t xml:space="preserve">CLOSED AS MOOT by Amendment A-20.</w:t>
            </w:r>
            <w:r>
              <w:t xml:space="preserve"> </w:t>
            </w:r>
            <w:r>
              <w:t xml:space="preserve">The REL4 this decision concerned (Tam &amp; Ho, 2006 wording) was removed from the instrument entirely; the current REL4 is a different item whose sourcing is governed by OD-16. This OD approves nothing about the current REL4. Owner: Khải.</w:t>
            </w:r>
          </w:p>
        </w:tc>
      </w:tr>
      <w:tr>
        <w:tc>
          <w:tcPr/>
          <w:p>
            <w:pPr>
              <w:pStyle w:val="Compact"/>
              <w:jc w:val="left"/>
            </w:pPr>
            <w:r>
              <w:rPr>
                <w:bCs/>
                <w:b/>
              </w:rPr>
              <w:t xml:space="preserve">OD-11</w:t>
            </w:r>
          </w:p>
        </w:tc>
        <w:tc>
          <w:tcPr/>
          <w:p>
            <w:pPr>
              <w:pStyle w:val="Compact"/>
              <w:jc w:val="left"/>
            </w:pPr>
            <w:r>
              <w:t xml:space="preserve">PDPL1–4 stems do not name Law 91/2025/QH15.</w:t>
            </w:r>
          </w:p>
        </w:tc>
        <w:tc>
          <w:tcPr/>
          <w:p>
            <w:pPr>
              <w:pStyle w:val="Compact"/>
              <w:jc w:val="left"/>
            </w:pPr>
            <w:r>
              <w:rPr>
                <w:bCs/>
                <w:b/>
              </w:rPr>
              <w:t xml:space="preserve">Closed by Amendment A-17, 8 September 2026 (supersedes the same-day A-16).</w:t>
            </w:r>
            <w:r>
              <w:t xml:space="preserve"> </w:t>
            </w:r>
            <w:r>
              <w:t xml:space="preserve">Final resolution: item stems remain generic, and the fielded preamble also remains a single generic segment with no statute-naming addition – faculty advisor confirmed the statute need not be named anywhere in survey administration, since all four items already trace to specific articles. The statute’s name and its relationship to the construct are documented in Chapter 2 and the Method section’s instrument-development narrative only. See § A.5.2, Table 0f. Owner: Khải (ratified); raised by Thiện, confirmed and finalized by faculty advisor.</w:t>
            </w:r>
          </w:p>
        </w:tc>
      </w:tr>
      <w:tr>
        <w:tc>
          <w:tcPr/>
          <w:p>
            <w:pPr>
              <w:pStyle w:val="Compact"/>
              <w:jc w:val="left"/>
            </w:pPr>
            <w:r>
              <w:rPr>
                <w:bCs/>
                <w:b/>
              </w:rPr>
              <w:t xml:space="preserve">OD-12</w:t>
            </w:r>
          </w:p>
        </w:tc>
        <w:tc>
          <w:tcPr/>
          <w:p>
            <w:pPr>
              <w:pStyle w:val="Compact"/>
              <w:jc w:val="left"/>
            </w:pPr>
            <w:r>
              <w:t xml:space="preserve">AIP manipulation check has not cleared the pre-committed d ≥ 0.50 gate at any pilot batch (n = 46 through 55); pre-committed vignette rewrite (B2.10) was drafted but not deployed.</w:t>
            </w:r>
          </w:p>
        </w:tc>
        <w:tc>
          <w:tcPr/>
          <w:p>
            <w:pPr>
              <w:pStyle w:val="Compact"/>
              <w:jc w:val="left"/>
            </w:pPr>
            <w:r>
              <w:rPr>
                <w:bCs/>
                <w:b/>
              </w:rPr>
              <w:t xml:space="preserve">Open — requires faculty-advisor ratification before Method/Limitations drafting.</w:t>
            </w:r>
            <w:r>
              <w:t xml:space="preserve"> </w:t>
            </w:r>
            <w:r>
              <w:t xml:space="preserve">Team decided, 12 September 2026, to continue main collection on the unrevised vignette rather than execute the pre-committed B2.10 rewrite; this is a deviation from the rule stated in §C.3 and must be disclosed, not absorbed silently. A candidate fallback — reframing AIP as a continuous, measured predictor (the AIP_mean composite, CR/AVE already acceptable) rather than the manipulated AIP_COND factor for H2/H3/H7a/H7b — has been discussed but is</w:t>
            </w:r>
            <w:r>
              <w:t xml:space="preserve"> </w:t>
            </w:r>
            <w:r>
              <w:rPr>
                <w:bCs/>
                <w:b/>
              </w:rPr>
              <w:t xml:space="preserve">not yet formally adopted</w:t>
            </w:r>
            <w:r>
              <w:t xml:space="preserve">. A related, independent risk — differential attrition by AIP condition (≈ 71% Low vs. ≈ 42% High retention) — is being monitored via per-batch checkpoint logging. See Table 0g, Amendment A-18. Owner: Khải; ratification pending faculty advisor.</w:t>
            </w:r>
            <w:r>
              <w:t xml:space="preserve"> </w:t>
            </w:r>
            <w:r>
              <w:rPr>
                <w:bCs/>
                <w:b/>
              </w:rPr>
              <w:t xml:space="preserve">Refined, 13 September 2026 (Amendment A-19, Table 0h):</w:t>
            </w:r>
            <w:r>
              <w:t xml:space="preserve"> </w:t>
            </w:r>
            <w:r>
              <w:t xml:space="preserve">the n = 55 estimate (d = 0.449, p = 0.068) is read as underpowered, not null, given stabilization near 0.40–0.50 across three checkpoints; next step is additional pilot data and/or vignette revision (B2.10), not a switch to a continuous predictor. Status remains</w:t>
            </w:r>
            <w:r>
              <w:t xml:space="preserve"> </w:t>
            </w:r>
            <w:r>
              <w:rPr>
                <w:bCs/>
                <w:b/>
              </w:rPr>
              <w:t xml:space="preserve">Open.</w:t>
            </w:r>
          </w:p>
        </w:tc>
      </w:tr>
    </w:tbl>
    <w:p>
      <w:pPr>
        <w:pStyle w:val="BodyText"/>
      </w:pPr>
      <w:r>
        <w:t xml:space="preserve">Table 6. Open decisions and residual risks as of 12 September 2026 (OD-12 added by Amendment A-18).</w:t>
      </w:r>
    </w:p>
    <w:bookmarkEnd w:id="64"/>
    <w:bookmarkEnd w:id="65"/>
    <w:bookmarkStart w:id="66" w:name="key-references-foundational-set"/>
    <w:p>
      <w:pPr>
        <w:pStyle w:val="Heading1"/>
      </w:pPr>
      <w:r>
        <w:t xml:space="preserve">Key References (Foundational Set)</w:t>
      </w:r>
    </w:p>
    <w:p>
      <w:pPr>
        <w:pStyle w:val="FirstParagraph"/>
      </w:pPr>
      <w:r>
        <w:t xml:space="preserve">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pPr>
        <w:pStyle w:val="BodyText"/>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[verify]</w:t>
      </w:r>
    </w:p>
    <w:p>
      <w:pPr>
        <w:pStyle w:val="BodyText"/>
      </w:pPr>
      <w:r>
        <w:t xml:space="preserve">Aiken, L. S., &amp; West, S. G. (1991).</w:t>
      </w:r>
      <w:r>
        <w:t xml:space="preserve"> </w:t>
      </w:r>
      <w:r>
        <w:rPr>
          <w:iCs/>
          <w:i/>
        </w:rPr>
        <w:t xml:space="preserve">Multiple regression: Testing and interpreting interactions.</w:t>
      </w:r>
      <w:r>
        <w:t xml:space="preserve"> </w:t>
      </w:r>
      <w:r>
        <w:t xml:space="preserve">Sage. [verify]</w:t>
      </w:r>
    </w:p>
    <w:p>
      <w:pPr>
        <w:pStyle w:val="BodyText"/>
      </w:pPr>
      <w:r>
        <w:t xml:space="preserve">Awad, N. F., &amp; Krishnan, M. S. (2006). The personalization privacy paradox: An empirical evaluation of information transparency and the willingness to be profiled online for personalization.</w:t>
      </w:r>
      <w:r>
        <w:t xml:space="preserve"> </w:t>
      </w:r>
      <w:r>
        <w:rPr>
          <w:iCs/>
          <w:i/>
        </w:rPr>
        <w:t xml:space="preserve">MIS Quarterly, 30</w:t>
      </w:r>
      <w:r>
        <w:t xml:space="preserve">(1), 13–28. [RETRACTED as an item source for AIP1–AIP3 — checked against the source PDF and found not to contain matching items; retracted, not merely superseded. AIP now sources to Yin, Qiu &amp; Wang (2025) and Rahman et al. (2022).]</w:t>
      </w:r>
    </w:p>
    <w:p>
      <w:pPr>
        <w:pStyle w:val="BodyText"/>
      </w:pPr>
      <w:r>
        <w:t xml:space="preserve">Bart, Y., Shankar, V., Sultan, F., &amp; Urban, G. L. (2005). Are the drivers and role of online trust the same for all web sites and consumers? A large-scale exploratory empirical study.</w:t>
      </w:r>
      <w:r>
        <w:t xml:space="preserve"> </w:t>
      </w:r>
      <w:r>
        <w:rPr>
          <w:iCs/>
          <w:i/>
        </w:rPr>
        <w:t xml:space="preserve">Journal of Marketing, 69</w:t>
      </w:r>
      <w:r>
        <w:t xml:space="preserve">(4), 133–152.</w:t>
      </w:r>
    </w:p>
    <w:p>
      <w:pPr>
        <w:pStyle w:val="BodyText"/>
      </w:pPr>
      <w:r>
        <w:t xml:space="preserve">Becker, J.-M., Ringle, C. M., &amp; Sarstedt, M. (2018). Estimating moderating effects in PLS-SEM and PLSc-SEM: Interaction term generation × data treatment.</w:t>
      </w:r>
      <w:r>
        <w:t xml:space="preserve"> </w:t>
      </w:r>
      <w:r>
        <w:rPr>
          <w:iCs/>
          <w:i/>
        </w:rPr>
        <w:t xml:space="preserve">Journal of Applied Structural Equation Modeling, 2</w:t>
      </w:r>
      <w:r>
        <w:t xml:space="preserve">(2), 1–21. [verify]</w:t>
      </w:r>
    </w:p>
    <w:p>
      <w:pPr>
        <w:pStyle w:val="BodyText"/>
      </w:pPr>
      <w:r>
        <w:t xml:space="preserve">Brodie, R. J., Hollebeek, L. D., Jurić, B., &amp; Ilić, A. (2011). Customer engagement: Conceptual domain, fundamental propositions, and implications for research.</w:t>
      </w:r>
      <w:r>
        <w:t xml:space="preserve"> </w:t>
      </w:r>
      <w:r>
        <w:rPr>
          <w:iCs/>
          <w:i/>
        </w:rPr>
        <w:t xml:space="preserve">Journal of Service Research, 14</w:t>
      </w:r>
      <w:r>
        <w:t xml:space="preserve">(3), 252–271.</w:t>
      </w:r>
    </w:p>
    <w:p>
      <w:pPr>
        <w:pStyle w:val="BodyText"/>
      </w:pPr>
      <w:r>
        <w:t xml:space="preserve">Cochran, W. G. (1977).</w:t>
      </w:r>
      <w:r>
        <w:t xml:space="preserve"> </w:t>
      </w:r>
      <w:r>
        <w:rPr>
          <w:iCs/>
          <w:i/>
        </w:rPr>
        <w:t xml:space="preserve">Sampling techniques</w:t>
      </w:r>
      <w:r>
        <w:t xml:space="preserve"> </w:t>
      </w:r>
      <w:r>
        <w:t xml:space="preserve">(3rd ed.). Wiley. [verify]</w:t>
      </w:r>
    </w:p>
    <w:p>
      <w:pPr>
        <w:pStyle w:val="BodyText"/>
      </w:pPr>
      <w:r>
        <w:t xml:space="preserve">Dinev, T., &amp; Hart, P. (2006). An extended privacy calculus model for e-commerce transactions.</w:t>
      </w:r>
      <w:r>
        <w:t xml:space="preserve"> </w:t>
      </w:r>
      <w:r>
        <w:rPr>
          <w:iCs/>
          <w:i/>
        </w:rPr>
        <w:t xml:space="preserve">Information Systems Research, 17</w:t>
      </w:r>
      <w:r>
        <w:t xml:space="preserve">(1), 61–80.</w:t>
      </w:r>
    </w:p>
    <w:p>
      <w:pPr>
        <w:pStyle w:val="BodyText"/>
      </w:pPr>
      <w:r>
        <w:t xml:space="preserve">Featherman, M. S., &amp; Pavlou, P. A. (2003). Predicting e-services adoption: A perceived risk facets perspective.</w:t>
      </w:r>
      <w:r>
        <w:t xml:space="preserve"> </w:t>
      </w:r>
      <w:r>
        <w:rPr>
          <w:iCs/>
          <w:i/>
        </w:rPr>
        <w:t xml:space="preserve">International Journal of Human-Computer Studies, 59</w:t>
      </w:r>
      <w:r>
        <w:t xml:space="preserve">(4), 451–474. [verify]</w:t>
      </w:r>
    </w:p>
    <w:p>
      <w:pPr>
        <w:pStyle w:val="BodyText"/>
      </w:pPr>
      <w:r>
        <w:t xml:space="preserve">Henseler, J., Ringle, C. M., &amp; Sarstedt, M. (2016). Testing measurement invariance of composites using partial least squares.</w:t>
      </w:r>
      <w:r>
        <w:t xml:space="preserve"> </w:t>
      </w:r>
      <w:r>
        <w:rPr>
          <w:iCs/>
          <w:i/>
        </w:rPr>
        <w:t xml:space="preserve">International Marketing Review, 33</w:t>
      </w:r>
      <w:r>
        <w:t xml:space="preserve">(3), 405–431. [verify]</w:t>
      </w:r>
    </w:p>
    <w:p>
      <w:pPr>
        <w:pStyle w:val="BodyText"/>
      </w:pPr>
      <w:r>
        <w:t xml:space="preserve">Hevner, A. R., March, S. T., Park, J., &amp; Ram, S. (2004). Design science in information systems research.</w:t>
      </w:r>
      <w:r>
        <w:t xml:space="preserve"> </w:t>
      </w:r>
      <w:r>
        <w:rPr>
          <w:iCs/>
          <w:i/>
        </w:rPr>
        <w:t xml:space="preserve">MIS Quarterly, 28</w:t>
      </w:r>
      <w:r>
        <w:t xml:space="preserve">(1), 75–105.</w:t>
      </w:r>
    </w:p>
    <w:p>
      <w:pPr>
        <w:pStyle w:val="BodyText"/>
      </w:pPr>
      <w:r>
        <w:t xml:space="preserve">Hollebeek, L. D., Glynn, M. S., &amp; Brodie, R. J. (2014). Consumer brand engagement in social media: Conceptualization, scale development and validation.</w:t>
      </w:r>
      <w:r>
        <w:t xml:space="preserve"> </w:t>
      </w:r>
      <w:r>
        <w:rPr>
          <w:iCs/>
          <w:i/>
        </w:rPr>
        <w:t xml:space="preserve">Journal of Interactive Marketing, 28</w:t>
      </w:r>
      <w:r>
        <w:t xml:space="preserve">(2), 149–165.</w:t>
      </w:r>
    </w:p>
    <w:p>
      <w:pPr>
        <w:pStyle w:val="BodyText"/>
      </w:pPr>
      <w:r>
        <w:t xml:space="preserve">Li, H., et al. (2017). [Privacy-invasion scale — full reference to be resolved from the planning document’s source list.] [verify]</w:t>
      </w:r>
    </w:p>
    <w:p>
      <w:pPr>
        <w:pStyle w:val="BodyText"/>
      </w:pPr>
      <w:r>
        <w:t xml:space="preserve">McKnight, D. H., Choudhury, V., &amp; Kacmar, C. (2002). Developing and validating trust measures for e-commerce: An integrative typology.</w:t>
      </w:r>
      <w:r>
        <w:t xml:space="preserve"> </w:t>
      </w:r>
      <w:r>
        <w:rPr>
          <w:iCs/>
          <w:i/>
        </w:rPr>
        <w:t xml:space="preserve">Information Systems Research, 13</w:t>
      </w:r>
      <w:r>
        <w:t xml:space="preserve">(3), 334–359.</w:t>
      </w:r>
    </w:p>
    <w:p>
      <w:pPr>
        <w:pStyle w:val="BodyText"/>
      </w:pPr>
      <w:r>
        <w:t xml:space="preserve">Mehrabian, A., &amp; Russell, J. A. (1974).</w:t>
      </w:r>
      <w:r>
        <w:t xml:space="preserve"> </w:t>
      </w:r>
      <w:r>
        <w:rPr>
          <w:iCs/>
          <w:i/>
        </w:rPr>
        <w:t xml:space="preserve">An approach to environmental psychology.</w:t>
      </w:r>
      <w:r>
        <w:t xml:space="preserve"> </w:t>
      </w:r>
      <w:r>
        <w:t xml:space="preserve">MIT Press.</w:t>
      </w:r>
    </w:p>
    <w:p>
      <w:pPr>
        <w:pStyle w:val="BodyText"/>
      </w:pPr>
      <w:r>
        <w:t xml:space="preserve">Morgan, R. M., &amp; Hunt, S. D. (1994). The commitment–trust theory of relationship marketing.</w:t>
      </w:r>
      <w:r>
        <w:t xml:space="preserve"> </w:t>
      </w:r>
      <w:r>
        <w:rPr>
          <w:iCs/>
          <w:i/>
        </w:rPr>
        <w:t xml:space="preserve">Journal of Marketing, 58</w:t>
      </w:r>
      <w:r>
        <w:t xml:space="preserve">(3), 20–38.</w:t>
      </w:r>
    </w:p>
    <w:p>
      <w:pPr>
        <w:pStyle w:val="BodyText"/>
      </w:pPr>
      <w:r>
        <w:t xml:space="preserve">Pavlou, P. A. (2003). Consumer acceptance of electronic commerce: Integrating trust and risk with the technology acceptance model.</w:t>
      </w:r>
      <w:r>
        <w:t xml:space="preserve"> </w:t>
      </w:r>
      <w:r>
        <w:rPr>
          <w:iCs/>
          <w:i/>
        </w:rPr>
        <w:t xml:space="preserve">International Journal of Electronic Commerce, 7</w:t>
      </w:r>
      <w:r>
        <w:t xml:space="preserve">(3), 101–134. [verify]</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w:t>
      </w:r>
    </w:p>
    <w:p>
      <w:pPr>
        <w:pStyle w:val="BodyText"/>
      </w:pPr>
      <w:r>
        <w:t xml:space="preserve">Scott, W. R. (1995).</w:t>
      </w:r>
      <w:r>
        <w:t xml:space="preserve"> </w:t>
      </w:r>
      <w:r>
        <w:rPr>
          <w:iCs/>
          <w:i/>
        </w:rPr>
        <w:t xml:space="preserve">Institutions and organizations.</w:t>
      </w:r>
      <w:r>
        <w:t xml:space="preserve"> </w:t>
      </w:r>
      <w:r>
        <w:t xml:space="preserve">Sage.</w:t>
      </w:r>
    </w:p>
    <w:p>
      <w:pPr>
        <w:pStyle w:val="BodyText"/>
      </w:pPr>
      <w:r>
        <w:t xml:space="preserve">Van Doorn, J., Lemon, K. N., Mittal, V., Nass, S., Pick, D., Pirner, P., &amp; Verhoef, P. C. (2010). Customer engagement behavior: Theoretical foundations and research directions.</w:t>
      </w:r>
      <w:r>
        <w:t xml:space="preserve"> </w:t>
      </w:r>
      <w:r>
        <w:rPr>
          <w:iCs/>
          <w:i/>
        </w:rPr>
        <w:t xml:space="preserve">Journal of Service Research, 13</w:t>
      </w:r>
      <w:r>
        <w:t xml:space="preserve">(3), 253–266. [verify]</w:t>
      </w:r>
    </w:p>
    <w:p>
      <w:pPr>
        <w:pStyle w:val="BodyText"/>
      </w:pPr>
      <w:r>
        <w:t xml:space="preserve">Xu, H., Luo, X. R., Carroll, J. M., &amp; Rosson, M. B. (2011). The personalization privacy paradox: An exploratory study of decision making process for location-aware marketing.</w:t>
      </w:r>
      <w:r>
        <w:t xml:space="preserve"> </w:t>
      </w:r>
      <w:r>
        <w:rPr>
          <w:iCs/>
          <w:i/>
        </w:rPr>
        <w:t xml:space="preserve">Decision Support Systems, 51</w:t>
      </w:r>
      <w:r>
        <w:t xml:space="preserve">(1), 42–52. [RETRACTED as an item source for REL1–REL3 — checked against the source PDF and found not to contain matching items; retracted, not merely superseded. REL now sources to Srinivasan, Anderson &amp; Ponnavolu (2002) and Yin, Qiu &amp; Wang (2025).]</w:t>
      </w:r>
    </w:p>
    <w:p>
      <w:pPr>
        <w:pStyle w:val="BodyText"/>
      </w:pPr>
      <w:r>
        <w:t xml:space="preserve">--- Added in the AIP/REL/PI correction pass (post v2.9) ---</w:t>
      </w:r>
    </w:p>
    <w:p>
      <w:pPr>
        <w:pStyle w:val="BodyText"/>
      </w:pPr>
      <w:r>
        <w:t xml:space="preserve">Ahluwalia, R., Unnava, H. R., &amp; Burnkrant, R. E. (2001). The moderating role of commitment on the spillover effect of marketing communications. Journal of Marketing Research, 38(4), 458–470. [Verified against PDF; item pair repurposed for REL3 originates from an information-diagnosticity scale (Klar, 1990) reproduced in this paper, not from a relevance construct of its own.]</w:t>
      </w:r>
    </w:p>
    <w:p>
      <w:pPr>
        <w:pStyle w:val="BodyText"/>
      </w:pPr>
      <w:r>
        <w:t xml:space="preserve">De Keyzer, F., Dens, N., &amp; De Pelsmacker, P. (2015). Is this for me? How consumers respond to personalized advertising on social network sites. Journal of Interactive Advertising, 15(2), 124–134. [Verified against PDF; source of REL3’s repurposed-item operationalization, α = .937.]</w:t>
      </w:r>
    </w:p>
    <w:p>
      <w:pPr>
        <w:pStyle w:val="BodyText"/>
      </w:pPr>
      <w:r>
        <w:t xml:space="preserve">Dodds, W. B., Monroe, K. B., &amp; Grewal, D. (1991). Effects of price, brand, and store information on buyers’ product evaluations. Journal of Marketing Research, 28(3), 307–319. [Verified against PDF; source of PI4.]</w:t>
      </w:r>
    </w:p>
    <w:p>
      <w:pPr>
        <w:pStyle w:val="BodyText"/>
      </w:pPr>
      <w:r>
        <w:t xml:space="preserve">Klar, Y. (1990). [Primary source of the diagnosticity item pair reproduced in Ahluwalia et al., 2001, and repurposed for REL3. NOT independently verified by the team — flagged for the team’s judgement before REL3 is formally ratified.]</w:t>
      </w:r>
    </w:p>
    <w:p>
      <w:pPr>
        <w:pStyle w:val="BodyText"/>
      </w:pPr>
      <w:r>
        <w:t xml:space="preserve">Rahman, S. M., Carlson, J., Gudergan, S. P., Wetzels, M., &amp; Grewal, D. (2022). Perceived omnichannel customer experience (OCX): Concept, measurement, and impact. Journal of Retailing, 98(4), 611–632. [Verified against PDF; source of AIP4–AIP5.]</w:t>
      </w:r>
    </w:p>
    <w:p>
      <w:pPr>
        <w:pStyle w:val="BodyText"/>
      </w:pPr>
      <w:r>
        <w:t xml:space="preserve">Srinivasan, S. S., Anderson, R., &amp; Ponnavolu, K. (2002). Customer loyalty in e-commerce: An exploration of its antecedents and consequences. Journal of Retailing, 78(1), 41–50. [Verified against PDF; source of REL1 only — not AIP, despite this paper’s Customization construct having been briefly and incorrectly considered for AIP in an intermediate draft.]</w:t>
      </w:r>
    </w:p>
    <w:p>
      <w:pPr>
        <w:pStyle w:val="BodyText"/>
      </w:pPr>
      <w:r>
        <w:t xml:space="preserve">Yin, J., Qiu, X., &amp; Wang, Y. (2025). The impact of AI-personalized recommendations on clicking intentions: Evidence from Chinese e-commerce. Journal of Theoretical and Applied Electronic Commerce Research, 20(1), Article 21. https://doi.org/10.3390/jtaer20010021 [Verified against the published Appendix, Table A3 (final, CFA-confirmed scale, n = 1097); source of AIP1–AIP3 (Insightful Experience items IS3/IS4/IS6) and REL2/REL3 (Relevance Experience items RE4/RE1).]</w:t>
      </w:r>
    </w:p>
    <w:p>
      <w:pPr>
        <w:pStyle w:val="BodyText"/>
      </w:pPr>
      <w:r>
        <w:t xml:space="preserve">National Assembly of Viet Nam. (2025).</w:t>
      </w:r>
      <w:r>
        <w:t xml:space="preserve"> </w:t>
      </w:r>
      <w:r>
        <w:rPr>
          <w:iCs/>
          <w:i/>
        </w:rPr>
        <w:t xml:space="preserve">Law on Personal Data Protection</w:t>
      </w:r>
      <w:r>
        <w:t xml:space="preserve"> </w:t>
      </w:r>
      <w:r>
        <w:t xml:space="preserve">(Law No. 91/2025/QH15, effective 1 January 2026).</w:t>
      </w:r>
    </w:p>
    <w:p>
      <w:pPr>
        <w:pStyle w:val="BodyText"/>
      </w:pPr>
      <w:r>
        <w:t xml:space="preserve">Government of Viet Nam. (2023).</w:t>
      </w:r>
      <w:r>
        <w:t xml:space="preserve"> </w:t>
      </w:r>
      <w:r>
        <w:rPr>
          <w:iCs/>
          <w:i/>
        </w:rPr>
        <w:t xml:space="preserve">Decree No. 13/2023/NĐ-CP on Personal Data Protection</w:t>
      </w:r>
      <w:r>
        <w:t xml:space="preserve"> </w:t>
      </w:r>
      <w:r>
        <w:t xml:space="preserve">(superseded from 1 January 2026).</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2026-09-15T15:41:25Z</dcterms:created>
  <dcterms:modified xsi:type="dcterms:W3CDTF">2026-09-15T15:41:25Z</dcterms:modified>
</cp:coreProperties>
</file>

<file path=docProps/custom.xml><?xml version="1.0" encoding="utf-8"?>
<Properties xmlns="http://schemas.openxmlformats.org/officeDocument/2006/custom-properties" xmlns:vt="http://schemas.openxmlformats.org/officeDocument/2006/docPropsVTypes"/>
</file>