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8E277" w14:textId="77777777" w:rsidR="00CE4A12" w:rsidRDefault="00956EB6" w:rsidP="00956EB6">
      <w:pPr>
        <w:pStyle w:val="Title"/>
        <w:rPr>
          <w:iCs/>
          <w:sz w:val="36"/>
          <w:szCs w:val="36"/>
          <w:lang w:val="en-US"/>
        </w:rPr>
      </w:pPr>
      <w:r>
        <w:rPr>
          <w:sz w:val="36"/>
          <w:szCs w:val="36"/>
        </w:rPr>
        <w:t xml:space="preserve">On-Device YOLOv8 for Classifying Fishers' Catch Species on Android</w:t>
      </w:r>
    </w:p>
    <w:p w14:paraId="6BFA4211" w14:textId="77777777" w:rsidR="00904D6D" w:rsidRPr="003D5B84" w:rsidRDefault="00904D6D" w:rsidP="00904D6D">
      <w:pPr>
        <w:jc w:val="center"/>
        <w:rPr>
          <w:b/>
          <w:bCs/>
        </w:rPr>
      </w:pPr>
    </w:p>
    <w:p w14:paraId="7AC57691" w14:textId="77777777" w:rsidR="00250A66" w:rsidRPr="003D5B84" w:rsidRDefault="00250A66" w:rsidP="00904D6D">
      <w:pPr>
        <w:jc w:val="center"/>
        <w:rPr>
          <w:b/>
          <w:bCs/>
        </w:rPr>
      </w:pPr>
    </w:p>
    <w:p w14:paraId="04628434" w14:textId="3E1E556D" w:rsidR="00904D6D" w:rsidRPr="00443AAA" w:rsidRDefault="00E12660" w:rsidP="00904D6D">
      <w:pPr>
        <w:jc w:val="center"/>
        <w:rPr>
          <w:b/>
          <w:bCs/>
          <w:sz w:val="22"/>
          <w:szCs w:val="22"/>
        </w:rPr>
      </w:pPr>
      <w:r>
        <w:rPr>
          <w:b/>
          <w:bCs/>
          <w:sz w:val="22"/>
          <w:szCs w:val="22"/>
        </w:rPr>
        <w:t xml:space="preserve">Juliana Sari</w:t>
      </w:r>
      <w:r>
        <w:rPr>
          <w:b/>
          <w:bCs/>
          <w:sz w:val="22"/>
          <w:szCs w:val="22"/>
          <w:vertAlign w:val="superscript"/>
        </w:rPr>
        <w:t xml:space="preserve">1</w:t>
      </w:r>
      <w:r>
        <w:rPr>
          <w:b/>
          <w:bCs/>
          <w:sz w:val="22"/>
          <w:szCs w:val="22"/>
        </w:rPr>
        <w:t xml:space="preserve">, Angga Pratama</w:t>
      </w:r>
      <w:r>
        <w:rPr>
          <w:b/>
          <w:bCs/>
          <w:sz w:val="22"/>
          <w:szCs w:val="22"/>
          <w:vertAlign w:val="superscript"/>
        </w:rPr>
        <w:t xml:space="preserve">2</w:t>
      </w:r>
      <w:r>
        <w:rPr>
          <w:b/>
          <w:bCs/>
          <w:sz w:val="22"/>
          <w:szCs w:val="22"/>
        </w:rPr>
        <w:t xml:space="preserve">, Veri Ilhadi</w:t>
      </w:r>
      <w:r>
        <w:rPr>
          <w:b/>
          <w:bCs/>
          <w:sz w:val="22"/>
          <w:szCs w:val="22"/>
          <w:vertAlign w:val="superscript"/>
        </w:rPr>
        <w:t xml:space="preserve">3</w:t>
      </w:r>
    </w:p>
    <w:p w14:paraId="5276652E" w14:textId="622182BD" w:rsidR="00A17296" w:rsidRPr="00443AAA" w:rsidRDefault="00E2599A" w:rsidP="00E2599A">
      <w:pPr>
        <w:jc w:val="center"/>
        <w:rPr>
          <w:sz w:val="22"/>
          <w:szCs w:val="22"/>
        </w:rPr>
      </w:pPr>
      <w:r>
        <w:rPr>
          <w:sz w:val="22"/>
          <w:szCs w:val="22"/>
        </w:rPr>
        <w:t xml:space="preserve">Department of Information Systems, Faculty of Engineering, Universitas Malikussaleh, Lhokseumawe, Indonesia</w:t>
      </w:r>
      <w:r>
        <w:rPr>
          <w:sz w:val="22"/>
          <w:szCs w:val="22"/>
          <w:vertAlign w:val="superscript"/>
        </w:rPr>
        <w:t xml:space="preserve">1,2,3</w:t>
      </w:r>
    </w:p>
    <w:bookmarkEnd w:id="0"/>
    <w:p w14:paraId="7D1E66DA" w14:textId="3CE859A2" w:rsidR="00443AAA" w:rsidRPr="00BB00AA" w:rsidRDefault="00A65261" w:rsidP="00443AAA">
      <w:pPr>
        <w:jc w:val="center"/>
        <w:rPr>
          <w:sz w:val="22"/>
          <w:szCs w:val="22"/>
        </w:rPr>
      </w:pPr>
      <w:r w:rsidRPr="00BB00AA">
        <w:rPr>
          <w:rStyle w:val="Hyperlink"/>
          <w:color w:val="auto"/>
          <w:sz w:val="22"/>
          <w:szCs w:val="22"/>
          <w:u w:val="none"/>
        </w:rPr>
        <w:t>xxxx@xxxx.xxx</w:t>
      </w:r>
      <w:r w:rsidRPr="00BB00AA">
        <w:rPr>
          <w:sz w:val="22"/>
          <w:szCs w:val="22"/>
          <w:vertAlign w:val="superscript"/>
        </w:rPr>
        <w:t>1</w:t>
      </w:r>
      <w:r w:rsidR="00443AAA" w:rsidRPr="00BB00AA">
        <w:rPr>
          <w:sz w:val="22"/>
          <w:szCs w:val="22"/>
        </w:rPr>
        <w:t>, xxx@xxxx.xxx</w:t>
      </w:r>
      <w:r w:rsidRPr="00BB00AA">
        <w:rPr>
          <w:sz w:val="22"/>
          <w:szCs w:val="22"/>
          <w:vertAlign w:val="superscript"/>
        </w:rPr>
        <w:t>2</w:t>
      </w:r>
      <w:r w:rsidR="00443AAA" w:rsidRPr="00BB00AA">
        <w:rPr>
          <w:sz w:val="22"/>
          <w:szCs w:val="22"/>
        </w:rPr>
        <w:t>, xxx@xxxx.xxx</w:t>
      </w:r>
      <w:r w:rsidRPr="00BB00AA">
        <w:rPr>
          <w:sz w:val="22"/>
          <w:szCs w:val="22"/>
          <w:vertAlign w:val="superscript"/>
        </w:rPr>
        <w:t>3</w:t>
      </w:r>
      <w:r w:rsidR="00443AAA" w:rsidRPr="00BB00AA">
        <w:rPr>
          <w:sz w:val="22"/>
          <w:szCs w:val="22"/>
        </w:rPr>
        <w:t xml:space="preserve"/>
      </w:r>
    </w:p>
    <w:p w14:paraId="62D9C3BF" w14:textId="77777777" w:rsidR="00C07BEF" w:rsidRDefault="00C07BEF" w:rsidP="0088233C">
      <w:pPr>
        <w:jc w:val="center"/>
      </w:pPr>
    </w:p>
    <w:tbl>
      <w:tblPr>
        <w:tblStyle w:val="TableGrid"/>
        <w:tblW w:w="8897" w:type="dxa"/>
        <w:tblLook w:val="04A0" w:firstRow="1" w:lastRow="0" w:firstColumn="1" w:lastColumn="0" w:noHBand="0" w:noVBand="1"/>
      </w:tblPr>
      <w:tblGrid>
        <w:gridCol w:w="2802"/>
        <w:gridCol w:w="283"/>
        <w:gridCol w:w="5812"/>
      </w:tblGrid>
      <w:tr w:rsidR="006B027E" w14:paraId="4D2BAEA6" w14:textId="77777777" w:rsidTr="00C07BEF">
        <w:tc>
          <w:tcPr>
            <w:tcW w:w="2802" w:type="dxa"/>
            <w:tcBorders>
              <w:top w:val="double" w:sz="4" w:space="0" w:color="auto"/>
              <w:left w:val="nil"/>
              <w:bottom w:val="single" w:sz="4" w:space="0" w:color="auto"/>
              <w:right w:val="nil"/>
            </w:tcBorders>
          </w:tcPr>
          <w:p w14:paraId="57376E7F" w14:textId="77777777" w:rsidR="00957C11" w:rsidRPr="00A75522" w:rsidRDefault="00957C11" w:rsidP="00957C11">
            <w:pPr>
              <w:spacing w:before="120"/>
              <w:jc w:val="both"/>
              <w:rPr>
                <w:b/>
              </w:rPr>
            </w:pPr>
            <w:r w:rsidRPr="00A75522">
              <w:rPr>
                <w:b/>
              </w:rPr>
              <w:t>Article Info</w:t>
            </w:r>
          </w:p>
        </w:tc>
        <w:tc>
          <w:tcPr>
            <w:tcW w:w="283" w:type="dxa"/>
            <w:tcBorders>
              <w:top w:val="double" w:sz="4" w:space="0" w:color="auto"/>
              <w:left w:val="nil"/>
              <w:bottom w:val="nil"/>
              <w:right w:val="nil"/>
            </w:tcBorders>
          </w:tcPr>
          <w:p w14:paraId="0496DE80" w14:textId="77777777" w:rsidR="00957C11" w:rsidRPr="00A75522" w:rsidRDefault="00957C11" w:rsidP="00957C11">
            <w:pPr>
              <w:spacing w:before="120"/>
              <w:jc w:val="center"/>
            </w:pPr>
          </w:p>
        </w:tc>
        <w:tc>
          <w:tcPr>
            <w:tcW w:w="5812" w:type="dxa"/>
            <w:tcBorders>
              <w:top w:val="double" w:sz="4" w:space="0" w:color="auto"/>
              <w:left w:val="nil"/>
              <w:bottom w:val="single" w:sz="4" w:space="0" w:color="auto"/>
              <w:right w:val="nil"/>
            </w:tcBorders>
          </w:tcPr>
          <w:p w14:paraId="2AE2783E" w14:textId="77777777" w:rsidR="00957C11" w:rsidRPr="00A75522" w:rsidRDefault="00957C11" w:rsidP="00957C11">
            <w:pPr>
              <w:spacing w:before="120"/>
              <w:rPr>
                <w:color w:val="000000"/>
              </w:rPr>
            </w:pPr>
            <w:r w:rsidRPr="00A75522">
              <w:rPr>
                <w:b/>
                <w:bCs/>
                <w:iCs/>
                <w:color w:val="000000"/>
              </w:rPr>
              <w:t xml:space="preserve">ABSTRACT</w:t>
            </w:r>
            <w:r w:rsidRPr="00A75522">
              <w:t/>
            </w:r>
          </w:p>
        </w:tc>
      </w:tr>
      <w:tr w:rsidR="00941203" w14:paraId="20ADD7CE" w14:textId="77777777" w:rsidTr="00C07BEF">
        <w:trPr>
          <w:trHeight w:val="1268"/>
        </w:trPr>
        <w:tc>
          <w:tcPr>
            <w:tcW w:w="2802" w:type="dxa"/>
            <w:tcBorders>
              <w:top w:val="single" w:sz="4" w:space="0" w:color="auto"/>
              <w:left w:val="nil"/>
              <w:bottom w:val="single" w:sz="4" w:space="0" w:color="auto"/>
              <w:right w:val="nil"/>
            </w:tcBorders>
          </w:tcPr>
          <w:p w14:paraId="1FD80520" w14:textId="77777777" w:rsidR="00941203" w:rsidRPr="00A75522" w:rsidRDefault="00941203" w:rsidP="00941203">
            <w:pPr>
              <w:spacing w:before="120" w:after="120"/>
              <w:jc w:val="both"/>
              <w:rPr>
                <w:b/>
                <w:i/>
              </w:rPr>
            </w:pPr>
            <w:r w:rsidRPr="00A75522">
              <w:rPr>
                <w:b/>
                <w:i/>
              </w:rPr>
              <w:t>Article history:</w:t>
            </w:r>
          </w:p>
          <w:p w14:paraId="3D4968E7" w14:textId="02976FB1" w:rsidR="00941203" w:rsidRPr="00A75522" w:rsidRDefault="00941203" w:rsidP="00957C11">
            <w:pPr>
              <w:jc w:val="both"/>
            </w:pPr>
            <w:r w:rsidRPr="00A75522">
              <w:t>Received</w:t>
            </w:r>
            <w:r w:rsidR="006F45D7" w:rsidRPr="00A75522">
              <w:t xml:space="preserve"> </w:t>
            </w:r>
            <w:proofErr w:type="spellStart"/>
            <w:r w:rsidR="00443AAA" w:rsidRPr="00A75522">
              <w:t>Okt</w:t>
            </w:r>
            <w:proofErr w:type="spellEnd"/>
            <w:r w:rsidRPr="00A75522">
              <w:t xml:space="preserve"> </w:t>
            </w:r>
            <w:r w:rsidR="00443AAA" w:rsidRPr="00A75522">
              <w:t>2</w:t>
            </w:r>
            <w:r w:rsidR="001404F9" w:rsidRPr="00A75522">
              <w:t>7</w:t>
            </w:r>
            <w:r w:rsidRPr="00A75522">
              <w:t>, 201</w:t>
            </w:r>
            <w:r w:rsidR="00443AAA" w:rsidRPr="00A75522">
              <w:t>7</w:t>
            </w:r>
          </w:p>
          <w:p w14:paraId="444A3C4F" w14:textId="0386DB11" w:rsidR="00941203" w:rsidRPr="00A75522" w:rsidRDefault="00941203" w:rsidP="00957C11">
            <w:pPr>
              <w:jc w:val="both"/>
            </w:pPr>
            <w:r w:rsidRPr="00A75522">
              <w:t xml:space="preserve">Revised </w:t>
            </w:r>
            <w:r w:rsidR="00443AAA" w:rsidRPr="00A75522">
              <w:t>Dec</w:t>
            </w:r>
            <w:r w:rsidRPr="00A75522">
              <w:t xml:space="preserve"> </w:t>
            </w:r>
            <w:r w:rsidR="00443AAA" w:rsidRPr="00A75522">
              <w:t>21</w:t>
            </w:r>
            <w:r w:rsidRPr="00A75522">
              <w:t>, 201</w:t>
            </w:r>
            <w:r w:rsidR="00443AAA" w:rsidRPr="00A75522">
              <w:t>7</w:t>
            </w:r>
          </w:p>
          <w:p w14:paraId="6EF88D18" w14:textId="6CA06E14" w:rsidR="00941203" w:rsidRPr="00A75522" w:rsidRDefault="00941203" w:rsidP="00957C11">
            <w:pPr>
              <w:jc w:val="both"/>
            </w:pPr>
            <w:r w:rsidRPr="00A75522">
              <w:t xml:space="preserve">Accepted </w:t>
            </w:r>
            <w:r w:rsidR="00443AAA" w:rsidRPr="00A75522">
              <w:t>Jan</w:t>
            </w:r>
            <w:r w:rsidRPr="00A75522">
              <w:t xml:space="preserve"> </w:t>
            </w:r>
            <w:r w:rsidR="00992F1F" w:rsidRPr="00A75522">
              <w:t>3</w:t>
            </w:r>
            <w:r w:rsidRPr="00A75522">
              <w:t>, 201</w:t>
            </w:r>
            <w:r w:rsidR="00443AAA" w:rsidRPr="00A75522">
              <w:t>8</w:t>
            </w:r>
          </w:p>
          <w:p w14:paraId="5049CF39" w14:textId="77777777" w:rsidR="00941203" w:rsidRPr="00A75522" w:rsidRDefault="00941203" w:rsidP="00941203">
            <w:pPr>
              <w:jc w:val="both"/>
            </w:pPr>
          </w:p>
        </w:tc>
        <w:tc>
          <w:tcPr>
            <w:tcW w:w="283" w:type="dxa"/>
            <w:vMerge w:val="restart"/>
            <w:tcBorders>
              <w:top w:val="nil"/>
              <w:left w:val="nil"/>
              <w:bottom w:val="nil"/>
              <w:right w:val="nil"/>
            </w:tcBorders>
          </w:tcPr>
          <w:p w14:paraId="3A9FA123" w14:textId="77777777" w:rsidR="00941203" w:rsidRPr="00A75522" w:rsidRDefault="00941203" w:rsidP="00957C11">
            <w:pPr>
              <w:spacing w:before="120"/>
              <w:jc w:val="both"/>
            </w:pPr>
          </w:p>
        </w:tc>
        <w:tc>
          <w:tcPr>
            <w:tcW w:w="5812" w:type="dxa"/>
            <w:vMerge w:val="restart"/>
            <w:tcBorders>
              <w:top w:val="single" w:sz="4" w:space="0" w:color="auto"/>
              <w:left w:val="nil"/>
              <w:bottom w:val="nil"/>
              <w:right w:val="nil"/>
            </w:tcBorders>
          </w:tcPr>
          <w:p w14:paraId="18F596FB" w14:textId="00E15ADC" w:rsidR="00941203" w:rsidRPr="00A75522" w:rsidRDefault="00941203" w:rsidP="00957C11">
            <w:pPr>
              <w:spacing w:before="120"/>
              <w:jc w:val="both"/>
            </w:pPr>
            <w:r>
              <w:rPr>
                <w:iCs/>
                <w:color w:val="000000"/>
              </w:rPr>
              <w:t xml:space="preserve">Small-scale fishers in Lhokseumawe recorded catch species by eye, which caused recording errors between similar species. This study built Fish Scan, an Android application that classified six catch species with YOLOv8. We collected 350 primary images in seven categories, including a Non Fish class, and expanded them to 768 images through Roboflow augmentation. We trained YOLOv8s for 100 epochs and converted the best weights to TensorFlow Lite for offline, on-device inference in Flutter. A dual confidence threshold dropped detections below 0.40, labeled detections from 0.40 to below 0.65 as Non Fish, and assigned a species label at 0.65 or higher. On validation data, the model reached 92.1% precision, 95.5% recall, 93.8% F1-score, 93.1% mAP50, and 86.3% mAP50-95. A manual check on 32 test images gave 97.3% recall but 67.9% precision, because the model marked 33 background regions as skipjack tuna. All 21 black-box test cases passed. The results showed that YOLOv8 on TensorFlow Lite ran offline on a mid-range Android phone and supported catch recording for small-scale fishers.</w:t>
            </w:r>
          </w:p>
        </w:tc>
      </w:tr>
      <w:tr w:rsidR="00941203" w14:paraId="6D730731" w14:textId="77777777" w:rsidTr="00C07BEF">
        <w:trPr>
          <w:trHeight w:val="1231"/>
        </w:trPr>
        <w:tc>
          <w:tcPr>
            <w:tcW w:w="2802" w:type="dxa"/>
            <w:vMerge w:val="restart"/>
            <w:tcBorders>
              <w:top w:val="single" w:sz="4" w:space="0" w:color="auto"/>
              <w:left w:val="nil"/>
              <w:bottom w:val="single" w:sz="4" w:space="0" w:color="auto"/>
              <w:right w:val="nil"/>
            </w:tcBorders>
          </w:tcPr>
          <w:p w14:paraId="483CAB4A" w14:textId="77777777" w:rsidR="00941203" w:rsidRPr="00A75522" w:rsidRDefault="00941203" w:rsidP="00941203">
            <w:pPr>
              <w:spacing w:before="120" w:after="120"/>
              <w:jc w:val="both"/>
              <w:rPr>
                <w:b/>
                <w:i/>
              </w:rPr>
            </w:pPr>
            <w:r w:rsidRPr="00A75522">
              <w:rPr>
                <w:b/>
                <w:i/>
              </w:rPr>
              <w:t>Keyword:</w:t>
            </w:r>
          </w:p>
          <w:p w14:paraId="5A840B3A" w14:textId="77777777" w:rsidR="00941203" w:rsidRPr="00A75522" w:rsidRDefault="00941203" w:rsidP="00941203">
            <w:pPr>
              <w:jc w:val="both"/>
            </w:pPr>
            <w:r w:rsidRPr="00A75522">
              <w:t>Android</w:t>
            </w:r>
          </w:p>
          <w:p w14:paraId="16AF85A4" w14:textId="77777777" w:rsidR="00941203" w:rsidRPr="00A75522" w:rsidRDefault="00941203" w:rsidP="00941203">
            <w:pPr>
              <w:jc w:val="both"/>
            </w:pPr>
            <w:r w:rsidRPr="00A75522">
              <w:t>Fish species classification</w:t>
            </w:r>
          </w:p>
          <w:p w14:paraId="66A6A8B0" w14:textId="77777777" w:rsidR="00941203" w:rsidRPr="00A75522" w:rsidRDefault="00941203" w:rsidP="00941203">
            <w:pPr>
              <w:jc w:val="both"/>
            </w:pPr>
            <w:r w:rsidRPr="00A75522">
              <w:t>On-device inference</w:t>
            </w:r>
          </w:p>
          <w:p w14:paraId="22A2460D" w14:textId="77777777" w:rsidR="00941203" w:rsidRPr="00A75522" w:rsidRDefault="00941203" w:rsidP="00941203">
            <w:pPr>
              <w:jc w:val="both"/>
            </w:pPr>
            <w:r w:rsidRPr="00A75522">
              <w:t>TensorFlow Lite</w:t>
            </w:r>
          </w:p>
          <w:p w14:paraId="46661998" w14:textId="77777777" w:rsidR="00941203" w:rsidRPr="00A75522" w:rsidRDefault="00941203" w:rsidP="00941203">
            <w:pPr>
              <w:jc w:val="both"/>
              <w:rPr>
                <w:b/>
                <w:i/>
              </w:rPr>
            </w:pPr>
            <w:r w:rsidRPr="00A75522">
              <w:t>YOLOv8</w:t>
            </w:r>
          </w:p>
        </w:tc>
        <w:tc>
          <w:tcPr>
            <w:tcW w:w="283" w:type="dxa"/>
            <w:vMerge/>
            <w:tcBorders>
              <w:top w:val="nil"/>
              <w:left w:val="nil"/>
              <w:bottom w:val="nil"/>
              <w:right w:val="nil"/>
            </w:tcBorders>
          </w:tcPr>
          <w:p w14:paraId="55F0B0E3" w14:textId="77777777" w:rsidR="00941203" w:rsidRPr="00A75522" w:rsidRDefault="00941203" w:rsidP="00957C11">
            <w:pPr>
              <w:spacing w:before="120"/>
              <w:jc w:val="both"/>
            </w:pPr>
          </w:p>
        </w:tc>
        <w:tc>
          <w:tcPr>
            <w:tcW w:w="5812" w:type="dxa"/>
            <w:vMerge/>
            <w:tcBorders>
              <w:top w:val="nil"/>
              <w:left w:val="nil"/>
              <w:bottom w:val="nil"/>
              <w:right w:val="nil"/>
            </w:tcBorders>
          </w:tcPr>
          <w:p w14:paraId="0DBED80C" w14:textId="77777777" w:rsidR="00941203" w:rsidRPr="00A75522" w:rsidRDefault="00941203" w:rsidP="00957C11">
            <w:pPr>
              <w:spacing w:before="120"/>
              <w:jc w:val="both"/>
              <w:rPr>
                <w:iCs/>
                <w:color w:val="000000"/>
              </w:rPr>
            </w:pPr>
          </w:p>
        </w:tc>
      </w:tr>
      <w:tr w:rsidR="00941203" w14:paraId="6FBD7ED0" w14:textId="77777777" w:rsidTr="00C07BEF">
        <w:trPr>
          <w:trHeight w:val="70"/>
        </w:trPr>
        <w:tc>
          <w:tcPr>
            <w:tcW w:w="2802" w:type="dxa"/>
            <w:vMerge/>
            <w:tcBorders>
              <w:top w:val="single" w:sz="4" w:space="0" w:color="auto"/>
              <w:left w:val="nil"/>
              <w:bottom w:val="single" w:sz="4" w:space="0" w:color="auto"/>
              <w:right w:val="nil"/>
            </w:tcBorders>
          </w:tcPr>
          <w:p w14:paraId="70E7E3E6" w14:textId="77777777" w:rsidR="00941203" w:rsidRPr="00A75522" w:rsidRDefault="00941203" w:rsidP="00941203">
            <w:pPr>
              <w:spacing w:before="120" w:after="120"/>
              <w:jc w:val="both"/>
              <w:rPr>
                <w:b/>
                <w:i/>
              </w:rPr>
            </w:pPr>
          </w:p>
        </w:tc>
        <w:tc>
          <w:tcPr>
            <w:tcW w:w="283" w:type="dxa"/>
            <w:vMerge/>
            <w:tcBorders>
              <w:top w:val="nil"/>
              <w:left w:val="nil"/>
              <w:bottom w:val="nil"/>
              <w:right w:val="nil"/>
            </w:tcBorders>
          </w:tcPr>
          <w:p w14:paraId="0B1EED90" w14:textId="77777777" w:rsidR="00941203" w:rsidRPr="00A75522" w:rsidRDefault="00941203" w:rsidP="00957C11">
            <w:pPr>
              <w:spacing w:before="120"/>
              <w:jc w:val="both"/>
            </w:pPr>
          </w:p>
        </w:tc>
        <w:tc>
          <w:tcPr>
            <w:tcW w:w="5812" w:type="dxa"/>
            <w:tcBorders>
              <w:top w:val="nil"/>
              <w:left w:val="nil"/>
              <w:bottom w:val="single" w:sz="4" w:space="0" w:color="auto"/>
              <w:right w:val="nil"/>
            </w:tcBorders>
          </w:tcPr>
          <w:p w14:paraId="3C8C5C4B" w14:textId="0C8E77F4" w:rsidR="00941203" w:rsidRPr="00A75522" w:rsidRDefault="002B7F14" w:rsidP="001003EF">
            <w:pPr>
              <w:spacing w:before="120" w:after="120"/>
              <w:jc w:val="right"/>
              <w:rPr>
                <w:i/>
                <w:iCs/>
                <w:color w:val="000000"/>
              </w:rPr>
            </w:pPr>
            <w:r w:rsidRPr="00A75522">
              <w:rPr>
                <w:i/>
                <w:iCs/>
                <w:color w:val="000000"/>
              </w:rPr>
              <w:t>©</w:t>
            </w:r>
            <w:r w:rsidR="006B027E" w:rsidRPr="00A75522">
              <w:rPr>
                <w:i/>
                <w:iCs/>
                <w:color w:val="000000"/>
              </w:rPr>
              <w:t xml:space="preserve"> </w:t>
            </w:r>
            <w:r w:rsidR="00996BFA" w:rsidRPr="00996BFA">
              <w:rPr>
                <w:i/>
                <w:iCs/>
                <w:color w:val="000000"/>
              </w:rPr>
              <w:t>This work is licensed under a Creative Commons Attribution-</w:t>
            </w:r>
            <w:proofErr w:type="spellStart"/>
            <w:r w:rsidR="00996BFA" w:rsidRPr="00996BFA">
              <w:rPr>
                <w:i/>
                <w:iCs/>
                <w:color w:val="000000"/>
              </w:rPr>
              <w:t>ShareAlike</w:t>
            </w:r>
            <w:proofErr w:type="spellEnd"/>
            <w:r w:rsidR="00996BFA" w:rsidRPr="00996BFA">
              <w:rPr>
                <w:i/>
                <w:iCs/>
                <w:color w:val="000000"/>
              </w:rPr>
              <w:t xml:space="preserve"> 4.0 International License</w:t>
            </w:r>
            <w:r w:rsidR="006B027E" w:rsidRPr="00A75522">
              <w:rPr>
                <w:i/>
                <w:iCs/>
                <w:color w:val="000000"/>
              </w:rPr>
              <w:t>.</w:t>
            </w:r>
          </w:p>
        </w:tc>
      </w:tr>
      <w:tr w:rsidR="007F286F" w14:paraId="22D87A81" w14:textId="77777777" w:rsidTr="00C07BEF">
        <w:tc>
          <w:tcPr>
            <w:tcW w:w="8897" w:type="dxa"/>
            <w:gridSpan w:val="3"/>
            <w:tcBorders>
              <w:top w:val="nil"/>
              <w:left w:val="nil"/>
              <w:bottom w:val="double" w:sz="4" w:space="0" w:color="auto"/>
              <w:right w:val="nil"/>
            </w:tcBorders>
          </w:tcPr>
          <w:p w14:paraId="53B6DC09" w14:textId="77777777" w:rsidR="007F286F" w:rsidRPr="00A75522" w:rsidRDefault="007F286F" w:rsidP="00941203">
            <w:pPr>
              <w:spacing w:before="120" w:after="120"/>
              <w:rPr>
                <w:b/>
                <w:i/>
              </w:rPr>
            </w:pPr>
            <w:r w:rsidRPr="00A75522">
              <w:rPr>
                <w:b/>
                <w:i/>
              </w:rPr>
              <w:t>Corresponding Author:</w:t>
            </w:r>
          </w:p>
          <w:p w14:paraId="29242375" w14:textId="0D8BAE2A" w:rsidR="007F286F" w:rsidRPr="00A75522" w:rsidRDefault="005542A3" w:rsidP="007F286F">
            <w:r w:rsidRPr="00A75522">
              <w:t xml:space="preserve">Juliana Sari</w:t>
            </w:r>
          </w:p>
          <w:p w14:paraId="6A70FF57" w14:textId="5A65B99E" w:rsidR="007F286F" w:rsidRPr="00A75522" w:rsidRDefault="007F286F" w:rsidP="007F286F">
            <w:proofErr w:type="spellStart"/>
            <w:r w:rsidRPr="00A75522">
              <w:t xml:space="preserve">Department of Information Systems, Faculty of Engineering</w:t>
            </w:r>
            <w:proofErr w:type="spellEnd"/>
            <w:r w:rsidRPr="00A75522">
              <w:t xml:space="preserve"/>
            </w:r>
          </w:p>
          <w:p w14:paraId="0C00A385" w14:textId="42A54C1D" w:rsidR="007F286F" w:rsidRPr="00A75522" w:rsidRDefault="00CE4A12" w:rsidP="007F286F">
            <w:proofErr w:type="spellStart"/>
            <w:r>
              <w:t xml:space="preserve">Universitas Malikussaleh</w:t>
            </w:r>
            <w:proofErr w:type="spellEnd"/>
            <w:r w:rsidR="00A75522">
              <w:t xml:space="preserve"/>
            </w:r>
            <w:r w:rsidR="007F286F" w:rsidRPr="00A75522">
              <w:t/>
            </w:r>
          </w:p>
          <w:p w14:paraId="710D32A4" w14:textId="4F8F5000" w:rsidR="00A75522" w:rsidRDefault="00CE4A12" w:rsidP="00A75522">
            <w:r>
              <w:t xml:space="preserve">Lhokseumawe, Aceh, Indonesia</w:t>
            </w:r>
          </w:p>
          <w:p w14:paraId="5146C3F5" w14:textId="1F1DAC66" w:rsidR="00941203" w:rsidRPr="00A75522" w:rsidRDefault="00941203" w:rsidP="00CE4A12">
            <w:pPr>
              <w:spacing w:after="120"/>
              <w:rPr>
                <w:color w:val="000000"/>
              </w:rPr>
            </w:pPr>
            <w:r w:rsidRPr="00A75522">
              <w:t xml:space="preserve">Email: [corresponding author email]</w:t>
            </w:r>
            <w:r w:rsidR="00CE4A12">
              <w:t/>
            </w:r>
          </w:p>
        </w:tc>
      </w:tr>
    </w:tbl>
    <w:p w14:paraId="65E05AF0" w14:textId="77777777" w:rsidR="00957C11" w:rsidRDefault="00957C11" w:rsidP="00957C11">
      <w:pPr>
        <w:jc w:val="both"/>
      </w:pPr>
    </w:p>
    <w:p>
      <w:pPr>
        <w:keepNext/>
        <w:spacing w:before="240" w:after="60"/>
        <w:numPr>
          <w:ilvl w:val="0"/>
          <w:numId w:val="15"/>
        </w:numPr>
        <w:tabs>
          <w:tab w:val="left" w:pos="426"/>
        </w:tabs>
        <w:ind w:left="426" w:hanging="426"/>
        <w:rPr>
          <w:b/>
          <w:bCs/>
          <w:sz w:val="22"/>
          <w:szCs w:val="22"/>
          <w:lang w:val="id-ID"/>
        </w:rPr>
      </w:pPr>
      <w:r>
        <w:rPr>
          <w:b/>
          <w:bCs/>
          <w:sz w:val="22"/>
          <w:szCs w:val="22"/>
        </w:rPr>
        <w:t xml:space="preserve">INTRODUCTION</w:t>
      </w:r>
    </w:p>
    <w:p>
      <w:pPr>
        <w:ind w:firstLine="720"/>
        <w:jc w:val="both"/>
      </w:pPr>
      <w:r>
        <w:rPr>
          <w:sz w:val="22"/>
          <w:szCs w:val="22"/>
        </w:rPr>
        <w:t xml:space="preserve">Indonesia has large marine fishery resources. The Ministry of Marine Affairs and Fisheries reported a national fish consumption of 56.39 kg per capita in 2020, up 3.47% from the previous year. In Lhokseumawe City, 2025 data from Statistics Indonesia (BPS) list 25 marine catch species. Eastern little tuna had the highest volume at 1,476,032 kg, followed by Indian mackerel at 952,496 kg and anchovy at 825,700 kg.</w:t>
      </w:r>
    </w:p>
    <w:p>
      <w:pPr>
        <w:ind w:firstLine="720"/>
        <w:jc w:val="both"/>
      </w:pPr>
      <w:r>
        <w:rPr>
          <w:sz w:val="22"/>
          <w:szCs w:val="22"/>
        </w:rPr>
        <w:t xml:space="preserve">Small-scale fishers still lack a simple and reliable way to record their catch. The logbook obligation applies only to vessels above 5 GT [1]. Apps such as Buku Nelayanku [2] and NelayanKita [3] support digital recording. However, users still type the species name by hand after a visual check. This step invites recording errors, because several species share similar shapes and colors.</w:t>
      </w:r>
    </w:p>
    <w:p>
      <w:pPr>
        <w:ind w:firstLine="720"/>
        <w:jc w:val="both"/>
      </w:pPr>
      <w:r>
        <w:rPr>
          <w:sz w:val="22"/>
          <w:szCs w:val="22"/>
        </w:rPr>
        <w:t xml:space="preserve">Many studies have applied image-based methods to fish. Rachmat and Mahendra used SVM with HOG and HSV features to classify marine fish [4]. Jerandu </w:t>
      </w:r>
      <w:r>
        <w:rPr>
          <w:sz w:val="22"/>
          <w:szCs w:val="22"/>
          <w:i/>
        </w:rPr>
        <w:t xml:space="preserve">et al.</w:t>
      </w:r>
      <w:r>
        <w:rPr>
          <w:sz w:val="22"/>
          <w:szCs w:val="22"/>
        </w:rPr>
        <w:t xml:space="preserve"> used KNN with HSV color features to assess fish freshness [5]. Justam </w:t>
      </w:r>
      <w:r>
        <w:rPr>
          <w:sz w:val="22"/>
          <w:szCs w:val="22"/>
          <w:i/>
        </w:rPr>
        <w:t xml:space="preserve">et al.</w:t>
      </w:r>
      <w:r>
        <w:rPr>
          <w:sz w:val="22"/>
          <w:szCs w:val="22"/>
        </w:rPr>
        <w:t xml:space="preserve"> deployed a CNN in an Android app [6]. Rakhmat and Haekal added Squeeze-and-Excitation blocks to MobileNetV3 and reached 68% accuracy [7]. These methods classify the whole image and do not locate the fish.</w:t>
      </w:r>
    </w:p>
    <w:p>
      <w:pPr>
        <w:ind w:firstLine="720"/>
        <w:jc w:val="both"/>
      </w:pPr>
      <w:r>
        <w:rPr>
          <w:sz w:val="22"/>
          <w:szCs w:val="22"/>
        </w:rPr>
        <w:t xml:space="preserve">YOLO (You Only Look Once) performs detection and classification in a single stage. Kuswantori </w:t>
      </w:r>
      <w:r>
        <w:rPr>
          <w:sz w:val="22"/>
          <w:szCs w:val="22"/>
          <w:i/>
        </w:rPr>
        <w:t xml:space="preserve">et al.</w:t>
      </w:r>
      <w:r>
        <w:rPr>
          <w:sz w:val="22"/>
          <w:szCs w:val="22"/>
        </w:rPr>
        <w:t xml:space="preserve"> reached 98.15% accuracy for eight species on a conveyor sorting system [8] and later improved the result with YOLOv8 [9]. Prameswari </w:t>
      </w:r>
      <w:r>
        <w:rPr>
          <w:sz w:val="22"/>
          <w:szCs w:val="22"/>
          <w:i/>
        </w:rPr>
        <w:t xml:space="preserve">et al.</w:t>
      </w:r>
      <w:r>
        <w:rPr>
          <w:sz w:val="22"/>
          <w:szCs w:val="22"/>
        </w:rPr>
        <w:t xml:space="preserve"> achieved 98.2% mAP@0.5 on the Fish-gres dataset [10]. Wang added random mask attention to YOLOv8 for ten freshwater species [11]. Hindarto retrained a pretrained YOLOv8 on Indonesian native fish and reported 89.6% overall accuracy [12]. Saputra </w:t>
      </w:r>
      <w:r>
        <w:rPr>
          <w:sz w:val="22"/>
          <w:szCs w:val="22"/>
          <w:i/>
        </w:rPr>
        <w:t xml:space="preserve">et al.</w:t>
      </w:r>
      <w:r>
        <w:rPr>
          <w:sz w:val="22"/>
          <w:szCs w:val="22"/>
        </w:rPr>
        <w:t xml:space="preserve"> used YOLOv8 to judge hairtail freshness from eye images with 0.976 precision [13]. Shah </w:t>
      </w:r>
      <w:r>
        <w:rPr>
          <w:sz w:val="22"/>
          <w:szCs w:val="22"/>
          <w:i/>
        </w:rPr>
        <w:t xml:space="preserve">et al.</w:t>
      </w:r>
      <w:r>
        <w:rPr>
          <w:sz w:val="22"/>
          <w:szCs w:val="22"/>
        </w:rPr>
        <w:t xml:space="preserve"> added transformer blocks and a class-aware loss to YOLOv8 and reached 87.9% mAP50 on reef fish [14]. These studies ran on computers or servers. Effendi </w:t>
      </w:r>
      <w:r>
        <w:rPr>
          <w:sz w:val="22"/>
          <w:szCs w:val="22"/>
          <w:i/>
        </w:rPr>
        <w:t xml:space="preserve">et al.</w:t>
      </w:r>
      <w:r>
        <w:rPr>
          <w:sz w:val="22"/>
          <w:szCs w:val="22"/>
        </w:rPr>
        <w:t xml:space="preserve"> showed that TensorFlow Lite can run object detection on Android without internet [15], but their case was face mask detection.</w:t>
      </w:r>
    </w:p>
    <w:p>
      <w:pPr>
        <w:ind w:firstLine="720"/>
        <w:jc w:val="both"/>
      </w:pPr>
      <w:r>
        <w:rPr>
          <w:sz w:val="22"/>
          <w:szCs w:val="22"/>
        </w:rPr>
        <w:t xml:space="preserve">This study fills that gap with three contributions. First, we run YOLOv8s in TensorFlow Lite format fully on an Android device through Flutter. Second, we design a dual confidence threshold that rejects non-fish objects. Third, we train the model on primary images of six species caught by Lhokseumawe fishers and store detection history on the device as a catch record. Pratama </w:t>
      </w:r>
      <w:r>
        <w:rPr>
          <w:sz w:val="22"/>
          <w:szCs w:val="22"/>
          <w:i/>
        </w:rPr>
        <w:t xml:space="preserve">et al.</w:t>
      </w:r>
      <w:r>
        <w:rPr>
          <w:sz w:val="22"/>
          <w:szCs w:val="22"/>
        </w:rPr>
        <w:t xml:space="preserve"> previously built an Android information system to locate shrimp pond raw materials in Lhokseumawe [16]. This study extends Android use to capture fisheries in the same region.</w:t>
      </w:r>
    </w:p>
    <w:p>
      <w:pPr>
        <w:keepNext/>
        <w:spacing w:before="240" w:after="60"/>
        <w:numPr>
          <w:ilvl w:val="0"/>
          <w:numId w:val="15"/>
        </w:numPr>
        <w:tabs>
          <w:tab w:val="left" w:pos="426"/>
        </w:tabs>
        <w:ind w:left="426" w:hanging="426"/>
        <w:rPr>
          <w:b/>
          <w:bCs/>
          <w:sz w:val="22"/>
          <w:szCs w:val="22"/>
          <w:lang w:val="id-ID"/>
        </w:rPr>
      </w:pPr>
      <w:r>
        <w:rPr>
          <w:b/>
          <w:bCs/>
          <w:sz w:val="22"/>
          <w:szCs w:val="22"/>
        </w:rPr>
        <w:t xml:space="preserve">RESEARCH METHOD</w:t>
      </w:r>
    </w:p>
    <w:p>
      <w:pPr>
        <w:ind w:firstLine="720"/>
        <w:jc w:val="both"/>
      </w:pPr>
      <w:r>
        <w:rPr>
          <w:sz w:val="22"/>
          <w:szCs w:val="22"/>
        </w:rPr>
        <w:t xml:space="preserve">We used an applied research approach with an experimental method. Figure 1 shows the eight research stages: image collection, annotation, preprocessing and augmentation, training, evaluation, TensorFlow Lite conversion, app integration, and testing. When the evaluation result was not adequate, the process returned to training with new parameters.</w:t>
      </w:r>
    </w:p>
    <w:p>
      <w:pPr>
        <w:keepNext/>
        <w:spacing w:before="160"/>
        <w:jc w:val="center"/>
      </w:pPr>
      <w:r>
        <w:drawing>
          <wp:inline xmlns:a="http://schemas.openxmlformats.org/drawingml/2006/main" xmlns:pic="http://schemas.openxmlformats.org/drawingml/2006/picture">
            <wp:extent cx="1737360" cy="3782553"/>
            <wp:docPr id="1" name="Picture 1"/>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1737360" cy="3782553"/>
                    </a:xfrm>
                    <a:prstGeom prst="rect"/>
                  </pic:spPr>
                </pic:pic>
              </a:graphicData>
            </a:graphic>
          </wp:inline>
        </w:drawing>
      </w:r>
    </w:p>
    <w:p>
      <w:pPr>
        <w:spacing w:before="60" w:after="200"/>
        <w:jc w:val="center"/>
      </w:pPr>
      <w:r>
        <w:rPr>
          <w:sz w:val="22"/>
          <w:szCs w:val="22"/>
        </w:rPr>
        <w:t xml:space="preserve">Figure 1. Research stages</w:t>
      </w:r>
    </w:p>
    <w:p>
      <w:pPr>
        <w:keepNext/>
        <w:spacing w:before="180" w:after="60"/>
        <w:ind w:left="426" w:hanging="426"/>
      </w:pPr>
      <w:r>
        <w:rPr>
          <w:b/>
          <w:bCs/>
          <w:sz w:val="22"/>
          <w:szCs w:val="22"/>
        </w:rPr>
        <w:t xml:space="preserve">2.1.	Data Collection and Processing</w:t>
      </w:r>
    </w:p>
    <w:p>
      <w:pPr>
        <w:ind w:firstLine="720"/>
        <w:jc w:val="both"/>
      </w:pPr>
      <w:r>
        <w:rPr>
          <w:sz w:val="22"/>
          <w:szCs w:val="22"/>
        </w:rPr>
        <w:t xml:space="preserve">We collected 350 primary images with a phone camera at a fish landing site. The data split evenly into seven categories of 50 images each. Six categories were target species: barramundi, red mullet (</w:t>
      </w:r>
      <w:r>
        <w:rPr>
          <w:sz w:val="22"/>
          <w:szCs w:val="22"/>
          <w:i/>
        </w:rPr>
        <w:t xml:space="preserve">belanak merah</w:t>
      </w:r>
      <w:r>
        <w:rPr>
          <w:sz w:val="22"/>
          <w:szCs w:val="22"/>
        </w:rPr>
        <w:t xml:space="preserve">), skipjack tuna (</w:t>
      </w:r>
      <w:r>
        <w:rPr>
          <w:sz w:val="22"/>
          <w:szCs w:val="22"/>
          <w:i/>
        </w:rPr>
        <w:t xml:space="preserve">cakalang</w:t>
      </w:r>
      <w:r>
        <w:rPr>
          <w:sz w:val="22"/>
          <w:szCs w:val="22"/>
        </w:rPr>
        <w:t xml:space="preserve">), white snapper (</w:t>
      </w:r>
      <w:r>
        <w:rPr>
          <w:sz w:val="22"/>
          <w:szCs w:val="22"/>
          <w:i/>
        </w:rPr>
        <w:t xml:space="preserve">kakap putih</w:t>
      </w:r>
      <w:r>
        <w:rPr>
          <w:sz w:val="22"/>
          <w:szCs w:val="22"/>
        </w:rPr>
        <w:t xml:space="preserve">), Indian mackerel (</w:t>
      </w:r>
      <w:r>
        <w:rPr>
          <w:sz w:val="22"/>
          <w:szCs w:val="22"/>
          <w:i/>
        </w:rPr>
        <w:t xml:space="preserve">kembung</w:t>
      </w:r>
      <w:r>
        <w:rPr>
          <w:sz w:val="22"/>
          <w:szCs w:val="22"/>
        </w:rPr>
        <w:t xml:space="preserve">), and sardine (</w:t>
      </w:r>
      <w:r>
        <w:rPr>
          <w:sz w:val="22"/>
          <w:szCs w:val="22"/>
          <w:i/>
        </w:rPr>
        <w:t xml:space="preserve">sarden</w:t>
      </w:r>
      <w:r>
        <w:rPr>
          <w:sz w:val="22"/>
          <w:szCs w:val="22"/>
        </w:rPr>
        <w:t xml:space="preserve">). The seventh category, Non Fish, contained hands, containers, tables, and other objects in the work area. We took the photos under natural and artificial light with varied backgrounds.</w:t>
      </w:r>
    </w:p>
    <w:p>
      <w:pPr>
        <w:ind w:firstLine="720"/>
        <w:jc w:val="both"/>
      </w:pPr>
      <w:r>
        <w:rPr>
          <w:sz w:val="22"/>
          <w:szCs w:val="22"/>
        </w:rPr>
        <w:t xml:space="preserve">We labeled each fish with a bounding box in Roboflow using the YOLO format. Non Fish images received no box, so they served as negative background images. Figure 2 shows sample annotations. Preprocessing applied auto-orient to remove EXIF rotation and resized each image to 512 × 512 pixels with the stretch method.</w:t>
      </w:r>
    </w:p>
    <w:p>
      <w:pPr>
        <w:keepNext/>
        <w:spacing w:before="160"/>
        <w:jc w:val="center"/>
      </w:pPr>
      <w:r>
        <w:drawing>
          <wp:inline xmlns:a="http://schemas.openxmlformats.org/drawingml/2006/main" xmlns:pic="http://schemas.openxmlformats.org/drawingml/2006/picture">
            <wp:extent cx="2651760" cy="2651760"/>
            <wp:docPr id="2" name="Picture 2"/>
            <wp:cNvGraphicFramePr>
              <a:graphicFrameLocks noChangeAspect="1"/>
            </wp:cNvGraphicFramePr>
            <a:graphic>
              <a:graphicData uri="http://schemas.openxmlformats.org/drawingml/2006/picture">
                <pic:pic>
                  <pic:nvPicPr>
                    <pic:cNvPr id="0" name="image10.jpeg"/>
                    <pic:cNvPicPr/>
                  </pic:nvPicPr>
                  <pic:blipFill>
                    <a:blip r:embed="rId21"/>
                    <a:stretch>
                      <a:fillRect/>
                    </a:stretch>
                  </pic:blipFill>
                  <pic:spPr>
                    <a:xfrm>
                      <a:off x="0" y="0"/>
                      <a:ext cx="2651760" cy="2651760"/>
                    </a:xfrm>
                    <a:prstGeom prst="rect"/>
                  </pic:spPr>
                </pic:pic>
              </a:graphicData>
            </a:graphic>
          </wp:inline>
        </w:drawing>
      </w:r>
    </w:p>
    <w:p>
      <w:pPr>
        <w:spacing w:before="60" w:after="200"/>
        <w:jc w:val="center"/>
      </w:pPr>
      <w:r>
        <w:rPr>
          <w:sz w:val="22"/>
          <w:szCs w:val="22"/>
        </w:rPr>
        <w:t xml:space="preserve">Figure 2. Sample bounding box annotations</w:t>
      </w:r>
    </w:p>
    <w:p>
      <w:pPr>
        <w:ind w:firstLine="720"/>
        <w:jc w:val="both"/>
      </w:pPr>
      <w:r>
        <w:rPr>
          <w:sz w:val="22"/>
          <w:szCs w:val="22"/>
        </w:rPr>
        <w:t xml:space="preserve">Roboflow augmentation produced three versions of each source image. The techniques included horizontal and vertical flips, 90° rotation, grayscale on 15% of the images, ±25% saturation, ±15% brightness, ±10% exposure, blur up to 2.5 pixels, and motion blur. During training, YOLOv8 added dynamic augmentation: mosaic, HSV shifts, translation, scaling, random erasing, and RandAugment. The final dataset held 768 images. Table 1 shows the split.</w:t>
      </w:r>
    </w:p>
    <w:p>
      <w:pPr>
        <w:keepNext/>
        <w:spacing w:before="200" w:after="60"/>
        <w:jc w:val="center"/>
      </w:pPr>
      <w:r>
        <w:rPr>
          <w:sz w:val="22"/>
          <w:szCs w:val="22"/>
        </w:rPr>
        <w:t xml:space="preserve">Table 1. Dataset split</w:t>
      </w:r>
    </w:p>
    <w:tbl>
      <w:tblPr>
        <w:tblW w:w="5200" w:type="dxa"/>
        <w:jc w:val="center"/>
        <w:tblBorders>
          <w:top w:val="nil"/>
          <w:left w:val="nil"/>
          <w:bottom w:val="nil"/>
          <w:right w:val="nil"/>
          <w:insideH w:val="nil"/>
          <w:insideV w:val="nil"/>
        </w:tblBorders>
        <w:tblLayout w:type="fixed"/>
        <w:tblCellMar>
          <w:left w:w="80" w:type="dxa"/>
          <w:right w:w="80" w:type="dxa"/>
        </w:tblCellMar>
        <w:tblLook w:val="04A0"/>
      </w:tblPr>
      <w:tblGrid>
        <w:gridCol w:w="2200"/>
        <w:gridCol w:w="1500"/>
        <w:gridCol w:w="1500"/>
      </w:tblGrid>
      <w:tr>
        <w:trPr>
          <w:tblHeader/>
          <w:cantSplit/>
          <w:jc w:val="center"/>
        </w:trPr>
        <w:tc>
          <w:tcPr>
            <w:tcW w:w="2200" w:type="dxa"/>
            <w:tcBorders>
              <w:top w:val="single" w:sz="4" w:space="0" w:color="auto"/>
              <w:bottom w:val="single" w:sz="4" w:space="0" w:color="auto"/>
            </w:tcBorders>
            <w:vAlign w:val="center"/>
          </w:tcPr>
          <w:p>
            <w:pPr>
              <w:spacing w:before="10" w:after="10"/>
              <w:jc w:val="center"/>
            </w:pPr>
            <w:r>
              <w:rPr>
                <w:sz w:val="20"/>
                <w:szCs w:val="20"/>
              </w:rPr>
              <w:t xml:space="preserve">Subset</w:t>
            </w:r>
          </w:p>
        </w:tc>
        <w:tc>
          <w:tcPr>
            <w:tcW w:w="1500" w:type="dxa"/>
            <w:tcBorders>
              <w:top w:val="single" w:sz="4" w:space="0" w:color="auto"/>
              <w:bottom w:val="single" w:sz="4" w:space="0" w:color="auto"/>
            </w:tcBorders>
            <w:vAlign w:val="center"/>
          </w:tcPr>
          <w:p>
            <w:pPr>
              <w:spacing w:before="10" w:after="10"/>
              <w:jc w:val="center"/>
            </w:pPr>
            <w:r>
              <w:rPr>
                <w:sz w:val="20"/>
                <w:szCs w:val="20"/>
              </w:rPr>
              <w:t xml:space="preserve">Images</w:t>
            </w:r>
          </w:p>
        </w:tc>
        <w:tc>
          <w:tcPr>
            <w:tcW w:w="1500" w:type="dxa"/>
            <w:tcBorders>
              <w:top w:val="single" w:sz="4" w:space="0" w:color="auto"/>
              <w:bottom w:val="single" w:sz="4" w:space="0" w:color="auto"/>
            </w:tcBorders>
            <w:vAlign w:val="center"/>
          </w:tcPr>
          <w:p>
            <w:pPr>
              <w:spacing w:before="10" w:after="10"/>
              <w:jc w:val="center"/>
            </w:pPr>
            <w:r>
              <w:rPr>
                <w:sz w:val="20"/>
                <w:szCs w:val="20"/>
              </w:rPr>
              <w:t xml:space="preserve">Share</w:t>
            </w:r>
          </w:p>
        </w:tc>
      </w:tr>
      <w:tr>
        <w:trPr>
          <w:cantSplit/>
          <w:jc w:val="center"/>
        </w:trPr>
        <w:tc>
          <w:tcPr>
            <w:tcW w:w="2200" w:type="dxa"/>
            <w:vAlign w:val="center"/>
          </w:tcPr>
          <w:p>
            <w:pPr>
              <w:spacing w:before="10" w:after="10"/>
              <w:jc w:val="left"/>
            </w:pPr>
            <w:r>
              <w:rPr>
                <w:sz w:val="20"/>
                <w:szCs w:val="20"/>
              </w:rPr>
              <w:t xml:space="preserve">Training</w:t>
            </w:r>
          </w:p>
        </w:tc>
        <w:tc>
          <w:tcPr>
            <w:tcW w:w="1500" w:type="dxa"/>
            <w:vAlign w:val="center"/>
          </w:tcPr>
          <w:p>
            <w:pPr>
              <w:spacing w:before="10" w:after="10"/>
              <w:jc w:val="center"/>
            </w:pPr>
            <w:r>
              <w:rPr>
                <w:sz w:val="20"/>
                <w:szCs w:val="20"/>
              </w:rPr>
              <w:t xml:space="preserve">672</w:t>
            </w:r>
          </w:p>
        </w:tc>
        <w:tc>
          <w:tcPr>
            <w:tcW w:w="1500" w:type="dxa"/>
            <w:vAlign w:val="center"/>
          </w:tcPr>
          <w:p>
            <w:pPr>
              <w:spacing w:before="10" w:after="10"/>
              <w:jc w:val="center"/>
            </w:pPr>
            <w:r>
              <w:rPr>
                <w:sz w:val="20"/>
                <w:szCs w:val="20"/>
              </w:rPr>
              <w:t xml:space="preserve">87.5%</w:t>
            </w:r>
          </w:p>
        </w:tc>
      </w:tr>
      <w:tr>
        <w:trPr>
          <w:cantSplit/>
          <w:jc w:val="center"/>
        </w:trPr>
        <w:tc>
          <w:tcPr>
            <w:tcW w:w="2200" w:type="dxa"/>
            <w:vAlign w:val="center"/>
          </w:tcPr>
          <w:p>
            <w:pPr>
              <w:spacing w:before="10" w:after="10"/>
              <w:jc w:val="left"/>
            </w:pPr>
            <w:r>
              <w:rPr>
                <w:sz w:val="20"/>
                <w:szCs w:val="20"/>
              </w:rPr>
              <w:t xml:space="preserve">Validation</w:t>
            </w:r>
          </w:p>
        </w:tc>
        <w:tc>
          <w:tcPr>
            <w:tcW w:w="1500" w:type="dxa"/>
            <w:vAlign w:val="center"/>
          </w:tcPr>
          <w:p>
            <w:pPr>
              <w:spacing w:before="10" w:after="10"/>
              <w:jc w:val="center"/>
            </w:pPr>
            <w:r>
              <w:rPr>
                <w:sz w:val="20"/>
                <w:szCs w:val="20"/>
              </w:rPr>
              <w:t xml:space="preserve">64</w:t>
            </w:r>
          </w:p>
        </w:tc>
        <w:tc>
          <w:tcPr>
            <w:tcW w:w="1500" w:type="dxa"/>
            <w:vAlign w:val="center"/>
          </w:tcPr>
          <w:p>
            <w:pPr>
              <w:spacing w:before="10" w:after="10"/>
              <w:jc w:val="center"/>
            </w:pPr>
            <w:r>
              <w:rPr>
                <w:sz w:val="20"/>
                <w:szCs w:val="20"/>
              </w:rPr>
              <w:t xml:space="preserve">8.3%</w:t>
            </w:r>
          </w:p>
        </w:tc>
      </w:tr>
      <w:tr>
        <w:trPr>
          <w:cantSplit/>
          <w:jc w:val="center"/>
        </w:trPr>
        <w:tc>
          <w:tcPr>
            <w:tcW w:w="2200" w:type="dxa"/>
            <w:vAlign w:val="center"/>
          </w:tcPr>
          <w:p>
            <w:pPr>
              <w:spacing w:before="10" w:after="10"/>
              <w:jc w:val="left"/>
            </w:pPr>
            <w:r>
              <w:rPr>
                <w:sz w:val="20"/>
                <w:szCs w:val="20"/>
              </w:rPr>
              <w:t xml:space="preserve">Test</w:t>
            </w:r>
          </w:p>
        </w:tc>
        <w:tc>
          <w:tcPr>
            <w:tcW w:w="1500" w:type="dxa"/>
            <w:vAlign w:val="center"/>
          </w:tcPr>
          <w:p>
            <w:pPr>
              <w:spacing w:before="10" w:after="10"/>
              <w:jc w:val="center"/>
            </w:pPr>
            <w:r>
              <w:rPr>
                <w:sz w:val="20"/>
                <w:szCs w:val="20"/>
              </w:rPr>
              <w:t xml:space="preserve">32</w:t>
            </w:r>
          </w:p>
        </w:tc>
        <w:tc>
          <w:tcPr>
            <w:tcW w:w="1500" w:type="dxa"/>
            <w:vAlign w:val="center"/>
          </w:tcPr>
          <w:p>
            <w:pPr>
              <w:spacing w:before="10" w:after="10"/>
              <w:jc w:val="center"/>
            </w:pPr>
            <w:r>
              <w:rPr>
                <w:sz w:val="20"/>
                <w:szCs w:val="20"/>
              </w:rPr>
              <w:t xml:space="preserve">4.2%</w:t>
            </w:r>
          </w:p>
        </w:tc>
      </w:tr>
      <w:tr>
        <w:trPr>
          <w:cantSplit/>
          <w:jc w:val="center"/>
        </w:trPr>
        <w:tc>
          <w:tcPr>
            <w:tcW w:w="2200" w:type="dxa"/>
            <w:tcBorders>
              <w:bottom w:val="single" w:sz="4" w:space="0" w:color="auto"/>
            </w:tcBorders>
            <w:vAlign w:val="center"/>
          </w:tcPr>
          <w:p>
            <w:pPr>
              <w:spacing w:before="10" w:after="10"/>
              <w:jc w:val="left"/>
            </w:pPr>
            <w:r>
              <w:rPr>
                <w:sz w:val="20"/>
                <w:szCs w:val="20"/>
                <w:b/>
              </w:rPr>
              <w:t xml:space="preserve">Total</w:t>
            </w:r>
          </w:p>
        </w:tc>
        <w:tc>
          <w:tcPr>
            <w:tcW w:w="1500" w:type="dxa"/>
            <w:tcBorders>
              <w:bottom w:val="single" w:sz="4" w:space="0" w:color="auto"/>
            </w:tcBorders>
            <w:vAlign w:val="center"/>
          </w:tcPr>
          <w:p>
            <w:pPr>
              <w:spacing w:before="10" w:after="10"/>
              <w:jc w:val="center"/>
            </w:pPr>
            <w:r>
              <w:rPr>
                <w:sz w:val="20"/>
                <w:szCs w:val="20"/>
                <w:b/>
              </w:rPr>
              <w:t xml:space="preserve">768</w:t>
            </w:r>
          </w:p>
        </w:tc>
        <w:tc>
          <w:tcPr>
            <w:tcW w:w="1500" w:type="dxa"/>
            <w:tcBorders>
              <w:bottom w:val="single" w:sz="4" w:space="0" w:color="auto"/>
            </w:tcBorders>
            <w:vAlign w:val="center"/>
          </w:tcPr>
          <w:p>
            <w:pPr>
              <w:spacing w:before="10" w:after="10"/>
              <w:jc w:val="center"/>
            </w:pPr>
            <w:r>
              <w:rPr>
                <w:sz w:val="20"/>
                <w:szCs w:val="20"/>
                <w:b/>
              </w:rPr>
              <w:t xml:space="preserve">100%</w:t>
            </w:r>
          </w:p>
        </w:tc>
      </w:tr>
    </w:tbl>
    <w:p>
      <w:pPr>
        <w:spacing w:before="0" w:after="0" w:line="80" w:lineRule="exact"/>
      </w:pPr>
    </w:p>
    <w:p>
      <w:pPr>
        <w:keepNext/>
        <w:spacing w:before="180" w:after="60"/>
        <w:ind w:left="426" w:hanging="426"/>
      </w:pPr>
      <w:r>
        <w:rPr>
          <w:b/>
          <w:bCs/>
          <w:sz w:val="22"/>
          <w:szCs w:val="22"/>
        </w:rPr>
        <w:t xml:space="preserve">2.2.	YOLOv8 Architecture and Training</w:t>
      </w:r>
    </w:p>
    <w:p>
      <w:pPr>
        <w:ind w:firstLine="720"/>
        <w:jc w:val="both"/>
      </w:pPr>
      <w:r>
        <w:rPr>
          <w:sz w:val="22"/>
          <w:szCs w:val="22"/>
        </w:rPr>
        <w:t xml:space="preserve">YOLOv8 has three parts: backbone, neck, and head [17]. The backbone extracts features with C2f modules. The neck fuses multiscale features through PAN-FPN. The head predicts classes and box coordinates separately without anchor boxes. We chose the YOLOv8s variant because it is light enough for mobile devices. We trained the model on Google Colab with a GPU, starting from the yolov8s.pt pretrained weights. Table 2 lists the main parameters. Training took about 1,608 seconds. We then exported the best weights (best.pt) to best.tflite.</w:t>
      </w:r>
    </w:p>
    <w:p>
      <w:pPr>
        <w:keepNext/>
        <w:spacing w:before="200" w:after="60"/>
        <w:jc w:val="center"/>
      </w:pPr>
      <w:r>
        <w:rPr>
          <w:sz w:val="22"/>
          <w:szCs w:val="22"/>
        </w:rPr>
        <w:t xml:space="preserve">Table 2. YOLOv8 training parameters</w:t>
      </w:r>
    </w:p>
    <w:tbl>
      <w:tblPr>
        <w:tblW w:w="7600" w:type="dxa"/>
        <w:jc w:val="center"/>
        <w:tblBorders>
          <w:top w:val="nil"/>
          <w:left w:val="nil"/>
          <w:bottom w:val="nil"/>
          <w:right w:val="nil"/>
          <w:insideH w:val="nil"/>
          <w:insideV w:val="nil"/>
        </w:tblBorders>
        <w:tblLayout w:type="fixed"/>
        <w:tblCellMar>
          <w:left w:w="80" w:type="dxa"/>
          <w:right w:w="80" w:type="dxa"/>
        </w:tblCellMar>
        <w:tblLook w:val="04A0"/>
      </w:tblPr>
      <w:tblGrid>
        <w:gridCol w:w="1700"/>
        <w:gridCol w:w="1500"/>
        <w:gridCol w:w="2700"/>
        <w:gridCol w:w="1700"/>
      </w:tblGrid>
      <w:tr>
        <w:trPr>
          <w:tblHeader/>
          <w:cantSplit/>
          <w:jc w:val="center"/>
        </w:trPr>
        <w:tc>
          <w:tcPr>
            <w:tcW w:w="1700" w:type="dxa"/>
            <w:tcBorders>
              <w:top w:val="single" w:sz="4" w:space="0" w:color="auto"/>
              <w:bottom w:val="single" w:sz="4" w:space="0" w:color="auto"/>
            </w:tcBorders>
            <w:vAlign w:val="center"/>
          </w:tcPr>
          <w:p>
            <w:pPr>
              <w:spacing w:before="10" w:after="10"/>
              <w:jc w:val="center"/>
            </w:pPr>
            <w:r>
              <w:rPr>
                <w:sz w:val="20"/>
                <w:szCs w:val="20"/>
              </w:rPr>
              <w:t xml:space="preserve">Parameter</w:t>
            </w:r>
          </w:p>
        </w:tc>
        <w:tc>
          <w:tcPr>
            <w:tcW w:w="1500" w:type="dxa"/>
            <w:tcBorders>
              <w:top w:val="single" w:sz="4" w:space="0" w:color="auto"/>
              <w:bottom w:val="single" w:sz="4" w:space="0" w:color="auto"/>
            </w:tcBorders>
            <w:vAlign w:val="center"/>
          </w:tcPr>
          <w:p>
            <w:pPr>
              <w:spacing w:before="10" w:after="10"/>
              <w:jc w:val="center"/>
            </w:pPr>
            <w:r>
              <w:rPr>
                <w:sz w:val="20"/>
                <w:szCs w:val="20"/>
              </w:rPr>
              <w:t xml:space="preserve">Value</w:t>
            </w:r>
          </w:p>
        </w:tc>
        <w:tc>
          <w:tcPr>
            <w:tcW w:w="2700" w:type="dxa"/>
            <w:tcBorders>
              <w:top w:val="single" w:sz="4" w:space="0" w:color="auto"/>
              <w:bottom w:val="single" w:sz="4" w:space="0" w:color="auto"/>
            </w:tcBorders>
            <w:vAlign w:val="center"/>
          </w:tcPr>
          <w:p>
            <w:pPr>
              <w:spacing w:before="10" w:after="10"/>
              <w:jc w:val="center"/>
            </w:pPr>
            <w:r>
              <w:rPr>
                <w:sz w:val="20"/>
                <w:szCs w:val="20"/>
              </w:rPr>
              <w:t xml:space="preserve">Parameter</w:t>
            </w:r>
          </w:p>
        </w:tc>
        <w:tc>
          <w:tcPr>
            <w:tcW w:w="1700" w:type="dxa"/>
            <w:tcBorders>
              <w:top w:val="single" w:sz="4" w:space="0" w:color="auto"/>
              <w:bottom w:val="single" w:sz="4" w:space="0" w:color="auto"/>
            </w:tcBorders>
            <w:vAlign w:val="center"/>
          </w:tcPr>
          <w:p>
            <w:pPr>
              <w:spacing w:before="10" w:after="10"/>
              <w:jc w:val="center"/>
            </w:pPr>
            <w:r>
              <w:rPr>
                <w:sz w:val="20"/>
                <w:szCs w:val="20"/>
              </w:rPr>
              <w:t xml:space="preserve">Value</w:t>
            </w:r>
          </w:p>
        </w:tc>
      </w:tr>
      <w:tr>
        <w:trPr>
          <w:cantSplit/>
          <w:jc w:val="center"/>
        </w:trPr>
        <w:tc>
          <w:tcPr>
            <w:tcW w:w="1700" w:type="dxa"/>
            <w:vAlign w:val="center"/>
          </w:tcPr>
          <w:p>
            <w:pPr>
              <w:spacing w:before="10" w:after="10"/>
              <w:jc w:val="left"/>
            </w:pPr>
            <w:r>
              <w:rPr>
                <w:sz w:val="20"/>
                <w:szCs w:val="20"/>
              </w:rPr>
              <w:t xml:space="preserve">Model</w:t>
            </w:r>
          </w:p>
        </w:tc>
        <w:tc>
          <w:tcPr>
            <w:tcW w:w="1500" w:type="dxa"/>
            <w:vAlign w:val="center"/>
          </w:tcPr>
          <w:p>
            <w:pPr>
              <w:spacing w:before="10" w:after="10"/>
              <w:jc w:val="center"/>
            </w:pPr>
            <w:r>
              <w:rPr>
                <w:sz w:val="20"/>
                <w:szCs w:val="20"/>
              </w:rPr>
              <w:t xml:space="preserve">yolov8s.pt</w:t>
            </w:r>
          </w:p>
        </w:tc>
        <w:tc>
          <w:tcPr>
            <w:tcW w:w="2700" w:type="dxa"/>
            <w:vAlign w:val="center"/>
          </w:tcPr>
          <w:p>
            <w:pPr>
              <w:spacing w:before="10" w:after="10"/>
              <w:jc w:val="left"/>
            </w:pPr>
            <w:r>
              <w:rPr>
                <w:sz w:val="20"/>
                <w:szCs w:val="20"/>
              </w:rPr>
              <w:t xml:space="preserve">Momentum</w:t>
            </w:r>
          </w:p>
        </w:tc>
        <w:tc>
          <w:tcPr>
            <w:tcW w:w="1700" w:type="dxa"/>
            <w:vAlign w:val="center"/>
          </w:tcPr>
          <w:p>
            <w:pPr>
              <w:spacing w:before="10" w:after="10"/>
              <w:jc w:val="center"/>
            </w:pPr>
            <w:r>
              <w:rPr>
                <w:sz w:val="20"/>
                <w:szCs w:val="20"/>
              </w:rPr>
              <w:t xml:space="preserve">0.937</w:t>
            </w:r>
          </w:p>
        </w:tc>
      </w:tr>
      <w:tr>
        <w:trPr>
          <w:cantSplit/>
          <w:jc w:val="center"/>
        </w:trPr>
        <w:tc>
          <w:tcPr>
            <w:tcW w:w="1700" w:type="dxa"/>
            <w:vAlign w:val="center"/>
          </w:tcPr>
          <w:p>
            <w:pPr>
              <w:spacing w:before="10" w:after="10"/>
              <w:jc w:val="left"/>
            </w:pPr>
            <w:r>
              <w:rPr>
                <w:sz w:val="20"/>
                <w:szCs w:val="20"/>
              </w:rPr>
              <w:t xml:space="preserve">Epochs</w:t>
            </w:r>
          </w:p>
        </w:tc>
        <w:tc>
          <w:tcPr>
            <w:tcW w:w="1500" w:type="dxa"/>
            <w:vAlign w:val="center"/>
          </w:tcPr>
          <w:p>
            <w:pPr>
              <w:spacing w:before="10" w:after="10"/>
              <w:jc w:val="center"/>
            </w:pPr>
            <w:r>
              <w:rPr>
                <w:sz w:val="20"/>
                <w:szCs w:val="20"/>
              </w:rPr>
              <w:t xml:space="preserve">100</w:t>
            </w:r>
          </w:p>
        </w:tc>
        <w:tc>
          <w:tcPr>
            <w:tcW w:w="2700" w:type="dxa"/>
            <w:vAlign w:val="center"/>
          </w:tcPr>
          <w:p>
            <w:pPr>
              <w:spacing w:before="10" w:after="10"/>
              <w:jc w:val="left"/>
            </w:pPr>
            <w:r>
              <w:rPr>
                <w:sz w:val="20"/>
                <w:szCs w:val="20"/>
              </w:rPr>
              <w:t xml:space="preserve">Weight decay</w:t>
            </w:r>
          </w:p>
        </w:tc>
        <w:tc>
          <w:tcPr>
            <w:tcW w:w="1700" w:type="dxa"/>
            <w:vAlign w:val="center"/>
          </w:tcPr>
          <w:p>
            <w:pPr>
              <w:spacing w:before="10" w:after="10"/>
              <w:jc w:val="center"/>
            </w:pPr>
            <w:r>
              <w:rPr>
                <w:sz w:val="20"/>
                <w:szCs w:val="20"/>
              </w:rPr>
              <w:t xml:space="preserve">0.0005</w:t>
            </w:r>
          </w:p>
        </w:tc>
      </w:tr>
      <w:tr>
        <w:trPr>
          <w:cantSplit/>
          <w:jc w:val="center"/>
        </w:trPr>
        <w:tc>
          <w:tcPr>
            <w:tcW w:w="1700" w:type="dxa"/>
            <w:vAlign w:val="center"/>
          </w:tcPr>
          <w:p>
            <w:pPr>
              <w:spacing w:before="10" w:after="10"/>
              <w:jc w:val="left"/>
            </w:pPr>
            <w:r>
              <w:rPr>
                <w:sz w:val="20"/>
                <w:szCs w:val="20"/>
              </w:rPr>
              <w:t xml:space="preserve">Batch size</w:t>
            </w:r>
          </w:p>
        </w:tc>
        <w:tc>
          <w:tcPr>
            <w:tcW w:w="1500" w:type="dxa"/>
            <w:vAlign w:val="center"/>
          </w:tcPr>
          <w:p>
            <w:pPr>
              <w:spacing w:before="10" w:after="10"/>
              <w:jc w:val="center"/>
            </w:pPr>
            <w:r>
              <w:rPr>
                <w:sz w:val="20"/>
                <w:szCs w:val="20"/>
              </w:rPr>
              <w:t xml:space="preserve">16</w:t>
            </w:r>
          </w:p>
        </w:tc>
        <w:tc>
          <w:tcPr>
            <w:tcW w:w="2700" w:type="dxa"/>
            <w:vAlign w:val="center"/>
          </w:tcPr>
          <w:p>
            <w:pPr>
              <w:spacing w:before="10" w:after="10"/>
              <w:jc w:val="left"/>
            </w:pPr>
            <w:r>
              <w:rPr>
                <w:sz w:val="20"/>
                <w:szCs w:val="20"/>
              </w:rPr>
              <w:t xml:space="preserve">Warmup epochs</w:t>
            </w:r>
          </w:p>
        </w:tc>
        <w:tc>
          <w:tcPr>
            <w:tcW w:w="1700" w:type="dxa"/>
            <w:vAlign w:val="center"/>
          </w:tcPr>
          <w:p>
            <w:pPr>
              <w:spacing w:before="10" w:after="10"/>
              <w:jc w:val="center"/>
            </w:pPr>
            <w:r>
              <w:rPr>
                <w:sz w:val="20"/>
                <w:szCs w:val="20"/>
              </w:rPr>
              <w:t xml:space="preserve">3</w:t>
            </w:r>
          </w:p>
        </w:tc>
      </w:tr>
      <w:tr>
        <w:trPr>
          <w:cantSplit/>
          <w:jc w:val="center"/>
        </w:trPr>
        <w:tc>
          <w:tcPr>
            <w:tcW w:w="1700" w:type="dxa"/>
            <w:vAlign w:val="center"/>
          </w:tcPr>
          <w:p>
            <w:pPr>
              <w:spacing w:before="10" w:after="10"/>
              <w:jc w:val="left"/>
            </w:pPr>
            <w:r>
              <w:rPr>
                <w:sz w:val="20"/>
                <w:szCs w:val="20"/>
              </w:rPr>
              <w:t xml:space="preserve">Image size</w:t>
            </w:r>
          </w:p>
        </w:tc>
        <w:tc>
          <w:tcPr>
            <w:tcW w:w="1500" w:type="dxa"/>
            <w:vAlign w:val="center"/>
          </w:tcPr>
          <w:p>
            <w:pPr>
              <w:spacing w:before="10" w:after="10"/>
              <w:jc w:val="center"/>
            </w:pPr>
            <w:r>
              <w:rPr>
                <w:sz w:val="20"/>
                <w:szCs w:val="20"/>
              </w:rPr>
              <w:t xml:space="preserve">640 × 640</w:t>
            </w:r>
          </w:p>
        </w:tc>
        <w:tc>
          <w:tcPr>
            <w:tcW w:w="2700" w:type="dxa"/>
            <w:vAlign w:val="center"/>
          </w:tcPr>
          <w:p>
            <w:pPr>
              <w:spacing w:before="10" w:after="10"/>
              <w:jc w:val="left"/>
            </w:pPr>
            <w:r>
              <w:rPr>
                <w:sz w:val="20"/>
                <w:szCs w:val="20"/>
              </w:rPr>
              <w:t xml:space="preserve">Loss weights (box/cls/dfl)</w:t>
            </w:r>
          </w:p>
        </w:tc>
        <w:tc>
          <w:tcPr>
            <w:tcW w:w="1700" w:type="dxa"/>
            <w:vAlign w:val="center"/>
          </w:tcPr>
          <w:p>
            <w:pPr>
              <w:spacing w:before="10" w:after="10"/>
              <w:jc w:val="center"/>
            </w:pPr>
            <w:r>
              <w:rPr>
                <w:sz w:val="20"/>
                <w:szCs w:val="20"/>
              </w:rPr>
              <w:t xml:space="preserve">7.5 / 0.5 / 1.5</w:t>
            </w:r>
          </w:p>
        </w:tc>
      </w:tr>
      <w:tr>
        <w:trPr>
          <w:cantSplit/>
          <w:jc w:val="center"/>
        </w:trPr>
        <w:tc>
          <w:tcPr>
            <w:tcW w:w="1700" w:type="dxa"/>
            <w:vAlign w:val="center"/>
          </w:tcPr>
          <w:p>
            <w:pPr>
              <w:spacing w:before="10" w:after="10"/>
              <w:jc w:val="left"/>
            </w:pPr>
            <w:r>
              <w:rPr>
                <w:sz w:val="20"/>
                <w:szCs w:val="20"/>
              </w:rPr>
              <w:t xml:space="preserve">Optimizer</w:t>
            </w:r>
          </w:p>
        </w:tc>
        <w:tc>
          <w:tcPr>
            <w:tcW w:w="1500" w:type="dxa"/>
            <w:vAlign w:val="center"/>
          </w:tcPr>
          <w:p>
            <w:pPr>
              <w:spacing w:before="10" w:after="10"/>
              <w:jc w:val="center"/>
            </w:pPr>
            <w:r>
              <w:rPr>
                <w:sz w:val="20"/>
                <w:szCs w:val="20"/>
              </w:rPr>
              <w:t xml:space="preserve">auto</w:t>
            </w:r>
          </w:p>
        </w:tc>
        <w:tc>
          <w:tcPr>
            <w:tcW w:w="2700" w:type="dxa"/>
            <w:vAlign w:val="center"/>
          </w:tcPr>
          <w:p>
            <w:pPr>
              <w:spacing w:before="10" w:after="10"/>
              <w:jc w:val="left"/>
            </w:pPr>
            <w:r>
              <w:rPr>
                <w:sz w:val="20"/>
                <w:szCs w:val="20"/>
              </w:rPr>
              <w:t xml:space="preserve">NMS IoU</w:t>
            </w:r>
          </w:p>
        </w:tc>
        <w:tc>
          <w:tcPr>
            <w:tcW w:w="1700" w:type="dxa"/>
            <w:vAlign w:val="center"/>
          </w:tcPr>
          <w:p>
            <w:pPr>
              <w:spacing w:before="10" w:after="10"/>
              <w:jc w:val="center"/>
            </w:pPr>
            <w:r>
              <w:rPr>
                <w:sz w:val="20"/>
                <w:szCs w:val="20"/>
              </w:rPr>
              <w:t xml:space="preserve">0.7</w:t>
            </w:r>
          </w:p>
        </w:tc>
      </w:tr>
      <w:tr>
        <w:trPr>
          <w:cantSplit/>
          <w:jc w:val="center"/>
        </w:trPr>
        <w:tc>
          <w:tcPr>
            <w:tcW w:w="1700" w:type="dxa"/>
            <w:tcBorders>
              <w:bottom w:val="single" w:sz="4" w:space="0" w:color="auto"/>
            </w:tcBorders>
            <w:vAlign w:val="center"/>
          </w:tcPr>
          <w:p>
            <w:pPr>
              <w:spacing w:before="10" w:after="10"/>
              <w:jc w:val="left"/>
            </w:pPr>
            <w:r>
              <w:rPr>
                <w:sz w:val="20"/>
                <w:szCs w:val="20"/>
              </w:rPr>
              <w:t xml:space="preserve">lr0 / lrf</w:t>
            </w:r>
          </w:p>
        </w:tc>
        <w:tc>
          <w:tcPr>
            <w:tcW w:w="1500" w:type="dxa"/>
            <w:tcBorders>
              <w:bottom w:val="single" w:sz="4" w:space="0" w:color="auto"/>
            </w:tcBorders>
            <w:vAlign w:val="center"/>
          </w:tcPr>
          <w:p>
            <w:pPr>
              <w:spacing w:before="10" w:after="10"/>
              <w:jc w:val="center"/>
            </w:pPr>
            <w:r>
              <w:rPr>
                <w:sz w:val="20"/>
                <w:szCs w:val="20"/>
              </w:rPr>
              <w:t xml:space="preserve">0.01 / 0.01</w:t>
            </w:r>
          </w:p>
        </w:tc>
        <w:tc>
          <w:tcPr>
            <w:tcW w:w="2700" w:type="dxa"/>
            <w:tcBorders>
              <w:bottom w:val="single" w:sz="4" w:space="0" w:color="auto"/>
            </w:tcBorders>
            <w:vAlign w:val="center"/>
          </w:tcPr>
          <w:p>
            <w:pPr>
              <w:spacing w:before="10" w:after="10"/>
              <w:jc w:val="left"/>
            </w:pPr>
            <w:r>
              <w:rPr>
                <w:sz w:val="20"/>
                <w:szCs w:val="20"/>
              </w:rPr>
              <w:t xml:space="preserve">Close mosaic</w:t>
            </w:r>
          </w:p>
        </w:tc>
        <w:tc>
          <w:tcPr>
            <w:tcW w:w="1700" w:type="dxa"/>
            <w:tcBorders>
              <w:bottom w:val="single" w:sz="4" w:space="0" w:color="auto"/>
            </w:tcBorders>
            <w:vAlign w:val="center"/>
          </w:tcPr>
          <w:p>
            <w:pPr>
              <w:spacing w:before="10" w:after="10"/>
              <w:jc w:val="center"/>
            </w:pPr>
            <w:r>
              <w:rPr>
                <w:sz w:val="20"/>
                <w:szCs w:val="20"/>
              </w:rPr>
              <w:t xml:space="preserve">10 epochs</w:t>
            </w:r>
          </w:p>
        </w:tc>
      </w:tr>
    </w:tbl>
    <w:p>
      <w:pPr>
        <w:spacing w:before="0" w:after="0" w:line="80" w:lineRule="exact"/>
      </w:pPr>
    </w:p>
    <w:p>
      <w:pPr>
        <w:keepNext/>
        <w:spacing w:before="180" w:after="60"/>
        <w:ind w:left="426" w:hanging="426"/>
      </w:pPr>
      <w:r>
        <w:rPr>
          <w:b/>
          <w:bCs/>
          <w:sz w:val="22"/>
          <w:szCs w:val="22"/>
        </w:rPr>
        <w:t xml:space="preserve">2.3.	Evaluation Metrics</w:t>
      </w:r>
    </w:p>
    <w:p>
      <w:pPr>
        <w:ind w:firstLine="720"/>
        <w:jc w:val="both"/>
      </w:pPr>
      <w:r>
        <w:rPr>
          <w:sz w:val="22"/>
          <w:szCs w:val="22"/>
        </w:rPr>
        <w:t xml:space="preserve">We measured performance with IoU, precision, recall, F1-score, and mAP [18]. IoU compares the predicted box with the ground truth box, as in (1). A prediction with IoU above the threshold counts as a true positive (TP).</w:t>
      </w:r>
    </w:p>
    <w:tbl>
      <w:tblPr>
        <w:tblW w:w="8788" w:type="dxa"/>
        <w:jc w:val="center"/>
        <w:tblBorders>
          <w:top w:val="nil"/>
          <w:left w:val="nil"/>
          <w:bottom w:val="nil"/>
          <w:right w:val="nil"/>
          <w:insideH w:val="nil"/>
          <w:insideV w:val="nil"/>
        </w:tblBorders>
        <w:tblLayout w:type="fixed"/>
        <w:tblLook w:val="04A0"/>
      </w:tblPr>
      <w:tblGrid>
        <w:gridCol w:w="7888"/>
        <w:gridCol w:w="900"/>
      </w:tblGrid>
      <w:tr>
        <w:tc>
          <w:tcPr>
            <w:tcW w:w="7888" w:type="dxa"/>
            <w:vAlign w:val="center"/>
          </w:tcPr>
          <w:p>
            <w:pPr>
              <w:spacing w:before="60" w:after="60"/>
              <w:jc w:val="center"/>
            </w:pPr>
            <m:oMath>
              <m:r>
                <w:rPr>
                  <w:rFonts w:ascii="Cambria Math" w:hAnsi="Cambria Math"/>
                </w:rPr>
                <m:t xml:space="preserve">IoU</m:t>
              </m:r>
              <m:r>
                <w:rPr>
                  <w:rFonts w:ascii="Cambria Math" w:hAnsi="Cambria Math"/>
                </w:rPr>
                <m:t xml:space="preserve">=</m:t>
              </m:r>
              <m:f>
                <m:num>
                  <m:r>
                    <m:rPr>
                      <m:nor/>
                    </m:rPr>
                    <w:rPr>
                      <w:rFonts w:ascii="Cambria Math" w:hAnsi="Cambria Math"/>
                    </w:rPr>
                    <m:t xml:space="preserve">Area of Overlap</m:t>
                  </m:r>
                </m:num>
                <m:den>
                  <m:r>
                    <m:rPr>
                      <m:nor/>
                    </m:rPr>
                    <w:rPr>
                      <w:rFonts w:ascii="Cambria Math" w:hAnsi="Cambria Math"/>
                    </w:rPr>
                    <m:t xml:space="preserve">Area of Union</m:t>
                  </m:r>
                </m:den>
              </m:f>
            </m:oMath>
          </w:p>
        </w:tc>
        <w:tc>
          <w:tcPr>
            <w:tcW w:w="900" w:type="dxa"/>
            <w:vAlign w:val="center"/>
          </w:tcPr>
          <w:p>
            <w:pPr>
              <w:jc w:val="right"/>
            </w:pPr>
            <w:r>
              <w:rPr>
                <w:sz w:val="22"/>
                <w:szCs w:val="22"/>
              </w:rPr>
              <w:t>(1)</w:t>
            </w:r>
          </w:p>
        </w:tc>
      </w:tr>
    </w:tbl>
    <w:p>
      <w:pPr>
        <w:ind w:firstLine="720"/>
        <w:jc w:val="both"/>
      </w:pPr>
      <w:r>
        <w:rPr>
          <w:sz w:val="22"/>
          <w:szCs w:val="22"/>
        </w:rPr>
        <w:t xml:space="preserve">Equations (2) to (4) define precision, recall, and F1-score. A false positive (FP) is a wrong detection. A false negative (FN) is an object that the model missed.</w:t>
      </w:r>
    </w:p>
    <w:tbl>
      <w:tblPr>
        <w:tblW w:w="8788" w:type="dxa"/>
        <w:jc w:val="center"/>
        <w:tblBorders>
          <w:top w:val="nil"/>
          <w:left w:val="nil"/>
          <w:bottom w:val="nil"/>
          <w:right w:val="nil"/>
          <w:insideH w:val="nil"/>
          <w:insideV w:val="nil"/>
        </w:tblBorders>
        <w:tblLayout w:type="fixed"/>
        <w:tblLook w:val="04A0"/>
      </w:tblPr>
      <w:tblGrid>
        <w:gridCol w:w="7888"/>
        <w:gridCol w:w="900"/>
      </w:tblGrid>
      <w:tr>
        <w:tc>
          <w:tcPr>
            <w:tcW w:w="7888" w:type="dxa"/>
            <w:vAlign w:val="center"/>
          </w:tcPr>
          <w:p>
            <w:pPr>
              <w:spacing w:before="60" w:after="60"/>
              <w:jc w:val="center"/>
            </w:pPr>
            <m:oMath>
              <m:r>
                <m:rPr>
                  <m:nor/>
                </m:rPr>
                <w:rPr>
                  <w:rFonts w:ascii="Cambria Math" w:hAnsi="Cambria Math"/>
                </w:rPr>
                <m:t xml:space="preserve">Precision</m:t>
              </m:r>
              <m:r>
                <w:rPr>
                  <w:rFonts w:ascii="Cambria Math" w:hAnsi="Cambria Math"/>
                </w:rPr>
                <m:t xml:space="preserve">=</m:t>
              </m:r>
              <m:f>
                <m:num>
                  <m:r>
                    <w:rPr>
                      <w:rFonts w:ascii="Cambria Math" w:hAnsi="Cambria Math"/>
                    </w:rPr>
                    <m:t xml:space="preserve">TP</m:t>
                  </m:r>
                </m:num>
                <m:den>
                  <m:r>
                    <w:rPr>
                      <w:rFonts w:ascii="Cambria Math" w:hAnsi="Cambria Math"/>
                    </w:rPr>
                    <m:t xml:space="preserve">TP+FP</m:t>
                  </m:r>
                </m:den>
              </m:f>
            </m:oMath>
          </w:p>
        </w:tc>
        <w:tc>
          <w:tcPr>
            <w:tcW w:w="900" w:type="dxa"/>
            <w:vAlign w:val="center"/>
          </w:tcPr>
          <w:p>
            <w:pPr>
              <w:jc w:val="right"/>
            </w:pPr>
            <w:r>
              <w:rPr>
                <w:sz w:val="22"/>
                <w:szCs w:val="22"/>
              </w:rPr>
              <w:t>(2)</w:t>
            </w:r>
          </w:p>
        </w:tc>
      </w:tr>
    </w:tbl>
    <w:tbl>
      <w:tblPr>
        <w:tblW w:w="8788" w:type="dxa"/>
        <w:jc w:val="center"/>
        <w:tblBorders>
          <w:top w:val="nil"/>
          <w:left w:val="nil"/>
          <w:bottom w:val="nil"/>
          <w:right w:val="nil"/>
          <w:insideH w:val="nil"/>
          <w:insideV w:val="nil"/>
        </w:tblBorders>
        <w:tblLayout w:type="fixed"/>
        <w:tblLook w:val="04A0"/>
      </w:tblPr>
      <w:tblGrid>
        <w:gridCol w:w="7888"/>
        <w:gridCol w:w="900"/>
      </w:tblGrid>
      <w:tr>
        <w:tc>
          <w:tcPr>
            <w:tcW w:w="7888" w:type="dxa"/>
            <w:vAlign w:val="center"/>
          </w:tcPr>
          <w:p>
            <w:pPr>
              <w:spacing w:before="60" w:after="60"/>
              <w:jc w:val="center"/>
            </w:pPr>
            <m:oMath>
              <m:r>
                <m:rPr>
                  <m:nor/>
                </m:rPr>
                <w:rPr>
                  <w:rFonts w:ascii="Cambria Math" w:hAnsi="Cambria Math"/>
                </w:rPr>
                <m:t xml:space="preserve">Recall</m:t>
              </m:r>
              <m:r>
                <w:rPr>
                  <w:rFonts w:ascii="Cambria Math" w:hAnsi="Cambria Math"/>
                </w:rPr>
                <m:t xml:space="preserve">=</m:t>
              </m:r>
              <m:f>
                <m:num>
                  <m:r>
                    <w:rPr>
                      <w:rFonts w:ascii="Cambria Math" w:hAnsi="Cambria Math"/>
                    </w:rPr>
                    <m:t xml:space="preserve">TP</m:t>
                  </m:r>
                </m:num>
                <m:den>
                  <m:r>
                    <w:rPr>
                      <w:rFonts w:ascii="Cambria Math" w:hAnsi="Cambria Math"/>
                    </w:rPr>
                    <m:t xml:space="preserve">TP+FN</m:t>
                  </m:r>
                </m:den>
              </m:f>
            </m:oMath>
          </w:p>
        </w:tc>
        <w:tc>
          <w:tcPr>
            <w:tcW w:w="900" w:type="dxa"/>
            <w:vAlign w:val="center"/>
          </w:tcPr>
          <w:p>
            <w:pPr>
              <w:jc w:val="right"/>
            </w:pPr>
            <w:r>
              <w:rPr>
                <w:sz w:val="22"/>
                <w:szCs w:val="22"/>
              </w:rPr>
              <w:t>(3)</w:t>
            </w:r>
          </w:p>
        </w:tc>
      </w:tr>
    </w:tbl>
    <w:tbl>
      <w:tblPr>
        <w:tblW w:w="8788" w:type="dxa"/>
        <w:jc w:val="center"/>
        <w:tblBorders>
          <w:top w:val="nil"/>
          <w:left w:val="nil"/>
          <w:bottom w:val="nil"/>
          <w:right w:val="nil"/>
          <w:insideH w:val="nil"/>
          <w:insideV w:val="nil"/>
        </w:tblBorders>
        <w:tblLayout w:type="fixed"/>
        <w:tblLook w:val="04A0"/>
      </w:tblPr>
      <w:tblGrid>
        <w:gridCol w:w="7888"/>
        <w:gridCol w:w="900"/>
      </w:tblGrid>
      <w:tr>
        <w:tc>
          <w:tcPr>
            <w:tcW w:w="7888" w:type="dxa"/>
            <w:vAlign w:val="center"/>
          </w:tcPr>
          <w:p>
            <w:pPr>
              <w:spacing w:before="60" w:after="60"/>
              <w:jc w:val="center"/>
            </w:pPr>
            <m:oMath>
              <m:r>
                <m:rPr>
                  <m:nor/>
                </m:rPr>
                <w:rPr>
                  <w:rFonts w:ascii="Cambria Math" w:hAnsi="Cambria Math"/>
                </w:rPr>
                <m:t xml:space="preserve">F1</m:t>
              </m:r>
              <m:r>
                <w:rPr>
                  <w:rFonts w:ascii="Cambria Math" w:hAnsi="Cambria Math"/>
                </w:rPr>
                <m:t xml:space="preserve">=</m:t>
              </m:r>
              <m:r>
                <w:rPr>
                  <w:rFonts w:ascii="Cambria Math" w:hAnsi="Cambria Math"/>
                </w:rPr>
                <m:t xml:space="preserve">2×</m:t>
              </m:r>
              <m:f>
                <m:num>
                  <m:r>
                    <m:rPr>
                      <m:nor/>
                    </m:rPr>
                    <w:rPr>
                      <w:rFonts w:ascii="Cambria Math" w:hAnsi="Cambria Math"/>
                    </w:rPr>
                    <m:t xml:space="preserve">Precision×Recall</m:t>
                  </m:r>
                </m:num>
                <m:den>
                  <m:r>
                    <m:rPr>
                      <m:nor/>
                    </m:rPr>
                    <w:rPr>
                      <w:rFonts w:ascii="Cambria Math" w:hAnsi="Cambria Math"/>
                    </w:rPr>
                    <m:t xml:space="preserve">Precision+Recall</m:t>
                  </m:r>
                </m:den>
              </m:f>
            </m:oMath>
          </w:p>
        </w:tc>
        <w:tc>
          <w:tcPr>
            <w:tcW w:w="900" w:type="dxa"/>
            <w:vAlign w:val="center"/>
          </w:tcPr>
          <w:p>
            <w:pPr>
              <w:jc w:val="right"/>
            </w:pPr>
            <w:r>
              <w:rPr>
                <w:sz w:val="22"/>
                <w:szCs w:val="22"/>
              </w:rPr>
              <w:t>(4)</w:t>
            </w:r>
          </w:p>
        </w:tc>
      </w:tr>
    </w:tbl>
    <w:p>
      <w:pPr>
        <w:ind w:firstLine="720"/>
        <w:jc w:val="both"/>
      </w:pPr>
      <w:r>
        <w:rPr>
          <w:sz w:val="22"/>
          <w:szCs w:val="22"/>
        </w:rPr>
        <w:t xml:space="preserve">mAP is the mean of the average precision (AP) over </w:t>
      </w:r>
      <w:r>
        <w:rPr>
          <w:sz w:val="22"/>
          <w:szCs w:val="22"/>
          <w:i/>
        </w:rPr>
        <w:t xml:space="preserve">n</w:t>
      </w:r>
      <w:r>
        <w:rPr>
          <w:sz w:val="22"/>
          <w:szCs w:val="22"/>
        </w:rPr>
        <w:t xml:space="preserve"> classes, as in (5). We used mAP50 at IoU 0.5 and mAP50-95 over IoU 0.5 to 0.95. Several metrics together give a more objective picture than a single metric [19], [20].</w:t>
      </w:r>
    </w:p>
    <w:tbl>
      <w:tblPr>
        <w:tblW w:w="8788" w:type="dxa"/>
        <w:jc w:val="center"/>
        <w:tblBorders>
          <w:top w:val="nil"/>
          <w:left w:val="nil"/>
          <w:bottom w:val="nil"/>
          <w:right w:val="nil"/>
          <w:insideH w:val="nil"/>
          <w:insideV w:val="nil"/>
        </w:tblBorders>
        <w:tblLayout w:type="fixed"/>
        <w:tblLook w:val="04A0"/>
      </w:tblPr>
      <w:tblGrid>
        <w:gridCol w:w="7888"/>
        <w:gridCol w:w="900"/>
      </w:tblGrid>
      <w:tr>
        <w:tc>
          <w:tcPr>
            <w:tcW w:w="7888" w:type="dxa"/>
            <w:vAlign w:val="center"/>
          </w:tcPr>
          <w:p>
            <w:pPr>
              <w:spacing w:before="60" w:after="60"/>
              <w:jc w:val="center"/>
            </w:pPr>
            <m:oMath>
              <m:r>
                <m:rPr>
                  <m:nor/>
                </m:rPr>
                <w:rPr>
                  <w:rFonts w:ascii="Cambria Math" w:hAnsi="Cambria Math"/>
                </w:rPr>
                <m:t xml:space="preserve">mAP</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sSub>
                    <m:e>
                      <m:r>
                        <m:rPr>
                          <m:nor/>
                        </m:rPr>
                        <w:rPr>
                          <w:rFonts w:ascii="Cambria Math" w:hAnsi="Cambria Math"/>
                        </w:rPr>
                        <m:t xml:space="preserve">AP</m:t>
                      </m:r>
                    </m:e>
                    <m:sub>
                      <m:r>
                        <w:rPr>
                          <w:rFonts w:ascii="Cambria Math" w:hAnsi="Cambria Math"/>
                        </w:rPr>
                        <m:t xml:space="preserve">i</m:t>
                      </m:r>
                    </m:sub>
                  </m:sSub>
                </m:e>
              </m:nary>
            </m:oMath>
          </w:p>
        </w:tc>
        <w:tc>
          <w:tcPr>
            <w:tcW w:w="900" w:type="dxa"/>
            <w:vAlign w:val="center"/>
          </w:tcPr>
          <w:p>
            <w:pPr>
              <w:jc w:val="right"/>
            </w:pPr>
            <w:r>
              <w:rPr>
                <w:sz w:val="22"/>
                <w:szCs w:val="22"/>
              </w:rPr>
              <w:t>(5)</w:t>
            </w:r>
          </w:p>
        </w:tc>
      </w:tr>
    </w:tbl>
    <w:p>
      <w:pPr>
        <w:keepNext/>
        <w:spacing w:before="180" w:after="60"/>
        <w:ind w:left="426" w:hanging="426"/>
      </w:pPr>
      <w:r>
        <w:rPr>
          <w:b/>
          <w:bCs/>
          <w:sz w:val="22"/>
          <w:szCs w:val="22"/>
        </w:rPr>
        <w:t xml:space="preserve">2.4.	Application Design and Dual Threshold</w:t>
      </w:r>
    </w:p>
    <w:p>
      <w:pPr>
        <w:ind w:firstLine="720"/>
        <w:jc w:val="both"/>
      </w:pPr>
      <w:r>
        <w:rPr>
          <w:sz w:val="22"/>
          <w:szCs w:val="22"/>
        </w:rPr>
        <w:t xml:space="preserve">We built the Fish Scan app with Flutter and Dart [21], [22]. The app targets Android 8.0 (SDK 26) and above. The best.tflite model runs on the device CPU through the flutter_vision plugin, which we modified for the NCHW output tensor. The app offers two detection modes: image upload from the gallery or camera, and real-time detection. It saves every detection result and its photo in a history.json file.</w:t>
      </w:r>
    </w:p>
    <w:p>
      <w:pPr>
        <w:ind w:firstLine="720"/>
        <w:jc w:val="both"/>
      </w:pPr>
      <w:r>
        <w:rPr>
          <w:sz w:val="22"/>
          <w:szCs w:val="22"/>
        </w:rPr>
        <w:t xml:space="preserve">The model has no box for the Non Fish class. The app therefore filters results with two confidence thresholds, as in Table 3. We chose the 0.65 identification threshold based on the F1-Confidence curve. For on-device inference, the IoU threshold for non-maximum suppression (NMS) is 0.45.</w:t>
      </w:r>
    </w:p>
    <w:p>
      <w:pPr>
        <w:keepNext/>
        <w:spacing w:before="200" w:after="60"/>
        <w:jc w:val="center"/>
      </w:pPr>
      <w:r>
        <w:rPr>
          <w:sz w:val="22"/>
          <w:szCs w:val="22"/>
        </w:rPr>
        <w:t xml:space="preserve">Table 3. Dual confidence threshold logic</w:t>
      </w:r>
    </w:p>
    <w:tbl>
      <w:tblPr>
        <w:tblW w:w="7000" w:type="dxa"/>
        <w:jc w:val="center"/>
        <w:tblBorders>
          <w:top w:val="nil"/>
          <w:left w:val="nil"/>
          <w:bottom w:val="nil"/>
          <w:right w:val="nil"/>
          <w:insideH w:val="nil"/>
          <w:insideV w:val="nil"/>
        </w:tblBorders>
        <w:tblLayout w:type="fixed"/>
        <w:tblCellMar>
          <w:left w:w="80" w:type="dxa"/>
          <w:right w:w="80" w:type="dxa"/>
        </w:tblCellMar>
        <w:tblLook w:val="04A0"/>
      </w:tblPr>
      <w:tblGrid>
        <w:gridCol w:w="2400"/>
        <w:gridCol w:w="4600"/>
      </w:tblGrid>
      <w:tr>
        <w:trPr>
          <w:tblHeader/>
          <w:cantSplit/>
          <w:jc w:val="center"/>
        </w:trPr>
        <w:tc>
          <w:tcPr>
            <w:tcW w:w="2400" w:type="dxa"/>
            <w:tcBorders>
              <w:top w:val="single" w:sz="4" w:space="0" w:color="auto"/>
              <w:bottom w:val="single" w:sz="4" w:space="0" w:color="auto"/>
            </w:tcBorders>
            <w:vAlign w:val="center"/>
          </w:tcPr>
          <w:p>
            <w:pPr>
              <w:spacing w:before="10" w:after="10"/>
              <w:jc w:val="center"/>
            </w:pPr>
            <w:r>
              <w:rPr>
                <w:sz w:val="20"/>
                <w:szCs w:val="20"/>
              </w:rPr>
              <w:t xml:space="preserve">Confidence range</w:t>
            </w:r>
          </w:p>
        </w:tc>
        <w:tc>
          <w:tcPr>
            <w:tcW w:w="4600" w:type="dxa"/>
            <w:tcBorders>
              <w:top w:val="single" w:sz="4" w:space="0" w:color="auto"/>
              <w:bottom w:val="single" w:sz="4" w:space="0" w:color="auto"/>
            </w:tcBorders>
            <w:vAlign w:val="center"/>
          </w:tcPr>
          <w:p>
            <w:pPr>
              <w:spacing w:before="10" w:after="10"/>
              <w:jc w:val="center"/>
            </w:pPr>
            <w:r>
              <w:rPr>
                <w:sz w:val="20"/>
                <w:szCs w:val="20"/>
              </w:rPr>
              <w:t xml:space="preserve">System action</w:t>
            </w:r>
          </w:p>
        </w:tc>
      </w:tr>
      <w:tr>
        <w:trPr>
          <w:cantSplit/>
          <w:jc w:val="center"/>
        </w:trPr>
        <w:tc>
          <w:tcPr>
            <w:tcW w:w="2400" w:type="dxa"/>
            <w:vAlign w:val="center"/>
          </w:tcPr>
          <w:p>
            <w:pPr>
              <w:spacing w:before="10" w:after="10"/>
              <w:jc w:val="center"/>
            </w:pPr>
            <w:r>
              <w:rPr>
                <w:sz w:val="20"/>
                <w:szCs w:val="20"/>
                <w:i/>
              </w:rPr>
              <w:t xml:space="preserve">c</w:t>
            </w:r>
            <w:r>
              <w:rPr>
                <w:sz w:val="20"/>
                <w:szCs w:val="20"/>
              </w:rPr>
              <w:t xml:space="preserve"> &lt; 0.40</w:t>
            </w:r>
          </w:p>
        </w:tc>
        <w:tc>
          <w:tcPr>
            <w:tcW w:w="4600" w:type="dxa"/>
            <w:vAlign w:val="center"/>
          </w:tcPr>
          <w:p>
            <w:pPr>
              <w:spacing w:before="10" w:after="10"/>
              <w:jc w:val="left"/>
            </w:pPr>
            <w:r>
              <w:rPr>
                <w:sz w:val="20"/>
                <w:szCs w:val="20"/>
              </w:rPr>
              <w:t xml:space="preserve">Drop the detection as no object</w:t>
            </w:r>
          </w:p>
        </w:tc>
      </w:tr>
      <w:tr>
        <w:trPr>
          <w:cantSplit/>
          <w:jc w:val="center"/>
        </w:trPr>
        <w:tc>
          <w:tcPr>
            <w:tcW w:w="2400" w:type="dxa"/>
            <w:vAlign w:val="center"/>
          </w:tcPr>
          <w:p>
            <w:pPr>
              <w:spacing w:before="10" w:after="10"/>
              <w:jc w:val="center"/>
            </w:pPr>
            <w:r>
              <w:rPr>
                <w:sz w:val="20"/>
                <w:szCs w:val="20"/>
              </w:rPr>
              <w:t xml:space="preserve">0.40 ≤ </w:t>
            </w:r>
            <w:r>
              <w:rPr>
                <w:sz w:val="20"/>
                <w:szCs w:val="20"/>
                <w:i/>
              </w:rPr>
              <w:t xml:space="preserve">c</w:t>
            </w:r>
            <w:r>
              <w:rPr>
                <w:sz w:val="20"/>
                <w:szCs w:val="20"/>
              </w:rPr>
              <w:t xml:space="preserve"> &lt; 0.65</w:t>
            </w:r>
          </w:p>
        </w:tc>
        <w:tc>
          <w:tcPr>
            <w:tcW w:w="4600" w:type="dxa"/>
            <w:vAlign w:val="center"/>
          </w:tcPr>
          <w:p>
            <w:pPr>
              <w:spacing w:before="10" w:after="10"/>
              <w:jc w:val="left"/>
            </w:pPr>
            <w:r>
              <w:rPr>
                <w:sz w:val="20"/>
                <w:szCs w:val="20"/>
              </w:rPr>
              <w:t xml:space="preserve">Show the object with the Non Fish label</w:t>
            </w:r>
          </w:p>
        </w:tc>
      </w:tr>
      <w:tr>
        <w:trPr>
          <w:cantSplit/>
          <w:jc w:val="center"/>
        </w:trPr>
        <w:tc>
          <w:tcPr>
            <w:tcW w:w="2400" w:type="dxa"/>
            <w:tcBorders>
              <w:bottom w:val="single" w:sz="4" w:space="0" w:color="auto"/>
            </w:tcBorders>
            <w:vAlign w:val="center"/>
          </w:tcPr>
          <w:p>
            <w:pPr>
              <w:spacing w:before="10" w:after="10"/>
              <w:jc w:val="center"/>
            </w:pPr>
            <w:r>
              <w:rPr>
                <w:sz w:val="20"/>
                <w:szCs w:val="20"/>
                <w:i/>
              </w:rPr>
              <w:t xml:space="preserve">c</w:t>
            </w:r>
            <w:r>
              <w:rPr>
                <w:sz w:val="20"/>
                <w:szCs w:val="20"/>
              </w:rPr>
              <w:t xml:space="preserve"> ≥ 0.65</w:t>
            </w:r>
          </w:p>
        </w:tc>
        <w:tc>
          <w:tcPr>
            <w:tcW w:w="4600" w:type="dxa"/>
            <w:tcBorders>
              <w:bottom w:val="single" w:sz="4" w:space="0" w:color="auto"/>
            </w:tcBorders>
            <w:vAlign w:val="center"/>
          </w:tcPr>
          <w:p>
            <w:pPr>
              <w:spacing w:before="10" w:after="10"/>
              <w:jc w:val="left"/>
            </w:pPr>
            <w:r>
              <w:rPr>
                <w:sz w:val="20"/>
                <w:szCs w:val="20"/>
              </w:rPr>
              <w:t xml:space="preserve">Assign one of the six species labels</w:t>
            </w:r>
          </w:p>
        </w:tc>
      </w:tr>
    </w:tbl>
    <w:p>
      <w:pPr>
        <w:spacing w:before="0" w:after="0" w:line="80" w:lineRule="exact"/>
      </w:pPr>
    </w:p>
    <w:p>
      <w:pPr>
        <w:keepNext/>
        <w:spacing w:before="240" w:after="60"/>
        <w:numPr>
          <w:ilvl w:val="0"/>
          <w:numId w:val="15"/>
        </w:numPr>
        <w:tabs>
          <w:tab w:val="left" w:pos="426"/>
        </w:tabs>
        <w:ind w:left="426" w:hanging="426"/>
        <w:rPr>
          <w:b/>
          <w:bCs/>
          <w:sz w:val="22"/>
          <w:szCs w:val="22"/>
          <w:lang w:val="id-ID"/>
        </w:rPr>
      </w:pPr>
      <w:r>
        <w:rPr>
          <w:b/>
          <w:bCs/>
          <w:sz w:val="22"/>
          <w:szCs w:val="22"/>
        </w:rPr>
        <w:t xml:space="preserve">RESULTS AND ANALYSIS</w:t>
      </w:r>
    </w:p>
    <w:p>
      <w:pPr>
        <w:keepNext/>
        <w:spacing w:before="180" w:after="60"/>
        <w:ind w:left="426" w:hanging="426"/>
      </w:pPr>
      <w:r>
        <w:rPr>
          <w:b/>
          <w:bCs/>
          <w:sz w:val="22"/>
          <w:szCs w:val="22"/>
        </w:rPr>
        <w:t xml:space="preserve">3.1.	Training Results</w:t>
      </w:r>
    </w:p>
    <w:p>
      <w:pPr>
        <w:ind w:firstLine="720"/>
        <w:jc w:val="both"/>
      </w:pPr>
      <w:r>
        <w:rPr>
          <w:sz w:val="22"/>
          <w:szCs w:val="22"/>
        </w:rPr>
        <w:t xml:space="preserve">Figure 3 shows the loss and metric curves over 100 epochs. Box loss, classification loss, and DFL on the training data fell steadily. Validation loss fell in the same direction. This pattern shows no meaningful overfitting. Table 4 lists the values at selected epochs.</w:t>
      </w:r>
    </w:p>
    <w:p>
      <w:pPr>
        <w:keepNext/>
        <w:spacing w:before="160"/>
        <w:jc w:val="center"/>
      </w:pPr>
      <w:r>
        <w:drawing>
          <wp:inline xmlns:a="http://schemas.openxmlformats.org/drawingml/2006/main" xmlns:pic="http://schemas.openxmlformats.org/drawingml/2006/picture">
            <wp:extent cx="5486400" cy="2743199"/>
            <wp:docPr id="3" name="Picture 3"/>
            <wp:cNvGraphicFramePr>
              <a:graphicFrameLocks noChangeAspect="1"/>
            </wp:cNvGraphicFramePr>
            <a:graphic>
              <a:graphicData uri="http://schemas.openxmlformats.org/drawingml/2006/picture">
                <pic:pic>
                  <pic:nvPicPr>
                    <pic:cNvPr id="0" name="image13.png"/>
                    <pic:cNvPicPr/>
                  </pic:nvPicPr>
                  <pic:blipFill>
                    <a:blip r:embed="rId22"/>
                    <a:stretch>
                      <a:fillRect/>
                    </a:stretch>
                  </pic:blipFill>
                  <pic:spPr>
                    <a:xfrm>
                      <a:off x="0" y="0"/>
                      <a:ext cx="5486400" cy="2743199"/>
                    </a:xfrm>
                    <a:prstGeom prst="rect"/>
                  </pic:spPr>
                </pic:pic>
              </a:graphicData>
            </a:graphic>
          </wp:inline>
        </w:drawing>
      </w:r>
    </w:p>
    <w:p>
      <w:pPr>
        <w:spacing w:before="60" w:after="200"/>
        <w:jc w:val="center"/>
      </w:pPr>
      <w:r>
        <w:rPr>
          <w:sz w:val="22"/>
          <w:szCs w:val="22"/>
        </w:rPr>
        <w:t xml:space="preserve">Figure 3. Loss and metric curves during training</w:t>
      </w:r>
    </w:p>
    <w:p>
      <w:pPr>
        <w:keepNext/>
        <w:spacing w:before="200" w:after="60"/>
        <w:jc w:val="center"/>
      </w:pPr>
      <w:r>
        <w:rPr>
          <w:sz w:val="22"/>
          <w:szCs w:val="22"/>
        </w:rPr>
        <w:t xml:space="preserve">Table 4. Loss and validation metrics per epoch</w:t>
      </w:r>
    </w:p>
    <w:tbl>
      <w:tblPr>
        <w:tblW w:w="8050" w:type="dxa"/>
        <w:jc w:val="center"/>
        <w:tblBorders>
          <w:top w:val="nil"/>
          <w:left w:val="nil"/>
          <w:bottom w:val="nil"/>
          <w:right w:val="nil"/>
          <w:insideH w:val="nil"/>
          <w:insideV w:val="nil"/>
        </w:tblBorders>
        <w:tblLayout w:type="fixed"/>
        <w:tblCellMar>
          <w:left w:w="80" w:type="dxa"/>
          <w:right w:w="80" w:type="dxa"/>
        </w:tblCellMar>
        <w:tblLook w:val="04A0"/>
      </w:tblPr>
      <w:tblGrid>
        <w:gridCol w:w="800"/>
        <w:gridCol w:w="1450"/>
        <w:gridCol w:w="1300"/>
        <w:gridCol w:w="1150"/>
        <w:gridCol w:w="1050"/>
        <w:gridCol w:w="1050"/>
        <w:gridCol w:w="1250"/>
      </w:tblGrid>
      <w:tr>
        <w:trPr>
          <w:tblHeader/>
          <w:cantSplit/>
          <w:jc w:val="center"/>
        </w:trPr>
        <w:tc>
          <w:tcPr>
            <w:tcW w:w="800" w:type="dxa"/>
            <w:tcBorders>
              <w:top w:val="single" w:sz="4" w:space="0" w:color="auto"/>
              <w:bottom w:val="single" w:sz="4" w:space="0" w:color="auto"/>
            </w:tcBorders>
            <w:vAlign w:val="center"/>
          </w:tcPr>
          <w:p>
            <w:pPr>
              <w:spacing w:before="10" w:after="10"/>
              <w:jc w:val="center"/>
            </w:pPr>
            <w:r>
              <w:rPr>
                <w:sz w:val="20"/>
                <w:szCs w:val="20"/>
              </w:rPr>
              <w:t xml:space="preserve">Epoch</w:t>
            </w:r>
          </w:p>
        </w:tc>
        <w:tc>
          <w:tcPr>
            <w:tcW w:w="1450" w:type="dxa"/>
            <w:tcBorders>
              <w:top w:val="single" w:sz="4" w:space="0" w:color="auto"/>
              <w:bottom w:val="single" w:sz="4" w:space="0" w:color="auto"/>
            </w:tcBorders>
            <w:vAlign w:val="center"/>
          </w:tcPr>
          <w:p>
            <w:pPr>
              <w:spacing w:before="10" w:after="10"/>
              <w:jc w:val="center"/>
            </w:pPr>
            <w:r>
              <w:rPr>
                <w:sz w:val="20"/>
                <w:szCs w:val="20"/>
              </w:rPr>
              <w:t xml:space="preserve">Train box loss</w:t>
            </w:r>
          </w:p>
        </w:tc>
        <w:tc>
          <w:tcPr>
            <w:tcW w:w="1300" w:type="dxa"/>
            <w:tcBorders>
              <w:top w:val="single" w:sz="4" w:space="0" w:color="auto"/>
              <w:bottom w:val="single" w:sz="4" w:space="0" w:color="auto"/>
            </w:tcBorders>
            <w:vAlign w:val="center"/>
          </w:tcPr>
          <w:p>
            <w:pPr>
              <w:spacing w:before="10" w:after="10"/>
              <w:jc w:val="center"/>
            </w:pPr>
            <w:r>
              <w:rPr>
                <w:sz w:val="20"/>
                <w:szCs w:val="20"/>
              </w:rPr>
              <w:t xml:space="preserve">Val box loss</w:t>
            </w:r>
          </w:p>
        </w:tc>
        <w:tc>
          <w:tcPr>
            <w:tcW w:w="1150" w:type="dxa"/>
            <w:tcBorders>
              <w:top w:val="single" w:sz="4" w:space="0" w:color="auto"/>
              <w:bottom w:val="single" w:sz="4" w:space="0" w:color="auto"/>
            </w:tcBorders>
            <w:vAlign w:val="center"/>
          </w:tcPr>
          <w:p>
            <w:pPr>
              <w:spacing w:before="10" w:after="10"/>
              <w:jc w:val="center"/>
            </w:pPr>
            <w:r>
              <w:rPr>
                <w:sz w:val="20"/>
                <w:szCs w:val="20"/>
              </w:rPr>
              <w:t xml:space="preserve">Precision</w:t>
            </w:r>
          </w:p>
        </w:tc>
        <w:tc>
          <w:tcPr>
            <w:tcW w:w="1050" w:type="dxa"/>
            <w:tcBorders>
              <w:top w:val="single" w:sz="4" w:space="0" w:color="auto"/>
              <w:bottom w:val="single" w:sz="4" w:space="0" w:color="auto"/>
            </w:tcBorders>
            <w:vAlign w:val="center"/>
          </w:tcPr>
          <w:p>
            <w:pPr>
              <w:spacing w:before="10" w:after="10"/>
              <w:jc w:val="center"/>
            </w:pPr>
            <w:r>
              <w:rPr>
                <w:sz w:val="20"/>
                <w:szCs w:val="20"/>
              </w:rPr>
              <w:t xml:space="preserve">Recall</w:t>
            </w:r>
          </w:p>
        </w:tc>
        <w:tc>
          <w:tcPr>
            <w:tcW w:w="1050" w:type="dxa"/>
            <w:tcBorders>
              <w:top w:val="single" w:sz="4" w:space="0" w:color="auto"/>
              <w:bottom w:val="single" w:sz="4" w:space="0" w:color="auto"/>
            </w:tcBorders>
            <w:vAlign w:val="center"/>
          </w:tcPr>
          <w:p>
            <w:pPr>
              <w:spacing w:before="10" w:after="10"/>
              <w:jc w:val="center"/>
            </w:pPr>
            <w:r>
              <w:rPr>
                <w:sz w:val="20"/>
                <w:szCs w:val="20"/>
              </w:rPr>
              <w:t xml:space="preserve">mAP50</w:t>
            </w:r>
          </w:p>
        </w:tc>
        <w:tc>
          <w:tcPr>
            <w:tcW w:w="1250" w:type="dxa"/>
            <w:tcBorders>
              <w:top w:val="single" w:sz="4" w:space="0" w:color="auto"/>
              <w:bottom w:val="single" w:sz="4" w:space="0" w:color="auto"/>
            </w:tcBorders>
            <w:vAlign w:val="center"/>
          </w:tcPr>
          <w:p>
            <w:pPr>
              <w:spacing w:before="10" w:after="10"/>
              <w:jc w:val="center"/>
            </w:pPr>
            <w:r>
              <w:rPr>
                <w:sz w:val="20"/>
                <w:szCs w:val="20"/>
              </w:rPr>
              <w:t xml:space="preserve">mAP50-95</w:t>
            </w:r>
          </w:p>
        </w:tc>
      </w:tr>
      <w:tr>
        <w:trPr>
          <w:cantSplit/>
          <w:jc w:val="center"/>
        </w:trPr>
        <w:tc>
          <w:tcPr>
            <w:tcW w:w="800" w:type="dxa"/>
            <w:vAlign w:val="center"/>
          </w:tcPr>
          <w:p>
            <w:pPr>
              <w:spacing w:before="10" w:after="10"/>
              <w:jc w:val="center"/>
            </w:pPr>
            <w:r>
              <w:rPr>
                <w:sz w:val="20"/>
                <w:szCs w:val="20"/>
              </w:rPr>
              <w:t xml:space="preserve">1</w:t>
            </w:r>
          </w:p>
        </w:tc>
        <w:tc>
          <w:tcPr>
            <w:tcW w:w="1450" w:type="dxa"/>
            <w:vAlign w:val="center"/>
          </w:tcPr>
          <w:p>
            <w:pPr>
              <w:spacing w:before="10" w:after="10"/>
              <w:jc w:val="center"/>
            </w:pPr>
            <w:r>
              <w:rPr>
                <w:sz w:val="20"/>
                <w:szCs w:val="20"/>
              </w:rPr>
              <w:t xml:space="preserve">1.182</w:t>
            </w:r>
          </w:p>
        </w:tc>
        <w:tc>
          <w:tcPr>
            <w:tcW w:w="1300" w:type="dxa"/>
            <w:vAlign w:val="center"/>
          </w:tcPr>
          <w:p>
            <w:pPr>
              <w:spacing w:before="10" w:after="10"/>
              <w:jc w:val="center"/>
            </w:pPr>
            <w:r>
              <w:rPr>
                <w:sz w:val="20"/>
                <w:szCs w:val="20"/>
              </w:rPr>
              <w:t xml:space="preserve">1.090</w:t>
            </w:r>
          </w:p>
        </w:tc>
        <w:tc>
          <w:tcPr>
            <w:tcW w:w="1150" w:type="dxa"/>
            <w:vAlign w:val="center"/>
          </w:tcPr>
          <w:p>
            <w:pPr>
              <w:spacing w:before="10" w:after="10"/>
              <w:jc w:val="center"/>
            </w:pPr>
            <w:r>
              <w:rPr>
                <w:sz w:val="20"/>
                <w:szCs w:val="20"/>
              </w:rPr>
              <w:t xml:space="preserve">0.541</w:t>
            </w:r>
          </w:p>
        </w:tc>
        <w:tc>
          <w:tcPr>
            <w:tcW w:w="1050" w:type="dxa"/>
            <w:vAlign w:val="center"/>
          </w:tcPr>
          <w:p>
            <w:pPr>
              <w:spacing w:before="10" w:after="10"/>
              <w:jc w:val="center"/>
            </w:pPr>
            <w:r>
              <w:rPr>
                <w:sz w:val="20"/>
                <w:szCs w:val="20"/>
              </w:rPr>
              <w:t xml:space="preserve">0.680</w:t>
            </w:r>
          </w:p>
        </w:tc>
        <w:tc>
          <w:tcPr>
            <w:tcW w:w="1050" w:type="dxa"/>
            <w:vAlign w:val="center"/>
          </w:tcPr>
          <w:p>
            <w:pPr>
              <w:spacing w:before="10" w:after="10"/>
              <w:jc w:val="center"/>
            </w:pPr>
            <w:r>
              <w:rPr>
                <w:sz w:val="20"/>
                <w:szCs w:val="20"/>
              </w:rPr>
              <w:t xml:space="preserve">0.676</w:t>
            </w:r>
          </w:p>
        </w:tc>
        <w:tc>
          <w:tcPr>
            <w:tcW w:w="1250" w:type="dxa"/>
            <w:vAlign w:val="center"/>
          </w:tcPr>
          <w:p>
            <w:pPr>
              <w:spacing w:before="10" w:after="10"/>
              <w:jc w:val="center"/>
            </w:pPr>
            <w:r>
              <w:rPr>
                <w:sz w:val="20"/>
                <w:szCs w:val="20"/>
              </w:rPr>
              <w:t xml:space="preserve">0.478</w:t>
            </w:r>
          </w:p>
        </w:tc>
      </w:tr>
      <w:tr>
        <w:trPr>
          <w:cantSplit/>
          <w:jc w:val="center"/>
        </w:trPr>
        <w:tc>
          <w:tcPr>
            <w:tcW w:w="800" w:type="dxa"/>
            <w:vAlign w:val="center"/>
          </w:tcPr>
          <w:p>
            <w:pPr>
              <w:spacing w:before="10" w:after="10"/>
              <w:jc w:val="center"/>
            </w:pPr>
            <w:r>
              <w:rPr>
                <w:sz w:val="20"/>
                <w:szCs w:val="20"/>
              </w:rPr>
              <w:t xml:space="preserve">9</w:t>
            </w:r>
          </w:p>
        </w:tc>
        <w:tc>
          <w:tcPr>
            <w:tcW w:w="1450" w:type="dxa"/>
            <w:vAlign w:val="center"/>
          </w:tcPr>
          <w:p>
            <w:pPr>
              <w:spacing w:before="10" w:after="10"/>
              <w:jc w:val="center"/>
            </w:pPr>
            <w:r>
              <w:rPr>
                <w:sz w:val="20"/>
                <w:szCs w:val="20"/>
              </w:rPr>
              <w:t xml:space="preserve">1.103</w:t>
            </w:r>
          </w:p>
        </w:tc>
        <w:tc>
          <w:tcPr>
            <w:tcW w:w="1300" w:type="dxa"/>
            <w:vAlign w:val="center"/>
          </w:tcPr>
          <w:p>
            <w:pPr>
              <w:spacing w:before="10" w:after="10"/>
              <w:jc w:val="center"/>
            </w:pPr>
            <w:r>
              <w:rPr>
                <w:sz w:val="20"/>
                <w:szCs w:val="20"/>
              </w:rPr>
              <w:t xml:space="preserve">1.442</w:t>
            </w:r>
          </w:p>
        </w:tc>
        <w:tc>
          <w:tcPr>
            <w:tcW w:w="1150" w:type="dxa"/>
            <w:vAlign w:val="center"/>
          </w:tcPr>
          <w:p>
            <w:pPr>
              <w:spacing w:before="10" w:after="10"/>
              <w:jc w:val="center"/>
            </w:pPr>
            <w:r>
              <w:rPr>
                <w:sz w:val="20"/>
                <w:szCs w:val="20"/>
              </w:rPr>
              <w:t xml:space="preserve">0.501</w:t>
            </w:r>
          </w:p>
        </w:tc>
        <w:tc>
          <w:tcPr>
            <w:tcW w:w="1050" w:type="dxa"/>
            <w:vAlign w:val="center"/>
          </w:tcPr>
          <w:p>
            <w:pPr>
              <w:spacing w:before="10" w:after="10"/>
              <w:jc w:val="center"/>
            </w:pPr>
            <w:r>
              <w:rPr>
                <w:sz w:val="20"/>
                <w:szCs w:val="20"/>
              </w:rPr>
              <w:t xml:space="preserve">0.521</w:t>
            </w:r>
          </w:p>
        </w:tc>
        <w:tc>
          <w:tcPr>
            <w:tcW w:w="1050" w:type="dxa"/>
            <w:vAlign w:val="center"/>
          </w:tcPr>
          <w:p>
            <w:pPr>
              <w:spacing w:before="10" w:after="10"/>
              <w:jc w:val="center"/>
            </w:pPr>
            <w:r>
              <w:rPr>
                <w:sz w:val="20"/>
                <w:szCs w:val="20"/>
              </w:rPr>
              <w:t xml:space="preserve">0.585</w:t>
            </w:r>
          </w:p>
        </w:tc>
        <w:tc>
          <w:tcPr>
            <w:tcW w:w="1250" w:type="dxa"/>
            <w:vAlign w:val="center"/>
          </w:tcPr>
          <w:p>
            <w:pPr>
              <w:spacing w:before="10" w:after="10"/>
              <w:jc w:val="center"/>
            </w:pPr>
            <w:r>
              <w:rPr>
                <w:sz w:val="20"/>
                <w:szCs w:val="20"/>
              </w:rPr>
              <w:t xml:space="preserve">0.325</w:t>
            </w:r>
          </w:p>
        </w:tc>
      </w:tr>
      <w:tr>
        <w:trPr>
          <w:cantSplit/>
          <w:jc w:val="center"/>
        </w:trPr>
        <w:tc>
          <w:tcPr>
            <w:tcW w:w="800" w:type="dxa"/>
            <w:vAlign w:val="center"/>
          </w:tcPr>
          <w:p>
            <w:pPr>
              <w:spacing w:before="10" w:after="10"/>
              <w:jc w:val="center"/>
            </w:pPr>
            <w:r>
              <w:rPr>
                <w:sz w:val="20"/>
                <w:szCs w:val="20"/>
              </w:rPr>
              <w:t xml:space="preserve">19</w:t>
            </w:r>
          </w:p>
        </w:tc>
        <w:tc>
          <w:tcPr>
            <w:tcW w:w="1450" w:type="dxa"/>
            <w:vAlign w:val="center"/>
          </w:tcPr>
          <w:p>
            <w:pPr>
              <w:spacing w:before="10" w:after="10"/>
              <w:jc w:val="center"/>
            </w:pPr>
            <w:r>
              <w:rPr>
                <w:sz w:val="20"/>
                <w:szCs w:val="20"/>
              </w:rPr>
              <w:t xml:space="preserve">0.916</w:t>
            </w:r>
          </w:p>
        </w:tc>
        <w:tc>
          <w:tcPr>
            <w:tcW w:w="1300" w:type="dxa"/>
            <w:vAlign w:val="center"/>
          </w:tcPr>
          <w:p>
            <w:pPr>
              <w:spacing w:before="10" w:after="10"/>
              <w:jc w:val="center"/>
            </w:pPr>
            <w:r>
              <w:rPr>
                <w:sz w:val="20"/>
                <w:szCs w:val="20"/>
              </w:rPr>
              <w:t xml:space="preserve">0.890</w:t>
            </w:r>
          </w:p>
        </w:tc>
        <w:tc>
          <w:tcPr>
            <w:tcW w:w="1150" w:type="dxa"/>
            <w:vAlign w:val="center"/>
          </w:tcPr>
          <w:p>
            <w:pPr>
              <w:spacing w:before="10" w:after="10"/>
              <w:jc w:val="center"/>
            </w:pPr>
            <w:r>
              <w:rPr>
                <w:sz w:val="20"/>
                <w:szCs w:val="20"/>
              </w:rPr>
              <w:t xml:space="preserve">0.856</w:t>
            </w:r>
          </w:p>
        </w:tc>
        <w:tc>
          <w:tcPr>
            <w:tcW w:w="1050" w:type="dxa"/>
            <w:vAlign w:val="center"/>
          </w:tcPr>
          <w:p>
            <w:pPr>
              <w:spacing w:before="10" w:after="10"/>
              <w:jc w:val="center"/>
            </w:pPr>
            <w:r>
              <w:rPr>
                <w:sz w:val="20"/>
                <w:szCs w:val="20"/>
              </w:rPr>
              <w:t xml:space="preserve">0.891</w:t>
            </w:r>
          </w:p>
        </w:tc>
        <w:tc>
          <w:tcPr>
            <w:tcW w:w="1050" w:type="dxa"/>
            <w:vAlign w:val="center"/>
          </w:tcPr>
          <w:p>
            <w:pPr>
              <w:spacing w:before="10" w:after="10"/>
              <w:jc w:val="center"/>
            </w:pPr>
            <w:r>
              <w:rPr>
                <w:sz w:val="20"/>
                <w:szCs w:val="20"/>
              </w:rPr>
              <w:t xml:space="preserve">0.910</w:t>
            </w:r>
          </w:p>
        </w:tc>
        <w:tc>
          <w:tcPr>
            <w:tcW w:w="1250" w:type="dxa"/>
            <w:vAlign w:val="center"/>
          </w:tcPr>
          <w:p>
            <w:pPr>
              <w:spacing w:before="10" w:after="10"/>
              <w:jc w:val="center"/>
            </w:pPr>
            <w:r>
              <w:rPr>
                <w:sz w:val="20"/>
                <w:szCs w:val="20"/>
              </w:rPr>
              <w:t xml:space="preserve">0.761</w:t>
            </w:r>
          </w:p>
        </w:tc>
      </w:tr>
      <w:tr>
        <w:trPr>
          <w:cantSplit/>
          <w:jc w:val="center"/>
        </w:trPr>
        <w:tc>
          <w:tcPr>
            <w:tcW w:w="800" w:type="dxa"/>
            <w:vAlign w:val="center"/>
          </w:tcPr>
          <w:p>
            <w:pPr>
              <w:spacing w:before="10" w:after="10"/>
              <w:jc w:val="center"/>
            </w:pPr>
            <w:r>
              <w:rPr>
                <w:sz w:val="20"/>
                <w:szCs w:val="20"/>
              </w:rPr>
              <w:t xml:space="preserve">49</w:t>
            </w:r>
          </w:p>
        </w:tc>
        <w:tc>
          <w:tcPr>
            <w:tcW w:w="1450" w:type="dxa"/>
            <w:vAlign w:val="center"/>
          </w:tcPr>
          <w:p>
            <w:pPr>
              <w:spacing w:before="10" w:after="10"/>
              <w:jc w:val="center"/>
            </w:pPr>
            <w:r>
              <w:rPr>
                <w:sz w:val="20"/>
                <w:szCs w:val="20"/>
              </w:rPr>
              <w:t xml:space="preserve">0.738</w:t>
            </w:r>
          </w:p>
        </w:tc>
        <w:tc>
          <w:tcPr>
            <w:tcW w:w="1300" w:type="dxa"/>
            <w:vAlign w:val="center"/>
          </w:tcPr>
          <w:p>
            <w:pPr>
              <w:spacing w:before="10" w:after="10"/>
              <w:jc w:val="center"/>
            </w:pPr>
            <w:r>
              <w:rPr>
                <w:sz w:val="20"/>
                <w:szCs w:val="20"/>
              </w:rPr>
              <w:t xml:space="preserve">0.641</w:t>
            </w:r>
          </w:p>
        </w:tc>
        <w:tc>
          <w:tcPr>
            <w:tcW w:w="1150" w:type="dxa"/>
            <w:vAlign w:val="center"/>
          </w:tcPr>
          <w:p>
            <w:pPr>
              <w:spacing w:before="10" w:after="10"/>
              <w:jc w:val="center"/>
            </w:pPr>
            <w:r>
              <w:rPr>
                <w:sz w:val="20"/>
                <w:szCs w:val="20"/>
              </w:rPr>
              <w:t xml:space="preserve">0.913</w:t>
            </w:r>
          </w:p>
        </w:tc>
        <w:tc>
          <w:tcPr>
            <w:tcW w:w="1050" w:type="dxa"/>
            <w:vAlign w:val="center"/>
          </w:tcPr>
          <w:p>
            <w:pPr>
              <w:spacing w:before="10" w:after="10"/>
              <w:jc w:val="center"/>
            </w:pPr>
            <w:r>
              <w:rPr>
                <w:sz w:val="20"/>
                <w:szCs w:val="20"/>
              </w:rPr>
              <w:t xml:space="preserve">0.959</w:t>
            </w:r>
          </w:p>
        </w:tc>
        <w:tc>
          <w:tcPr>
            <w:tcW w:w="1050" w:type="dxa"/>
            <w:vAlign w:val="center"/>
          </w:tcPr>
          <w:p>
            <w:pPr>
              <w:spacing w:before="10" w:after="10"/>
              <w:jc w:val="center"/>
            </w:pPr>
            <w:r>
              <w:rPr>
                <w:sz w:val="20"/>
                <w:szCs w:val="20"/>
              </w:rPr>
              <w:t xml:space="preserve">0.939</w:t>
            </w:r>
          </w:p>
        </w:tc>
        <w:tc>
          <w:tcPr>
            <w:tcW w:w="1250" w:type="dxa"/>
            <w:vAlign w:val="center"/>
          </w:tcPr>
          <w:p>
            <w:pPr>
              <w:spacing w:before="10" w:after="10"/>
              <w:jc w:val="center"/>
            </w:pPr>
            <w:r>
              <w:rPr>
                <w:sz w:val="20"/>
                <w:szCs w:val="20"/>
              </w:rPr>
              <w:t xml:space="preserve">0.821</w:t>
            </w:r>
          </w:p>
        </w:tc>
      </w:tr>
      <w:tr>
        <w:trPr>
          <w:cantSplit/>
          <w:jc w:val="center"/>
        </w:trPr>
        <w:tc>
          <w:tcPr>
            <w:tcW w:w="800" w:type="dxa"/>
            <w:vAlign w:val="center"/>
          </w:tcPr>
          <w:p>
            <w:pPr>
              <w:spacing w:before="10" w:after="10"/>
              <w:jc w:val="center"/>
            </w:pPr>
            <w:r>
              <w:rPr>
                <w:sz w:val="20"/>
                <w:szCs w:val="20"/>
              </w:rPr>
              <w:t xml:space="preserve">69</w:t>
            </w:r>
          </w:p>
        </w:tc>
        <w:tc>
          <w:tcPr>
            <w:tcW w:w="1450" w:type="dxa"/>
            <w:vAlign w:val="center"/>
          </w:tcPr>
          <w:p>
            <w:pPr>
              <w:spacing w:before="10" w:after="10"/>
              <w:jc w:val="center"/>
            </w:pPr>
            <w:r>
              <w:rPr>
                <w:sz w:val="20"/>
                <w:szCs w:val="20"/>
              </w:rPr>
              <w:t xml:space="preserve">0.631</w:t>
            </w:r>
          </w:p>
        </w:tc>
        <w:tc>
          <w:tcPr>
            <w:tcW w:w="1300" w:type="dxa"/>
            <w:vAlign w:val="center"/>
          </w:tcPr>
          <w:p>
            <w:pPr>
              <w:spacing w:before="10" w:after="10"/>
              <w:jc w:val="center"/>
            </w:pPr>
            <w:r>
              <w:rPr>
                <w:sz w:val="20"/>
                <w:szCs w:val="20"/>
              </w:rPr>
              <w:t xml:space="preserve">0.569</w:t>
            </w:r>
          </w:p>
        </w:tc>
        <w:tc>
          <w:tcPr>
            <w:tcW w:w="1150" w:type="dxa"/>
            <w:vAlign w:val="center"/>
          </w:tcPr>
          <w:p>
            <w:pPr>
              <w:spacing w:before="10" w:after="10"/>
              <w:jc w:val="center"/>
            </w:pPr>
            <w:r>
              <w:rPr>
                <w:sz w:val="20"/>
                <w:szCs w:val="20"/>
              </w:rPr>
              <w:t xml:space="preserve">0.903</w:t>
            </w:r>
          </w:p>
        </w:tc>
        <w:tc>
          <w:tcPr>
            <w:tcW w:w="1050" w:type="dxa"/>
            <w:vAlign w:val="center"/>
          </w:tcPr>
          <w:p>
            <w:pPr>
              <w:spacing w:before="10" w:after="10"/>
              <w:jc w:val="center"/>
            </w:pPr>
            <w:r>
              <w:rPr>
                <w:sz w:val="20"/>
                <w:szCs w:val="20"/>
              </w:rPr>
              <w:t xml:space="preserve">0.955</w:t>
            </w:r>
          </w:p>
        </w:tc>
        <w:tc>
          <w:tcPr>
            <w:tcW w:w="1050" w:type="dxa"/>
            <w:vAlign w:val="center"/>
          </w:tcPr>
          <w:p>
            <w:pPr>
              <w:spacing w:before="10" w:after="10"/>
              <w:jc w:val="center"/>
            </w:pPr>
            <w:r>
              <w:rPr>
                <w:sz w:val="20"/>
                <w:szCs w:val="20"/>
              </w:rPr>
              <w:t xml:space="preserve">0.933</w:t>
            </w:r>
          </w:p>
        </w:tc>
        <w:tc>
          <w:tcPr>
            <w:tcW w:w="1250" w:type="dxa"/>
            <w:vAlign w:val="center"/>
          </w:tcPr>
          <w:p>
            <w:pPr>
              <w:spacing w:before="10" w:after="10"/>
              <w:jc w:val="center"/>
            </w:pPr>
            <w:r>
              <w:rPr>
                <w:sz w:val="20"/>
                <w:szCs w:val="20"/>
              </w:rPr>
              <w:t xml:space="preserve">0.838</w:t>
            </w:r>
          </w:p>
        </w:tc>
      </w:tr>
      <w:tr>
        <w:trPr>
          <w:cantSplit/>
          <w:jc w:val="center"/>
        </w:trPr>
        <w:tc>
          <w:tcPr>
            <w:tcW w:w="800" w:type="dxa"/>
            <w:vAlign w:val="center"/>
          </w:tcPr>
          <w:p>
            <w:pPr>
              <w:spacing w:before="10" w:after="10"/>
              <w:jc w:val="center"/>
            </w:pPr>
            <w:r>
              <w:rPr>
                <w:sz w:val="20"/>
                <w:szCs w:val="20"/>
              </w:rPr>
              <w:t xml:space="preserve">89</w:t>
            </w:r>
          </w:p>
        </w:tc>
        <w:tc>
          <w:tcPr>
            <w:tcW w:w="1450" w:type="dxa"/>
            <w:vAlign w:val="center"/>
          </w:tcPr>
          <w:p>
            <w:pPr>
              <w:spacing w:before="10" w:after="10"/>
              <w:jc w:val="center"/>
            </w:pPr>
            <w:r>
              <w:rPr>
                <w:sz w:val="20"/>
                <w:szCs w:val="20"/>
              </w:rPr>
              <w:t xml:space="preserve">0.556</w:t>
            </w:r>
          </w:p>
        </w:tc>
        <w:tc>
          <w:tcPr>
            <w:tcW w:w="1300" w:type="dxa"/>
            <w:vAlign w:val="center"/>
          </w:tcPr>
          <w:p>
            <w:pPr>
              <w:spacing w:before="10" w:after="10"/>
              <w:jc w:val="center"/>
            </w:pPr>
            <w:r>
              <w:rPr>
                <w:sz w:val="20"/>
                <w:szCs w:val="20"/>
              </w:rPr>
              <w:t xml:space="preserve">0.561</w:t>
            </w:r>
          </w:p>
        </w:tc>
        <w:tc>
          <w:tcPr>
            <w:tcW w:w="1150" w:type="dxa"/>
            <w:vAlign w:val="center"/>
          </w:tcPr>
          <w:p>
            <w:pPr>
              <w:spacing w:before="10" w:after="10"/>
              <w:jc w:val="center"/>
            </w:pPr>
            <w:r>
              <w:rPr>
                <w:sz w:val="20"/>
                <w:szCs w:val="20"/>
              </w:rPr>
              <w:t xml:space="preserve">0.918</w:t>
            </w:r>
          </w:p>
        </w:tc>
        <w:tc>
          <w:tcPr>
            <w:tcW w:w="1050" w:type="dxa"/>
            <w:vAlign w:val="center"/>
          </w:tcPr>
          <w:p>
            <w:pPr>
              <w:spacing w:before="10" w:after="10"/>
              <w:jc w:val="center"/>
            </w:pPr>
            <w:r>
              <w:rPr>
                <w:sz w:val="20"/>
                <w:szCs w:val="20"/>
              </w:rPr>
              <w:t xml:space="preserve">0.956</w:t>
            </w:r>
          </w:p>
        </w:tc>
        <w:tc>
          <w:tcPr>
            <w:tcW w:w="1050" w:type="dxa"/>
            <w:vAlign w:val="center"/>
          </w:tcPr>
          <w:p>
            <w:pPr>
              <w:spacing w:before="10" w:after="10"/>
              <w:jc w:val="center"/>
            </w:pPr>
            <w:r>
              <w:rPr>
                <w:sz w:val="20"/>
                <w:szCs w:val="20"/>
              </w:rPr>
              <w:t xml:space="preserve">0.925</w:t>
            </w:r>
          </w:p>
        </w:tc>
        <w:tc>
          <w:tcPr>
            <w:tcW w:w="1250" w:type="dxa"/>
            <w:vAlign w:val="center"/>
          </w:tcPr>
          <w:p>
            <w:pPr>
              <w:spacing w:before="10" w:after="10"/>
              <w:jc w:val="center"/>
            </w:pPr>
            <w:r>
              <w:rPr>
                <w:sz w:val="20"/>
                <w:szCs w:val="20"/>
              </w:rPr>
              <w:t xml:space="preserve">0.832</w:t>
            </w:r>
          </w:p>
        </w:tc>
      </w:tr>
      <w:tr>
        <w:trPr>
          <w:cantSplit/>
          <w:jc w:val="center"/>
        </w:trPr>
        <w:tc>
          <w:tcPr>
            <w:tcW w:w="800" w:type="dxa"/>
            <w:tcBorders>
              <w:bottom w:val="single" w:sz="4" w:space="0" w:color="auto"/>
            </w:tcBorders>
            <w:vAlign w:val="center"/>
          </w:tcPr>
          <w:p>
            <w:pPr>
              <w:spacing w:before="10" w:after="10"/>
              <w:jc w:val="center"/>
            </w:pPr>
            <w:r>
              <w:rPr>
                <w:sz w:val="20"/>
                <w:szCs w:val="20"/>
                <w:b/>
              </w:rPr>
              <w:t xml:space="preserve">100</w:t>
            </w:r>
          </w:p>
        </w:tc>
        <w:tc>
          <w:tcPr>
            <w:tcW w:w="1450" w:type="dxa"/>
            <w:tcBorders>
              <w:bottom w:val="single" w:sz="4" w:space="0" w:color="auto"/>
            </w:tcBorders>
            <w:vAlign w:val="center"/>
          </w:tcPr>
          <w:p>
            <w:pPr>
              <w:spacing w:before="10" w:after="10"/>
              <w:jc w:val="center"/>
            </w:pPr>
            <w:r>
              <w:rPr>
                <w:sz w:val="20"/>
                <w:szCs w:val="20"/>
                <w:b/>
              </w:rPr>
              <w:t xml:space="preserve">0.326</w:t>
            </w:r>
          </w:p>
        </w:tc>
        <w:tc>
          <w:tcPr>
            <w:tcW w:w="1300" w:type="dxa"/>
            <w:tcBorders>
              <w:bottom w:val="single" w:sz="4" w:space="0" w:color="auto"/>
            </w:tcBorders>
            <w:vAlign w:val="center"/>
          </w:tcPr>
          <w:p>
            <w:pPr>
              <w:spacing w:before="10" w:after="10"/>
              <w:jc w:val="center"/>
            </w:pPr>
            <w:r>
              <w:rPr>
                <w:sz w:val="20"/>
                <w:szCs w:val="20"/>
                <w:b/>
              </w:rPr>
              <w:t xml:space="preserve">0.498</w:t>
            </w:r>
          </w:p>
        </w:tc>
        <w:tc>
          <w:tcPr>
            <w:tcW w:w="1150" w:type="dxa"/>
            <w:tcBorders>
              <w:bottom w:val="single" w:sz="4" w:space="0" w:color="auto"/>
            </w:tcBorders>
            <w:vAlign w:val="center"/>
          </w:tcPr>
          <w:p>
            <w:pPr>
              <w:spacing w:before="10" w:after="10"/>
              <w:jc w:val="center"/>
            </w:pPr>
            <w:r>
              <w:rPr>
                <w:sz w:val="20"/>
                <w:szCs w:val="20"/>
                <w:b/>
              </w:rPr>
              <w:t xml:space="preserve">0.921</w:t>
            </w:r>
          </w:p>
        </w:tc>
        <w:tc>
          <w:tcPr>
            <w:tcW w:w="1050" w:type="dxa"/>
            <w:tcBorders>
              <w:bottom w:val="single" w:sz="4" w:space="0" w:color="auto"/>
            </w:tcBorders>
            <w:vAlign w:val="center"/>
          </w:tcPr>
          <w:p>
            <w:pPr>
              <w:spacing w:before="10" w:after="10"/>
              <w:jc w:val="center"/>
            </w:pPr>
            <w:r>
              <w:rPr>
                <w:sz w:val="20"/>
                <w:szCs w:val="20"/>
                <w:b/>
              </w:rPr>
              <w:t xml:space="preserve">0.955</w:t>
            </w:r>
          </w:p>
        </w:tc>
        <w:tc>
          <w:tcPr>
            <w:tcW w:w="1050" w:type="dxa"/>
            <w:tcBorders>
              <w:bottom w:val="single" w:sz="4" w:space="0" w:color="auto"/>
            </w:tcBorders>
            <w:vAlign w:val="center"/>
          </w:tcPr>
          <w:p>
            <w:pPr>
              <w:spacing w:before="10" w:after="10"/>
              <w:jc w:val="center"/>
            </w:pPr>
            <w:r>
              <w:rPr>
                <w:sz w:val="20"/>
                <w:szCs w:val="20"/>
                <w:b/>
              </w:rPr>
              <w:t xml:space="preserve">0.931</w:t>
            </w:r>
          </w:p>
        </w:tc>
        <w:tc>
          <w:tcPr>
            <w:tcW w:w="1250" w:type="dxa"/>
            <w:tcBorders>
              <w:bottom w:val="single" w:sz="4" w:space="0" w:color="auto"/>
            </w:tcBorders>
            <w:vAlign w:val="center"/>
          </w:tcPr>
          <w:p>
            <w:pPr>
              <w:spacing w:before="10" w:after="10"/>
              <w:jc w:val="center"/>
            </w:pPr>
            <w:r>
              <w:rPr>
                <w:sz w:val="20"/>
                <w:szCs w:val="20"/>
                <w:b/>
              </w:rPr>
              <w:t xml:space="preserve">0.863</w:t>
            </w:r>
          </w:p>
        </w:tc>
      </w:tr>
    </w:tbl>
    <w:p>
      <w:pPr>
        <w:spacing w:before="0" w:after="0" w:line="80" w:lineRule="exact"/>
      </w:pPr>
    </w:p>
    <w:p>
      <w:pPr>
        <w:ind w:firstLine="720"/>
        <w:jc w:val="both"/>
      </w:pPr>
      <w:r>
        <w:rPr>
          <w:sz w:val="22"/>
          <w:szCs w:val="22"/>
        </w:rPr>
        <w:t xml:space="preserve">Performance dropped briefly at epoch 9. Precision fell to 0.501 and mAP50 fell to 0.585. After epoch 19, the metrics rose and stayed above 0.90. At epoch 100, the model reached 0.921 precision, 0.955 recall, 0.931 mAP50, and 0.863 mAP50-95. Based on (4), the F1-score was 0.938. The gap between mAP50 and mAP50-95 shows that box placement can still improve at strict IoU levels.</w:t>
      </w:r>
    </w:p>
    <w:p>
      <w:pPr>
        <w:ind w:firstLine="720"/>
        <w:jc w:val="both"/>
      </w:pPr>
      <w:r>
        <w:rPr>
          <w:sz w:val="22"/>
          <w:szCs w:val="22"/>
        </w:rPr>
        <w:t xml:space="preserve">Figure 4 shows the Precision-Confidence and F1-Confidence curves. Precision rose toward 1.0 at high confidence. Recall fell, because fewer detections passed the threshold. The F1 curve guided our choice of the species identification threshold in the app.</w:t>
      </w:r>
    </w:p>
    <w:tbl>
      <w:tblPr>
        <w:tblW w:w="8788" w:type="dxa"/>
        <w:jc w:val="center"/>
        <w:tblBorders>
          <w:top w:val="nil"/>
          <w:left w:val="nil"/>
          <w:bottom w:val="nil"/>
          <w:right w:val="nil"/>
          <w:insideH w:val="nil"/>
          <w:insideV w:val="nil"/>
        </w:tblBorders>
        <w:tblLayout w:type="fixed"/>
        <w:tblLook w:val="04A0"/>
      </w:tblPr>
      <w:tblGrid>
        <w:gridCol w:w="4394"/>
        <w:gridCol w:w="4394"/>
      </w:tblGrid>
      <w:tr>
        <w:trPr>
          <w:cantSplit/>
        </w:trPr>
        <w:tc>
          <w:tcPr>
            <w:tcW w:w="4394" w:type="dxa"/>
          </w:tcPr>
          <w:p>
            <w:pPr>
              <w:jc w:val="center"/>
            </w:pPr>
            <w:r>
              <w:drawing>
                <wp:inline xmlns:a="http://schemas.openxmlformats.org/drawingml/2006/main" xmlns:pic="http://schemas.openxmlformats.org/drawingml/2006/picture">
                  <wp:extent cx="2651760" cy="1768569"/>
                  <wp:docPr id="4" name="Picture 4"/>
                  <wp:cNvGraphicFramePr>
                    <a:graphicFrameLocks noChangeAspect="1"/>
                  </wp:cNvGraphicFramePr>
                  <a:graphic>
                    <a:graphicData uri="http://schemas.openxmlformats.org/drawingml/2006/picture">
                      <pic:pic>
                        <pic:nvPicPr>
                          <pic:cNvPr id="0" name="image14.png"/>
                          <pic:cNvPicPr/>
                        </pic:nvPicPr>
                        <pic:blipFill>
                          <a:blip r:embed="rId23"/>
                          <a:stretch>
                            <a:fillRect/>
                          </a:stretch>
                        </pic:blipFill>
                        <pic:spPr>
                          <a:xfrm>
                            <a:off x="0" y="0"/>
                            <a:ext cx="2651760" cy="1768569"/>
                          </a:xfrm>
                          <a:prstGeom prst="rect"/>
                        </pic:spPr>
                      </pic:pic>
                    </a:graphicData>
                  </a:graphic>
                </wp:inline>
              </w:drawing>
            </w:r>
          </w:p>
          <w:p>
            <w:pPr>
              <w:spacing w:before="40"/>
              <w:jc w:val="center"/>
            </w:pPr>
            <w:r>
              <w:rPr>
                <w:sz w:val="22"/>
                <w:szCs w:val="22"/>
              </w:rPr>
              <w:t xml:space="preserve">(a)</w:t>
            </w:r>
          </w:p>
        </w:tc>
        <w:tc>
          <w:tcPr>
            <w:tcW w:w="4394" w:type="dxa"/>
          </w:tcPr>
          <w:p>
            <w:pPr>
              <w:jc w:val="center"/>
            </w:pPr>
            <w:r>
              <w:drawing>
                <wp:inline xmlns:a="http://schemas.openxmlformats.org/drawingml/2006/main" xmlns:pic="http://schemas.openxmlformats.org/drawingml/2006/picture">
                  <wp:extent cx="2651760" cy="1768569"/>
                  <wp:docPr id="5" name="Picture 5"/>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2651760" cy="1768569"/>
                          </a:xfrm>
                          <a:prstGeom prst="rect"/>
                        </pic:spPr>
                      </pic:pic>
                    </a:graphicData>
                  </a:graphic>
                </wp:inline>
              </w:drawing>
            </w:r>
          </w:p>
          <w:p>
            <w:pPr>
              <w:spacing w:before="40"/>
              <w:jc w:val="center"/>
            </w:pPr>
            <w:r>
              <w:rPr>
                <w:sz w:val="22"/>
                <w:szCs w:val="22"/>
              </w:rPr>
              <w:t xml:space="preserve">(b)</w:t>
            </w:r>
          </w:p>
        </w:tc>
      </w:tr>
    </w:tbl>
    <w:p>
      <w:pPr>
        <w:spacing w:before="60" w:after="200"/>
        <w:jc w:val="center"/>
      </w:pPr>
      <w:r>
        <w:rPr>
          <w:sz w:val="22"/>
          <w:szCs w:val="22"/>
        </w:rPr>
        <w:t xml:space="preserve">Figure 4. Evaluation curves: (a) Precision-Confidence, (b) F1-Confidence</w:t>
      </w:r>
    </w:p>
    <w:p>
      <w:pPr>
        <w:keepNext/>
        <w:spacing w:before="180" w:after="60"/>
        <w:ind w:left="426" w:hanging="426"/>
      </w:pPr>
      <w:r>
        <w:rPr>
          <w:b/>
          <w:bCs/>
          <w:sz w:val="22"/>
          <w:szCs w:val="22"/>
        </w:rPr>
        <w:t xml:space="preserve">3.2.	Test Set Evaluation</w:t>
      </w:r>
    </w:p>
    <w:p>
      <w:pPr>
        <w:ind w:firstLine="720"/>
        <w:jc w:val="both"/>
      </w:pPr>
      <w:r>
        <w:rPr>
          <w:sz w:val="22"/>
          <w:szCs w:val="22"/>
        </w:rPr>
        <w:t xml:space="preserve">Figure 5 shows the confusion matrix on 32 test images. Most predictions lie on the diagonal. The skipjack tuna class produced the largest error. The model read 33 background regions as skipjack tuna and missed one skipjack tuna. It also read one Indian mackerel as white snapper. Table 5 summarizes the manual calculation from this matrix.</w:t>
      </w:r>
    </w:p>
    <w:p>
      <w:pPr>
        <w:keepNext/>
        <w:spacing w:before="160"/>
        <w:jc w:val="center"/>
      </w:pPr>
      <w:r>
        <w:drawing>
          <wp:inline xmlns:a="http://schemas.openxmlformats.org/drawingml/2006/main" xmlns:pic="http://schemas.openxmlformats.org/drawingml/2006/picture">
            <wp:extent cx="4023360" cy="3017520"/>
            <wp:docPr id="6" name="Picture 6"/>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4023360" cy="3017520"/>
                    </a:xfrm>
                    <a:prstGeom prst="rect"/>
                  </pic:spPr>
                </pic:pic>
              </a:graphicData>
            </a:graphic>
          </wp:inline>
        </w:drawing>
      </w:r>
    </w:p>
    <w:p>
      <w:pPr>
        <w:spacing w:before="60" w:after="200"/>
        <w:jc w:val="center"/>
      </w:pPr>
      <w:r>
        <w:rPr>
          <w:sz w:val="22"/>
          <w:szCs w:val="22"/>
        </w:rPr>
        <w:t xml:space="preserve">Figure 5. Confusion matrix on the test set</w:t>
      </w:r>
    </w:p>
    <w:p>
      <w:pPr>
        <w:keepNext/>
        <w:spacing w:before="200" w:after="60"/>
        <w:jc w:val="center"/>
      </w:pPr>
      <w:r>
        <w:rPr>
          <w:sz w:val="22"/>
          <w:szCs w:val="22"/>
        </w:rPr>
        <w:t xml:space="preserve">Table 5. Manual calculation from the confusion matrix</w:t>
      </w:r>
    </w:p>
    <w:tbl>
      <w:tblPr>
        <w:tblW w:w="8300" w:type="dxa"/>
        <w:jc w:val="center"/>
        <w:tblBorders>
          <w:top w:val="nil"/>
          <w:left w:val="nil"/>
          <w:bottom w:val="nil"/>
          <w:right w:val="nil"/>
          <w:insideH w:val="nil"/>
          <w:insideV w:val="nil"/>
        </w:tblBorders>
        <w:tblLayout w:type="fixed"/>
        <w:tblCellMar>
          <w:left w:w="80" w:type="dxa"/>
          <w:right w:w="80" w:type="dxa"/>
        </w:tblCellMar>
        <w:tblLook w:val="04A0"/>
      </w:tblPr>
      <w:tblGrid>
        <w:gridCol w:w="1400"/>
        <w:gridCol w:w="1100"/>
        <w:gridCol w:w="5800"/>
      </w:tblGrid>
      <w:tr>
        <w:trPr>
          <w:tblHeader/>
          <w:cantSplit/>
          <w:jc w:val="center"/>
        </w:trPr>
        <w:tc>
          <w:tcPr>
            <w:tcW w:w="1400" w:type="dxa"/>
            <w:tcBorders>
              <w:top w:val="single" w:sz="4" w:space="0" w:color="auto"/>
              <w:bottom w:val="single" w:sz="4" w:space="0" w:color="auto"/>
            </w:tcBorders>
            <w:vAlign w:val="center"/>
          </w:tcPr>
          <w:p>
            <w:pPr>
              <w:spacing w:before="10" w:after="10"/>
              <w:jc w:val="center"/>
            </w:pPr>
            <w:r>
              <w:rPr>
                <w:sz w:val="20"/>
                <w:szCs w:val="20"/>
              </w:rPr>
              <w:t xml:space="preserve">Item</w:t>
            </w:r>
          </w:p>
        </w:tc>
        <w:tc>
          <w:tcPr>
            <w:tcW w:w="1100" w:type="dxa"/>
            <w:tcBorders>
              <w:top w:val="single" w:sz="4" w:space="0" w:color="auto"/>
              <w:bottom w:val="single" w:sz="4" w:space="0" w:color="auto"/>
            </w:tcBorders>
            <w:vAlign w:val="center"/>
          </w:tcPr>
          <w:p>
            <w:pPr>
              <w:spacing w:before="10" w:after="10"/>
              <w:jc w:val="center"/>
            </w:pPr>
            <w:r>
              <w:rPr>
                <w:sz w:val="20"/>
                <w:szCs w:val="20"/>
              </w:rPr>
              <w:t xml:space="preserve">Value</w:t>
            </w:r>
          </w:p>
        </w:tc>
        <w:tc>
          <w:tcPr>
            <w:tcW w:w="5800" w:type="dxa"/>
            <w:tcBorders>
              <w:top w:val="single" w:sz="4" w:space="0" w:color="auto"/>
              <w:bottom w:val="single" w:sz="4" w:space="0" w:color="auto"/>
            </w:tcBorders>
            <w:vAlign w:val="center"/>
          </w:tcPr>
          <w:p>
            <w:pPr>
              <w:spacing w:before="10" w:after="10"/>
              <w:jc w:val="center"/>
            </w:pPr>
            <w:r>
              <w:rPr>
                <w:sz w:val="20"/>
                <w:szCs w:val="20"/>
              </w:rPr>
              <w:t xml:space="preserve">Description</w:t>
            </w:r>
          </w:p>
        </w:tc>
      </w:tr>
      <w:tr>
        <w:trPr>
          <w:cantSplit/>
          <w:jc w:val="center"/>
        </w:trPr>
        <w:tc>
          <w:tcPr>
            <w:tcW w:w="1400" w:type="dxa"/>
            <w:vAlign w:val="center"/>
          </w:tcPr>
          <w:p>
            <w:pPr>
              <w:spacing w:before="10" w:after="10"/>
              <w:jc w:val="left"/>
            </w:pPr>
            <w:r>
              <w:rPr>
                <w:sz w:val="20"/>
                <w:szCs w:val="20"/>
              </w:rPr>
              <w:t xml:space="preserve">TP</w:t>
            </w:r>
          </w:p>
        </w:tc>
        <w:tc>
          <w:tcPr>
            <w:tcW w:w="1100" w:type="dxa"/>
            <w:vAlign w:val="center"/>
          </w:tcPr>
          <w:p>
            <w:pPr>
              <w:spacing w:before="10" w:after="10"/>
              <w:jc w:val="center"/>
            </w:pPr>
            <w:r>
              <w:rPr>
                <w:sz w:val="20"/>
                <w:szCs w:val="20"/>
              </w:rPr>
              <w:t xml:space="preserve">72</w:t>
            </w:r>
          </w:p>
        </w:tc>
        <w:tc>
          <w:tcPr>
            <w:tcW w:w="5800" w:type="dxa"/>
            <w:vAlign w:val="center"/>
          </w:tcPr>
          <w:p>
            <w:pPr>
              <w:spacing w:before="10" w:after="10"/>
              <w:jc w:val="left"/>
            </w:pPr>
            <w:r>
              <w:rPr>
                <w:sz w:val="20"/>
                <w:szCs w:val="20"/>
              </w:rPr>
              <w:t xml:space="preserve">Sum of the diagonal (9+10+7+11+9+26)</w:t>
            </w:r>
          </w:p>
        </w:tc>
      </w:tr>
      <w:tr>
        <w:trPr>
          <w:cantSplit/>
          <w:jc w:val="center"/>
        </w:trPr>
        <w:tc>
          <w:tcPr>
            <w:tcW w:w="1400" w:type="dxa"/>
            <w:vAlign w:val="center"/>
          </w:tcPr>
          <w:p>
            <w:pPr>
              <w:spacing w:before="10" w:after="10"/>
              <w:jc w:val="left"/>
            </w:pPr>
            <w:r>
              <w:rPr>
                <w:sz w:val="20"/>
                <w:szCs w:val="20"/>
              </w:rPr>
              <w:t xml:space="preserve">FP</w:t>
            </w:r>
          </w:p>
        </w:tc>
        <w:tc>
          <w:tcPr>
            <w:tcW w:w="1100" w:type="dxa"/>
            <w:vAlign w:val="center"/>
          </w:tcPr>
          <w:p>
            <w:pPr>
              <w:spacing w:before="10" w:after="10"/>
              <w:jc w:val="center"/>
            </w:pPr>
            <w:r>
              <w:rPr>
                <w:sz w:val="20"/>
                <w:szCs w:val="20"/>
              </w:rPr>
              <w:t xml:space="preserve">34</w:t>
            </w:r>
          </w:p>
        </w:tc>
        <w:tc>
          <w:tcPr>
            <w:tcW w:w="5800" w:type="dxa"/>
            <w:vAlign w:val="center"/>
          </w:tcPr>
          <w:p>
            <w:pPr>
              <w:spacing w:before="10" w:after="10"/>
              <w:jc w:val="left"/>
            </w:pPr>
            <w:r>
              <w:rPr>
                <w:sz w:val="20"/>
                <w:szCs w:val="20"/>
              </w:rPr>
              <w:t xml:space="preserve">33 background regions read as skipjack tuna, 1 Indian mackerel read as white snapper</w:t>
            </w:r>
          </w:p>
        </w:tc>
      </w:tr>
      <w:tr>
        <w:trPr>
          <w:cantSplit/>
          <w:jc w:val="center"/>
        </w:trPr>
        <w:tc>
          <w:tcPr>
            <w:tcW w:w="1400" w:type="dxa"/>
            <w:vAlign w:val="center"/>
          </w:tcPr>
          <w:p>
            <w:pPr>
              <w:spacing w:before="10" w:after="10"/>
              <w:jc w:val="left"/>
            </w:pPr>
            <w:r>
              <w:rPr>
                <w:sz w:val="20"/>
                <w:szCs w:val="20"/>
              </w:rPr>
              <w:t xml:space="preserve">FN</w:t>
            </w:r>
          </w:p>
        </w:tc>
        <w:tc>
          <w:tcPr>
            <w:tcW w:w="1100" w:type="dxa"/>
            <w:vAlign w:val="center"/>
          </w:tcPr>
          <w:p>
            <w:pPr>
              <w:spacing w:before="10" w:after="10"/>
              <w:jc w:val="center"/>
            </w:pPr>
            <w:r>
              <w:rPr>
                <w:sz w:val="20"/>
                <w:szCs w:val="20"/>
              </w:rPr>
              <w:t xml:space="preserve">2</w:t>
            </w:r>
          </w:p>
        </w:tc>
        <w:tc>
          <w:tcPr>
            <w:tcW w:w="5800" w:type="dxa"/>
            <w:vAlign w:val="center"/>
          </w:tcPr>
          <w:p>
            <w:pPr>
              <w:spacing w:before="10" w:after="10"/>
              <w:jc w:val="left"/>
            </w:pPr>
            <w:r>
              <w:rPr>
                <w:sz w:val="20"/>
                <w:szCs w:val="20"/>
              </w:rPr>
              <w:t xml:space="preserve">1 Indian mackerel in the wrong class, 1 skipjack tuna missed</w:t>
            </w:r>
          </w:p>
        </w:tc>
      </w:tr>
      <w:tr>
        <w:trPr>
          <w:cantSplit/>
          <w:jc w:val="center"/>
        </w:trPr>
        <w:tc>
          <w:tcPr>
            <w:tcW w:w="1400" w:type="dxa"/>
            <w:vAlign w:val="center"/>
          </w:tcPr>
          <w:p>
            <w:pPr>
              <w:spacing w:before="10" w:after="10"/>
              <w:jc w:val="left"/>
            </w:pPr>
            <w:r>
              <w:rPr>
                <w:sz w:val="20"/>
                <w:szCs w:val="20"/>
              </w:rPr>
              <w:t xml:space="preserve">Accuracy</w:t>
            </w:r>
          </w:p>
        </w:tc>
        <w:tc>
          <w:tcPr>
            <w:tcW w:w="1100" w:type="dxa"/>
            <w:vAlign w:val="center"/>
          </w:tcPr>
          <w:p>
            <w:pPr>
              <w:spacing w:before="10" w:after="10"/>
              <w:jc w:val="center"/>
            </w:pPr>
            <w:r>
              <w:rPr>
                <w:sz w:val="20"/>
                <w:szCs w:val="20"/>
              </w:rPr>
              <w:t xml:space="preserve">66.67%</w:t>
            </w:r>
          </w:p>
        </w:tc>
        <w:tc>
          <w:tcPr>
            <w:tcW w:w="5800" w:type="dxa"/>
            <w:vAlign w:val="center"/>
          </w:tcPr>
          <w:p>
            <w:pPr>
              <w:spacing w:before="10" w:after="10"/>
              <w:jc w:val="left"/>
            </w:pPr>
            <w:r>
              <w:rPr>
                <w:sz w:val="20"/>
                <w:szCs w:val="20"/>
              </w:rPr>
              <w:t xml:space="preserve">TP / (TP + FP + FN)</w:t>
            </w:r>
          </w:p>
        </w:tc>
      </w:tr>
      <w:tr>
        <w:trPr>
          <w:cantSplit/>
          <w:jc w:val="center"/>
        </w:trPr>
        <w:tc>
          <w:tcPr>
            <w:tcW w:w="1400" w:type="dxa"/>
            <w:vAlign w:val="center"/>
          </w:tcPr>
          <w:p>
            <w:pPr>
              <w:spacing w:before="10" w:after="10"/>
              <w:jc w:val="left"/>
            </w:pPr>
            <w:r>
              <w:rPr>
                <w:sz w:val="20"/>
                <w:szCs w:val="20"/>
              </w:rPr>
              <w:t xml:space="preserve">Precision</w:t>
            </w:r>
          </w:p>
        </w:tc>
        <w:tc>
          <w:tcPr>
            <w:tcW w:w="1100" w:type="dxa"/>
            <w:vAlign w:val="center"/>
          </w:tcPr>
          <w:p>
            <w:pPr>
              <w:spacing w:before="10" w:after="10"/>
              <w:jc w:val="center"/>
            </w:pPr>
            <w:r>
              <w:rPr>
                <w:sz w:val="20"/>
                <w:szCs w:val="20"/>
              </w:rPr>
              <w:t xml:space="preserve">67.92%</w:t>
            </w:r>
          </w:p>
        </w:tc>
        <w:tc>
          <w:tcPr>
            <w:tcW w:w="5800" w:type="dxa"/>
            <w:vAlign w:val="center"/>
          </w:tcPr>
          <w:p>
            <w:pPr>
              <w:spacing w:before="10" w:after="10"/>
              <w:jc w:val="left"/>
            </w:pPr>
            <w:r>
              <w:rPr>
                <w:sz w:val="20"/>
                <w:szCs w:val="20"/>
              </w:rPr>
              <w:t xml:space="preserve">Equation (2)</w:t>
            </w:r>
          </w:p>
        </w:tc>
      </w:tr>
      <w:tr>
        <w:trPr>
          <w:cantSplit/>
          <w:jc w:val="center"/>
        </w:trPr>
        <w:tc>
          <w:tcPr>
            <w:tcW w:w="1400" w:type="dxa"/>
            <w:vAlign w:val="center"/>
          </w:tcPr>
          <w:p>
            <w:pPr>
              <w:spacing w:before="10" w:after="10"/>
              <w:jc w:val="left"/>
            </w:pPr>
            <w:r>
              <w:rPr>
                <w:sz w:val="20"/>
                <w:szCs w:val="20"/>
              </w:rPr>
              <w:t xml:space="preserve">Recall</w:t>
            </w:r>
          </w:p>
        </w:tc>
        <w:tc>
          <w:tcPr>
            <w:tcW w:w="1100" w:type="dxa"/>
            <w:vAlign w:val="center"/>
          </w:tcPr>
          <w:p>
            <w:pPr>
              <w:spacing w:before="10" w:after="10"/>
              <w:jc w:val="center"/>
            </w:pPr>
            <w:r>
              <w:rPr>
                <w:sz w:val="20"/>
                <w:szCs w:val="20"/>
              </w:rPr>
              <w:t xml:space="preserve">97.30%</w:t>
            </w:r>
          </w:p>
        </w:tc>
        <w:tc>
          <w:tcPr>
            <w:tcW w:w="5800" w:type="dxa"/>
            <w:vAlign w:val="center"/>
          </w:tcPr>
          <w:p>
            <w:pPr>
              <w:spacing w:before="10" w:after="10"/>
              <w:jc w:val="left"/>
            </w:pPr>
            <w:r>
              <w:rPr>
                <w:sz w:val="20"/>
                <w:szCs w:val="20"/>
              </w:rPr>
              <w:t xml:space="preserve">Equation (3)</w:t>
            </w:r>
          </w:p>
        </w:tc>
      </w:tr>
      <w:tr>
        <w:trPr>
          <w:cantSplit/>
          <w:jc w:val="center"/>
        </w:trPr>
        <w:tc>
          <w:tcPr>
            <w:tcW w:w="1400" w:type="dxa"/>
            <w:tcBorders>
              <w:bottom w:val="single" w:sz="4" w:space="0" w:color="auto"/>
            </w:tcBorders>
            <w:vAlign w:val="center"/>
          </w:tcPr>
          <w:p>
            <w:pPr>
              <w:spacing w:before="10" w:after="10"/>
              <w:jc w:val="left"/>
            </w:pPr>
            <w:r>
              <w:rPr>
                <w:sz w:val="20"/>
                <w:szCs w:val="20"/>
              </w:rPr>
              <w:t xml:space="preserve">F1-score</w:t>
            </w:r>
          </w:p>
        </w:tc>
        <w:tc>
          <w:tcPr>
            <w:tcW w:w="1100" w:type="dxa"/>
            <w:tcBorders>
              <w:bottom w:val="single" w:sz="4" w:space="0" w:color="auto"/>
            </w:tcBorders>
            <w:vAlign w:val="center"/>
          </w:tcPr>
          <w:p>
            <w:pPr>
              <w:spacing w:before="10" w:after="10"/>
              <w:jc w:val="center"/>
            </w:pPr>
            <w:r>
              <w:rPr>
                <w:sz w:val="20"/>
                <w:szCs w:val="20"/>
              </w:rPr>
              <w:t xml:space="preserve">80.00%</w:t>
            </w:r>
          </w:p>
        </w:tc>
        <w:tc>
          <w:tcPr>
            <w:tcW w:w="5800" w:type="dxa"/>
            <w:tcBorders>
              <w:bottom w:val="single" w:sz="4" w:space="0" w:color="auto"/>
            </w:tcBorders>
            <w:vAlign w:val="center"/>
          </w:tcPr>
          <w:p>
            <w:pPr>
              <w:spacing w:before="10" w:after="10"/>
              <w:jc w:val="left"/>
            </w:pPr>
            <w:r>
              <w:rPr>
                <w:sz w:val="20"/>
                <w:szCs w:val="20"/>
              </w:rPr>
              <w:t xml:space="preserve">Equation (4)</w:t>
            </w:r>
          </w:p>
        </w:tc>
      </w:tr>
    </w:tbl>
    <w:p>
      <w:pPr>
        <w:spacing w:before="0" w:after="0" w:line="80" w:lineRule="exact"/>
      </w:pPr>
    </w:p>
    <w:p>
      <w:pPr>
        <w:ind w:firstLine="720"/>
        <w:jc w:val="both"/>
      </w:pPr>
      <w:r>
        <w:rPr>
          <w:sz w:val="22"/>
          <w:szCs w:val="22"/>
        </w:rPr>
        <w:t xml:space="preserve">We computed accuracy without true negatives, because object detection does not label empty regions. Manual recall reached 97.30%, so the model rarely missed a fish. Manual precision was only 67.92% due to 33 false positives on skipjack tuna. This value is lower than the 92.1% precision in Table 4. The difference comes from different calculation bases. Ultralytics computes its metrics from the precision-recall curve on validation data, while the manual calculation uses one operating point on test data. We suspect that the more varied color pattern and texture of skipjack tuna caused these errors.</w:t>
      </w:r>
    </w:p>
    <w:p>
      <w:pPr>
        <w:keepNext/>
        <w:spacing w:before="180" w:after="60"/>
        <w:ind w:left="426" w:hanging="426"/>
      </w:pPr>
      <w:r>
        <w:rPr>
          <w:b/>
          <w:bCs/>
          <w:sz w:val="22"/>
          <w:szCs w:val="22"/>
        </w:rPr>
        <w:t xml:space="preserve">3.3.	Application Implementation</w:t>
      </w:r>
    </w:p>
    <w:p>
      <w:pPr>
        <w:ind w:firstLine="720"/>
        <w:jc w:val="both"/>
      </w:pPr>
      <w:r>
        <w:rPr>
          <w:sz w:val="22"/>
          <w:szCs w:val="22"/>
        </w:rPr>
        <w:t xml:space="preserve">Figure 6 shows the main screens of Fish Scan. In upload mode, the app draws a green box and shows the species name. It detected a red mullet with 96.2% confidence (Figure 6a). The detail page shows the morphology and habitat of the species (Figure 6b). In real-time mode, the camera locked on a white snapper with 88.4% confidence (Figure 6c). A drink bottle received the Non Fish label at 51.7% confidence (Figure 6d). A cartoon fish illustration also received the Non Fish label at 56.0% confidence. These results show that the dual threshold rejects objects that only resemble the shape of a fish.</w:t>
      </w:r>
    </w:p>
    <w:tbl>
      <w:tblPr>
        <w:tblW w:w="8788" w:type="dxa"/>
        <w:jc w:val="center"/>
        <w:tblBorders>
          <w:top w:val="nil"/>
          <w:left w:val="nil"/>
          <w:bottom w:val="nil"/>
          <w:right w:val="nil"/>
          <w:insideH w:val="nil"/>
          <w:insideV w:val="nil"/>
        </w:tblBorders>
        <w:tblLayout w:type="fixed"/>
        <w:tblLook w:val="04A0"/>
      </w:tblPr>
      <w:tblGrid>
        <w:gridCol w:w="2197"/>
        <w:gridCol w:w="2197"/>
        <w:gridCol w:w="2197"/>
        <w:gridCol w:w="2197"/>
      </w:tblGrid>
      <w:tr>
        <w:trPr>
          <w:cantSplit/>
        </w:trPr>
        <w:tc>
          <w:tcPr>
            <w:tcW w:w="2197" w:type="dxa"/>
          </w:tcPr>
          <w:p>
            <w:pPr>
              <w:jc w:val="center"/>
            </w:pPr>
            <w:r>
              <w:drawing>
                <wp:inline xmlns:a="http://schemas.openxmlformats.org/drawingml/2006/main" xmlns:pic="http://schemas.openxmlformats.org/drawingml/2006/picture">
                  <wp:extent cx="1261872" cy="2799779"/>
                  <wp:docPr id="7" name="Picture 7"/>
                  <wp:cNvGraphicFramePr>
                    <a:graphicFrameLocks noChangeAspect="1"/>
                  </wp:cNvGraphicFramePr>
                  <a:graphic>
                    <a:graphicData uri="http://schemas.openxmlformats.org/drawingml/2006/picture">
                      <pic:pic>
                        <pic:nvPicPr>
                          <pic:cNvPr id="0" name="image22.png"/>
                          <pic:cNvPicPr/>
                        </pic:nvPicPr>
                        <pic:blipFill>
                          <a:blip r:embed="rId26"/>
                          <a:stretch>
                            <a:fillRect/>
                          </a:stretch>
                        </pic:blipFill>
                        <pic:spPr>
                          <a:xfrm>
                            <a:off x="0" y="0"/>
                            <a:ext cx="1261872" cy="2799779"/>
                          </a:xfrm>
                          <a:prstGeom prst="rect"/>
                        </pic:spPr>
                      </pic:pic>
                    </a:graphicData>
                  </a:graphic>
                </wp:inline>
              </w:drawing>
            </w:r>
          </w:p>
          <w:p>
            <w:pPr>
              <w:spacing w:before="40"/>
              <w:jc w:val="center"/>
            </w:pPr>
            <w:r>
              <w:rPr>
                <w:sz w:val="22"/>
                <w:szCs w:val="22"/>
              </w:rPr>
              <w:t xml:space="preserve">(a)</w:t>
            </w:r>
          </w:p>
        </w:tc>
        <w:tc>
          <w:tcPr>
            <w:tcW w:w="2197" w:type="dxa"/>
          </w:tcPr>
          <w:p>
            <w:pPr>
              <w:jc w:val="center"/>
            </w:pPr>
            <w:r>
              <w:drawing>
                <wp:inline xmlns:a="http://schemas.openxmlformats.org/drawingml/2006/main" xmlns:pic="http://schemas.openxmlformats.org/drawingml/2006/picture">
                  <wp:extent cx="1261872" cy="2802684"/>
                  <wp:docPr id="8" name="Picture 8"/>
                  <wp:cNvGraphicFramePr>
                    <a:graphicFrameLocks noChangeAspect="1"/>
                  </wp:cNvGraphicFramePr>
                  <a:graphic>
                    <a:graphicData uri="http://schemas.openxmlformats.org/drawingml/2006/picture">
                      <pic:pic>
                        <pic:nvPicPr>
                          <pic:cNvPr id="0" name="image23.png"/>
                          <pic:cNvPicPr/>
                        </pic:nvPicPr>
                        <pic:blipFill>
                          <a:blip r:embed="rId27"/>
                          <a:stretch>
                            <a:fillRect/>
                          </a:stretch>
                        </pic:blipFill>
                        <pic:spPr>
                          <a:xfrm>
                            <a:off x="0" y="0"/>
                            <a:ext cx="1261872" cy="2802684"/>
                          </a:xfrm>
                          <a:prstGeom prst="rect"/>
                        </pic:spPr>
                      </pic:pic>
                    </a:graphicData>
                  </a:graphic>
                </wp:inline>
              </w:drawing>
            </w:r>
          </w:p>
          <w:p>
            <w:pPr>
              <w:spacing w:before="40"/>
              <w:jc w:val="center"/>
            </w:pPr>
            <w:r>
              <w:rPr>
                <w:sz w:val="22"/>
                <w:szCs w:val="22"/>
              </w:rPr>
              <w:t xml:space="preserve">(b)</w:t>
            </w:r>
          </w:p>
        </w:tc>
        <w:tc>
          <w:tcPr>
            <w:tcW w:w="2197" w:type="dxa"/>
          </w:tcPr>
          <w:p>
            <w:pPr>
              <w:jc w:val="center"/>
            </w:pPr>
            <w:r>
              <w:drawing>
                <wp:inline xmlns:a="http://schemas.openxmlformats.org/drawingml/2006/main" xmlns:pic="http://schemas.openxmlformats.org/drawingml/2006/picture">
                  <wp:extent cx="1261872" cy="2801357"/>
                  <wp:docPr id="9" name="Picture 9"/>
                  <wp:cNvGraphicFramePr>
                    <a:graphicFrameLocks noChangeAspect="1"/>
                  </wp:cNvGraphicFramePr>
                  <a:graphic>
                    <a:graphicData uri="http://schemas.openxmlformats.org/drawingml/2006/picture">
                      <pic:pic>
                        <pic:nvPicPr>
                          <pic:cNvPr id="0" name="image25.jpeg"/>
                          <pic:cNvPicPr/>
                        </pic:nvPicPr>
                        <pic:blipFill>
                          <a:blip r:embed="rId28"/>
                          <a:stretch>
                            <a:fillRect/>
                          </a:stretch>
                        </pic:blipFill>
                        <pic:spPr>
                          <a:xfrm>
                            <a:off x="0" y="0"/>
                            <a:ext cx="1261872" cy="2801357"/>
                          </a:xfrm>
                          <a:prstGeom prst="rect"/>
                        </pic:spPr>
                      </pic:pic>
                    </a:graphicData>
                  </a:graphic>
                </wp:inline>
              </w:drawing>
            </w:r>
          </w:p>
          <w:p>
            <w:pPr>
              <w:spacing w:before="40"/>
              <w:jc w:val="center"/>
            </w:pPr>
            <w:r>
              <w:rPr>
                <w:sz w:val="22"/>
                <w:szCs w:val="22"/>
              </w:rPr>
              <w:t xml:space="preserve">(c)</w:t>
            </w:r>
          </w:p>
        </w:tc>
        <w:tc>
          <w:tcPr>
            <w:tcW w:w="2197" w:type="dxa"/>
          </w:tcPr>
          <w:p>
            <w:pPr>
              <w:jc w:val="center"/>
            </w:pPr>
            <w:r>
              <w:drawing>
                <wp:inline xmlns:a="http://schemas.openxmlformats.org/drawingml/2006/main" xmlns:pic="http://schemas.openxmlformats.org/drawingml/2006/picture">
                  <wp:extent cx="1261872" cy="2805583"/>
                  <wp:docPr id="10" name="Picture 10"/>
                  <wp:cNvGraphicFramePr>
                    <a:graphicFrameLocks noChangeAspect="1"/>
                  </wp:cNvGraphicFramePr>
                  <a:graphic>
                    <a:graphicData uri="http://schemas.openxmlformats.org/drawingml/2006/picture">
                      <pic:pic>
                        <pic:nvPicPr>
                          <pic:cNvPr id="0" name="image26.jpeg"/>
                          <pic:cNvPicPr/>
                        </pic:nvPicPr>
                        <pic:blipFill>
                          <a:blip r:embed="rId29"/>
                          <a:stretch>
                            <a:fillRect/>
                          </a:stretch>
                        </pic:blipFill>
                        <pic:spPr>
                          <a:xfrm>
                            <a:off x="0" y="0"/>
                            <a:ext cx="1261872" cy="2805583"/>
                          </a:xfrm>
                          <a:prstGeom prst="rect"/>
                        </pic:spPr>
                      </pic:pic>
                    </a:graphicData>
                  </a:graphic>
                </wp:inline>
              </w:drawing>
            </w:r>
          </w:p>
          <w:p>
            <w:pPr>
              <w:spacing w:before="40"/>
              <w:jc w:val="center"/>
            </w:pPr>
            <w:r>
              <w:rPr>
                <w:sz w:val="22"/>
                <w:szCs w:val="22"/>
              </w:rPr>
              <w:t xml:space="preserve">(d)</w:t>
            </w:r>
          </w:p>
        </w:tc>
      </w:tr>
    </w:tbl>
    <w:p>
      <w:pPr>
        <w:spacing w:before="60" w:after="200"/>
        <w:jc w:val="center"/>
      </w:pPr>
      <w:r>
        <w:rPr>
          <w:sz w:val="22"/>
          <w:szCs w:val="22"/>
        </w:rPr>
        <w:t xml:space="preserve">Figure 6. Fish Scan screens: (a) gallery upload result, (b) species detail, (c) real-time detection of white snapper, (d) Non Fish object</w:t>
      </w:r>
    </w:p>
    <w:p>
      <w:pPr>
        <w:keepNext/>
        <w:spacing w:before="180" w:after="60"/>
        <w:ind w:left="426" w:hanging="426"/>
      </w:pPr>
      <w:r>
        <w:rPr>
          <w:b/>
          <w:bCs/>
          <w:sz w:val="22"/>
          <w:szCs w:val="22"/>
        </w:rPr>
        <w:t xml:space="preserve">3.4.	Black-Box Testing</w:t>
      </w:r>
    </w:p>
    <w:p>
      <w:pPr>
        <w:ind w:firstLine="720"/>
        <w:jc w:val="both"/>
      </w:pPr>
      <w:r>
        <w:rPr>
          <w:sz w:val="22"/>
          <w:szCs w:val="22"/>
        </w:rPr>
        <w:t xml:space="preserve">We tested the app with the black-box method, using Equivalence Partitioning and Boundary Value Analysis. The tests ran on a Realme RMX3830 phone and an Android Emulator. Table 6 summarizes the results. All 21 test cases passed. Key cases covered camera permission denial, EXIF orientation correction, Non Fish relabeling between 0.40 and 0.65, automatic navigation after a stable 1.5-second detection, and history updates without an app restart.</w:t>
      </w:r>
    </w:p>
    <w:p>
      <w:pPr>
        <w:keepNext/>
        <w:spacing w:before="200" w:after="60"/>
        <w:jc w:val="center"/>
      </w:pPr>
      <w:r>
        <w:rPr>
          <w:sz w:val="22"/>
          <w:szCs w:val="22"/>
        </w:rPr>
        <w:t xml:space="preserve">Table 6. Black-box test summary</w:t>
      </w:r>
    </w:p>
    <w:tbl>
      <w:tblPr>
        <w:tblW w:w="7200" w:type="dxa"/>
        <w:jc w:val="center"/>
        <w:tblBorders>
          <w:top w:val="nil"/>
          <w:left w:val="nil"/>
          <w:bottom w:val="nil"/>
          <w:right w:val="nil"/>
          <w:insideH w:val="nil"/>
          <w:insideV w:val="nil"/>
        </w:tblBorders>
        <w:tblLayout w:type="fixed"/>
        <w:tblCellMar>
          <w:left w:w="80" w:type="dxa"/>
          <w:right w:w="80" w:type="dxa"/>
        </w:tblCellMar>
        <w:tblLook w:val="04A0"/>
      </w:tblPr>
      <w:tblGrid>
        <w:gridCol w:w="600"/>
        <w:gridCol w:w="4000"/>
        <w:gridCol w:w="1100"/>
        <w:gridCol w:w="1500"/>
      </w:tblGrid>
      <w:tr>
        <w:trPr>
          <w:tblHeader/>
          <w:cantSplit/>
          <w:jc w:val="center"/>
        </w:trPr>
        <w:tc>
          <w:tcPr>
            <w:tcW w:w="600" w:type="dxa"/>
            <w:tcBorders>
              <w:top w:val="single" w:sz="4" w:space="0" w:color="auto"/>
              <w:bottom w:val="single" w:sz="4" w:space="0" w:color="auto"/>
            </w:tcBorders>
            <w:vAlign w:val="center"/>
          </w:tcPr>
          <w:p>
            <w:pPr>
              <w:spacing w:before="10" w:after="10"/>
              <w:jc w:val="center"/>
            </w:pPr>
            <w:r>
              <w:rPr>
                <w:sz w:val="20"/>
                <w:szCs w:val="20"/>
              </w:rPr>
              <w:t xml:space="preserve">No</w:t>
            </w:r>
          </w:p>
        </w:tc>
        <w:tc>
          <w:tcPr>
            <w:tcW w:w="4000" w:type="dxa"/>
            <w:tcBorders>
              <w:top w:val="single" w:sz="4" w:space="0" w:color="auto"/>
              <w:bottom w:val="single" w:sz="4" w:space="0" w:color="auto"/>
            </w:tcBorders>
            <w:vAlign w:val="center"/>
          </w:tcPr>
          <w:p>
            <w:pPr>
              <w:spacing w:before="10" w:after="10"/>
              <w:jc w:val="center"/>
            </w:pPr>
            <w:r>
              <w:rPr>
                <w:sz w:val="20"/>
                <w:szCs w:val="20"/>
              </w:rPr>
              <w:t xml:space="preserve">Test module</w:t>
            </w:r>
          </w:p>
        </w:tc>
        <w:tc>
          <w:tcPr>
            <w:tcW w:w="1100" w:type="dxa"/>
            <w:tcBorders>
              <w:top w:val="single" w:sz="4" w:space="0" w:color="auto"/>
              <w:bottom w:val="single" w:sz="4" w:space="0" w:color="auto"/>
            </w:tcBorders>
            <w:vAlign w:val="center"/>
          </w:tcPr>
          <w:p>
            <w:pPr>
              <w:spacing w:before="10" w:after="10"/>
              <w:jc w:val="center"/>
            </w:pPr>
            <w:r>
              <w:rPr>
                <w:sz w:val="20"/>
                <w:szCs w:val="20"/>
              </w:rPr>
              <w:t xml:space="preserve">Cases</w:t>
            </w:r>
          </w:p>
        </w:tc>
        <w:tc>
          <w:tcPr>
            <w:tcW w:w="1500" w:type="dxa"/>
            <w:tcBorders>
              <w:top w:val="single" w:sz="4" w:space="0" w:color="auto"/>
              <w:bottom w:val="single" w:sz="4" w:space="0" w:color="auto"/>
            </w:tcBorders>
            <w:vAlign w:val="center"/>
          </w:tcPr>
          <w:p>
            <w:pPr>
              <w:spacing w:before="10" w:after="10"/>
              <w:jc w:val="center"/>
            </w:pPr>
            <w:r>
              <w:rPr>
                <w:sz w:val="20"/>
                <w:szCs w:val="20"/>
              </w:rPr>
              <w:t xml:space="preserve">Passed</w:t>
            </w:r>
          </w:p>
        </w:tc>
      </w:tr>
      <w:tr>
        <w:trPr>
          <w:cantSplit/>
          <w:jc w:val="center"/>
        </w:trPr>
        <w:tc>
          <w:tcPr>
            <w:tcW w:w="600" w:type="dxa"/>
            <w:vAlign w:val="center"/>
          </w:tcPr>
          <w:p>
            <w:pPr>
              <w:spacing w:before="10" w:after="10"/>
              <w:jc w:val="center"/>
            </w:pPr>
            <w:r>
              <w:rPr>
                <w:sz w:val="20"/>
                <w:szCs w:val="20"/>
              </w:rPr>
              <w:t xml:space="preserve">1</w:t>
            </w:r>
          </w:p>
        </w:tc>
        <w:tc>
          <w:tcPr>
            <w:tcW w:w="4000" w:type="dxa"/>
            <w:vAlign w:val="center"/>
          </w:tcPr>
          <w:p>
            <w:pPr>
              <w:spacing w:before="10" w:after="10"/>
              <w:jc w:val="left"/>
            </w:pPr>
            <w:r>
              <w:rPr>
                <w:sz w:val="20"/>
                <w:szCs w:val="20"/>
              </w:rPr>
              <w:t xml:space="preserve">Splash screen and main navigation</w:t>
            </w:r>
          </w:p>
        </w:tc>
        <w:tc>
          <w:tcPr>
            <w:tcW w:w="1100" w:type="dxa"/>
            <w:vAlign w:val="center"/>
          </w:tcPr>
          <w:p>
            <w:pPr>
              <w:spacing w:before="10" w:after="10"/>
              <w:jc w:val="center"/>
            </w:pPr>
            <w:r>
              <w:rPr>
                <w:sz w:val="20"/>
                <w:szCs w:val="20"/>
              </w:rPr>
              <w:t xml:space="preserve">2</w:t>
            </w:r>
          </w:p>
        </w:tc>
        <w:tc>
          <w:tcPr>
            <w:tcW w:w="1500" w:type="dxa"/>
            <w:vAlign w:val="center"/>
          </w:tcPr>
          <w:p>
            <w:pPr>
              <w:spacing w:before="10" w:after="10"/>
              <w:jc w:val="center"/>
            </w:pPr>
            <w:r>
              <w:rPr>
                <w:sz w:val="20"/>
                <w:szCs w:val="20"/>
              </w:rPr>
              <w:t xml:space="preserve">2</w:t>
            </w:r>
          </w:p>
        </w:tc>
      </w:tr>
      <w:tr>
        <w:trPr>
          <w:cantSplit/>
          <w:jc w:val="center"/>
        </w:trPr>
        <w:tc>
          <w:tcPr>
            <w:tcW w:w="600" w:type="dxa"/>
            <w:vAlign w:val="center"/>
          </w:tcPr>
          <w:p>
            <w:pPr>
              <w:spacing w:before="10" w:after="10"/>
              <w:jc w:val="center"/>
            </w:pPr>
            <w:r>
              <w:rPr>
                <w:sz w:val="20"/>
                <w:szCs w:val="20"/>
              </w:rPr>
              <w:t xml:space="preserve">2</w:t>
            </w:r>
          </w:p>
        </w:tc>
        <w:tc>
          <w:tcPr>
            <w:tcW w:w="4000" w:type="dxa"/>
            <w:vAlign w:val="center"/>
          </w:tcPr>
          <w:p>
            <w:pPr>
              <w:spacing w:before="10" w:after="10"/>
              <w:jc w:val="left"/>
            </w:pPr>
            <w:r>
              <w:rPr>
                <w:sz w:val="20"/>
                <w:szCs w:val="20"/>
              </w:rPr>
              <w:t xml:space="preserve">Upload detection (gallery and camera)</w:t>
            </w:r>
          </w:p>
        </w:tc>
        <w:tc>
          <w:tcPr>
            <w:tcW w:w="1100" w:type="dxa"/>
            <w:vAlign w:val="center"/>
          </w:tcPr>
          <w:p>
            <w:pPr>
              <w:spacing w:before="10" w:after="10"/>
              <w:jc w:val="center"/>
            </w:pPr>
            <w:r>
              <w:rPr>
                <w:sz w:val="20"/>
                <w:szCs w:val="20"/>
              </w:rPr>
              <w:t xml:space="preserve">7</w:t>
            </w:r>
          </w:p>
        </w:tc>
        <w:tc>
          <w:tcPr>
            <w:tcW w:w="1500" w:type="dxa"/>
            <w:vAlign w:val="center"/>
          </w:tcPr>
          <w:p>
            <w:pPr>
              <w:spacing w:before="10" w:after="10"/>
              <w:jc w:val="center"/>
            </w:pPr>
            <w:r>
              <w:rPr>
                <w:sz w:val="20"/>
                <w:szCs w:val="20"/>
              </w:rPr>
              <w:t xml:space="preserve">7</w:t>
            </w:r>
          </w:p>
        </w:tc>
      </w:tr>
      <w:tr>
        <w:trPr>
          <w:cantSplit/>
          <w:jc w:val="center"/>
        </w:trPr>
        <w:tc>
          <w:tcPr>
            <w:tcW w:w="600" w:type="dxa"/>
            <w:vAlign w:val="center"/>
          </w:tcPr>
          <w:p>
            <w:pPr>
              <w:spacing w:before="10" w:after="10"/>
              <w:jc w:val="center"/>
            </w:pPr>
            <w:r>
              <w:rPr>
                <w:sz w:val="20"/>
                <w:szCs w:val="20"/>
              </w:rPr>
              <w:t xml:space="preserve">3</w:t>
            </w:r>
          </w:p>
        </w:tc>
        <w:tc>
          <w:tcPr>
            <w:tcW w:w="4000" w:type="dxa"/>
            <w:vAlign w:val="center"/>
          </w:tcPr>
          <w:p>
            <w:pPr>
              <w:spacing w:before="10" w:after="10"/>
              <w:jc w:val="left"/>
            </w:pPr>
            <w:r>
              <w:rPr>
                <w:sz w:val="20"/>
                <w:szCs w:val="20"/>
              </w:rPr>
              <w:t xml:space="preserve">Real-time detection</w:t>
            </w:r>
          </w:p>
        </w:tc>
        <w:tc>
          <w:tcPr>
            <w:tcW w:w="1100" w:type="dxa"/>
            <w:vAlign w:val="center"/>
          </w:tcPr>
          <w:p>
            <w:pPr>
              <w:spacing w:before="10" w:after="10"/>
              <w:jc w:val="center"/>
            </w:pPr>
            <w:r>
              <w:rPr>
                <w:sz w:val="20"/>
                <w:szCs w:val="20"/>
              </w:rPr>
              <w:t xml:space="preserve">4</w:t>
            </w:r>
          </w:p>
        </w:tc>
        <w:tc>
          <w:tcPr>
            <w:tcW w:w="1500" w:type="dxa"/>
            <w:vAlign w:val="center"/>
          </w:tcPr>
          <w:p>
            <w:pPr>
              <w:spacing w:before="10" w:after="10"/>
              <w:jc w:val="center"/>
            </w:pPr>
            <w:r>
              <w:rPr>
                <w:sz w:val="20"/>
                <w:szCs w:val="20"/>
              </w:rPr>
              <w:t xml:space="preserve">4</w:t>
            </w:r>
          </w:p>
        </w:tc>
      </w:tr>
      <w:tr>
        <w:trPr>
          <w:cantSplit/>
          <w:jc w:val="center"/>
        </w:trPr>
        <w:tc>
          <w:tcPr>
            <w:tcW w:w="600" w:type="dxa"/>
            <w:vAlign w:val="center"/>
          </w:tcPr>
          <w:p>
            <w:pPr>
              <w:spacing w:before="10" w:after="10"/>
              <w:jc w:val="center"/>
            </w:pPr>
            <w:r>
              <w:rPr>
                <w:sz w:val="20"/>
                <w:szCs w:val="20"/>
              </w:rPr>
              <w:t xml:space="preserve">4</w:t>
            </w:r>
          </w:p>
        </w:tc>
        <w:tc>
          <w:tcPr>
            <w:tcW w:w="4000" w:type="dxa"/>
            <w:vAlign w:val="center"/>
          </w:tcPr>
          <w:p>
            <w:pPr>
              <w:spacing w:before="10" w:after="10"/>
              <w:jc w:val="left"/>
            </w:pPr>
            <w:r>
              <w:rPr>
                <w:sz w:val="20"/>
                <w:szCs w:val="20"/>
              </w:rPr>
              <w:t xml:space="preserve">Species detail and detection history</w:t>
            </w:r>
          </w:p>
        </w:tc>
        <w:tc>
          <w:tcPr>
            <w:tcW w:w="1100" w:type="dxa"/>
            <w:vAlign w:val="center"/>
          </w:tcPr>
          <w:p>
            <w:pPr>
              <w:spacing w:before="10" w:after="10"/>
              <w:jc w:val="center"/>
            </w:pPr>
            <w:r>
              <w:rPr>
                <w:sz w:val="20"/>
                <w:szCs w:val="20"/>
              </w:rPr>
              <w:t xml:space="preserve">5</w:t>
            </w:r>
          </w:p>
        </w:tc>
        <w:tc>
          <w:tcPr>
            <w:tcW w:w="1500" w:type="dxa"/>
            <w:vAlign w:val="center"/>
          </w:tcPr>
          <w:p>
            <w:pPr>
              <w:spacing w:before="10" w:after="10"/>
              <w:jc w:val="center"/>
            </w:pPr>
            <w:r>
              <w:rPr>
                <w:sz w:val="20"/>
                <w:szCs w:val="20"/>
              </w:rPr>
              <w:t xml:space="preserve">5</w:t>
            </w:r>
          </w:p>
        </w:tc>
      </w:tr>
      <w:tr>
        <w:trPr>
          <w:cantSplit/>
          <w:jc w:val="center"/>
        </w:trPr>
        <w:tc>
          <w:tcPr>
            <w:tcW w:w="600" w:type="dxa"/>
            <w:vAlign w:val="center"/>
          </w:tcPr>
          <w:p>
            <w:pPr>
              <w:spacing w:before="10" w:after="10"/>
              <w:jc w:val="center"/>
            </w:pPr>
            <w:r>
              <w:rPr>
                <w:sz w:val="20"/>
                <w:szCs w:val="20"/>
              </w:rPr>
              <w:t xml:space="preserve">5</w:t>
            </w:r>
          </w:p>
        </w:tc>
        <w:tc>
          <w:tcPr>
            <w:tcW w:w="4000" w:type="dxa"/>
            <w:vAlign w:val="center"/>
          </w:tcPr>
          <w:p>
            <w:pPr>
              <w:spacing w:before="10" w:after="10"/>
              <w:jc w:val="left"/>
            </w:pPr>
            <w:r>
              <w:rPr>
                <w:sz w:val="20"/>
                <w:szCs w:val="20"/>
              </w:rPr>
              <w:t xml:space="preserve">Settings (theme and language)</w:t>
            </w:r>
          </w:p>
        </w:tc>
        <w:tc>
          <w:tcPr>
            <w:tcW w:w="1100" w:type="dxa"/>
            <w:vAlign w:val="center"/>
          </w:tcPr>
          <w:p>
            <w:pPr>
              <w:spacing w:before="10" w:after="10"/>
              <w:jc w:val="center"/>
            </w:pPr>
            <w:r>
              <w:rPr>
                <w:sz w:val="20"/>
                <w:szCs w:val="20"/>
              </w:rPr>
              <w:t xml:space="preserve">3</w:t>
            </w:r>
          </w:p>
        </w:tc>
        <w:tc>
          <w:tcPr>
            <w:tcW w:w="1500" w:type="dxa"/>
            <w:vAlign w:val="center"/>
          </w:tcPr>
          <w:p>
            <w:pPr>
              <w:spacing w:before="10" w:after="10"/>
              <w:jc w:val="center"/>
            </w:pPr>
            <w:r>
              <w:rPr>
                <w:sz w:val="20"/>
                <w:szCs w:val="20"/>
              </w:rPr>
              <w:t xml:space="preserve">3</w:t>
            </w:r>
          </w:p>
        </w:tc>
      </w:tr>
      <w:tr>
        <w:trPr>
          <w:cantSplit/>
          <w:jc w:val="center"/>
        </w:trPr>
        <w:tc>
          <w:tcPr>
            <w:tcW w:w="600" w:type="dxa"/>
            <w:tcBorders>
              <w:bottom w:val="single" w:sz="4" w:space="0" w:color="auto"/>
            </w:tcBorders>
            <w:vAlign w:val="center"/>
          </w:tcPr>
          <w:p>
            <w:pPr>
              <w:spacing w:before="10" w:after="10"/>
              <w:jc w:val="center"/>
            </w:pPr>
          </w:p>
        </w:tc>
        <w:tc>
          <w:tcPr>
            <w:tcW w:w="4000" w:type="dxa"/>
            <w:tcBorders>
              <w:bottom w:val="single" w:sz="4" w:space="0" w:color="auto"/>
            </w:tcBorders>
            <w:vAlign w:val="center"/>
          </w:tcPr>
          <w:p>
            <w:pPr>
              <w:spacing w:before="10" w:after="10"/>
              <w:jc w:val="left"/>
            </w:pPr>
            <w:r>
              <w:rPr>
                <w:sz w:val="20"/>
                <w:szCs w:val="20"/>
                <w:b/>
              </w:rPr>
              <w:t xml:space="preserve">Total</w:t>
            </w:r>
          </w:p>
        </w:tc>
        <w:tc>
          <w:tcPr>
            <w:tcW w:w="1100" w:type="dxa"/>
            <w:tcBorders>
              <w:bottom w:val="single" w:sz="4" w:space="0" w:color="auto"/>
            </w:tcBorders>
            <w:vAlign w:val="center"/>
          </w:tcPr>
          <w:p>
            <w:pPr>
              <w:spacing w:before="10" w:after="10"/>
              <w:jc w:val="center"/>
            </w:pPr>
            <w:r>
              <w:rPr>
                <w:sz w:val="20"/>
                <w:szCs w:val="20"/>
                <w:b/>
              </w:rPr>
              <w:t xml:space="preserve">21</w:t>
            </w:r>
          </w:p>
        </w:tc>
        <w:tc>
          <w:tcPr>
            <w:tcW w:w="1500" w:type="dxa"/>
            <w:tcBorders>
              <w:bottom w:val="single" w:sz="4" w:space="0" w:color="auto"/>
            </w:tcBorders>
            <w:vAlign w:val="center"/>
          </w:tcPr>
          <w:p>
            <w:pPr>
              <w:spacing w:before="10" w:after="10"/>
              <w:jc w:val="center"/>
            </w:pPr>
            <w:r>
              <w:rPr>
                <w:sz w:val="20"/>
                <w:szCs w:val="20"/>
                <w:b/>
              </w:rPr>
              <w:t xml:space="preserve">21 (100%)</w:t>
            </w:r>
          </w:p>
        </w:tc>
      </w:tr>
    </w:tbl>
    <w:p>
      <w:pPr>
        <w:spacing w:before="0" w:after="0" w:line="80" w:lineRule="exact"/>
      </w:pPr>
    </w:p>
    <w:p>
      <w:pPr>
        <w:keepNext/>
        <w:spacing w:before="180" w:after="60"/>
        <w:ind w:left="426" w:hanging="426"/>
      </w:pPr>
      <w:r>
        <w:rPr>
          <w:b/>
          <w:bCs/>
          <w:sz w:val="22"/>
          <w:szCs w:val="22"/>
        </w:rPr>
        <w:t xml:space="preserve">3.5.	Discussion</w:t>
      </w:r>
    </w:p>
    <w:p>
      <w:pPr>
        <w:ind w:firstLine="720"/>
        <w:jc w:val="both"/>
      </w:pPr>
      <w:r>
        <w:rPr>
          <w:sz w:val="22"/>
          <w:szCs w:val="22"/>
        </w:rPr>
        <w:t xml:space="preserve">Our 93.1% mAP50 sits below the 98.2% that Prameswari </w:t>
      </w:r>
      <w:r>
        <w:rPr>
          <w:sz w:val="22"/>
          <w:szCs w:val="22"/>
          <w:i/>
        </w:rPr>
        <w:t xml:space="preserve">et al.</w:t>
      </w:r>
      <w:r>
        <w:rPr>
          <w:sz w:val="22"/>
          <w:szCs w:val="22"/>
        </w:rPr>
        <w:t xml:space="preserve"> reported with 2,000 images of four species [10]. It sits above the 87.9% mAP50 of YOLOv8-TF on underwater reef fish [14]. The datasets differ, so these figures mark a range rather than a direct ranking. Our dataset is smaller and comes from field photos. Unlike the server-based sorting systems [8], [9], Fish Scan keeps working without a cellular signal on the coast or at sea. The dual threshold also adds a filter without retraining the model.</w:t>
      </w:r>
    </w:p>
    <w:p>
      <w:pPr>
        <w:ind w:firstLine="720"/>
        <w:jc w:val="both"/>
      </w:pPr>
      <w:r>
        <w:rPr>
          <w:sz w:val="22"/>
          <w:szCs w:val="22"/>
        </w:rPr>
        <w:t xml:space="preserve">This study has limits. We did not measure inference speed (FPS), memory use, or battery drain in numbers. We did not test the model under extreme light, such as night or direct sun. Fishers have not yet joined a user acceptance test.</w:t>
      </w:r>
    </w:p>
    <w:p>
      <w:pPr>
        <w:keepNext/>
        <w:spacing w:before="240" w:after="60"/>
        <w:numPr>
          <w:ilvl w:val="0"/>
          <w:numId w:val="15"/>
        </w:numPr>
        <w:tabs>
          <w:tab w:val="left" w:pos="426"/>
        </w:tabs>
        <w:ind w:left="426" w:hanging="426"/>
        <w:rPr>
          <w:b/>
          <w:bCs/>
          <w:sz w:val="22"/>
          <w:szCs w:val="22"/>
          <w:lang w:val="id-ID"/>
        </w:rPr>
      </w:pPr>
      <w:r>
        <w:rPr>
          <w:b/>
          <w:bCs/>
          <w:sz w:val="22"/>
          <w:szCs w:val="22"/>
        </w:rPr>
        <w:t xml:space="preserve">CONCLUSION</w:t>
      </w:r>
    </w:p>
    <w:p>
      <w:pPr>
        <w:ind w:firstLine="720"/>
        <w:jc w:val="both"/>
      </w:pPr>
      <w:r>
        <w:rPr>
          <w:sz w:val="22"/>
          <w:szCs w:val="22"/>
        </w:rPr>
        <w:t xml:space="preserve">This study ran YOLOv8s in TensorFlow Lite format inside the Fish Scan Android app. The app recognized six species caught by Lhokseumawe fishers without an internet connection. On validation data, the model reached 92.1% precision, 95.5% recall, 93.8% F1-score, 93.1% mAP50, and 86.3% mAP50-95. The 0.40 and 0.65 thresholds consistently separated dropped detections, Non Fish labels, and species labels. All 21 black-box test cases passed, and the local detection history supported catch recording. The skipjack tuna class still produced many false positives on the test set. Future work should add skipjack tuna images, test the model under extreme light, measure device performance in numbers, apply model quantization, and run an acceptance test with fishers.</w:t>
      </w:r>
    </w:p>
    <w:p>
      <w:pPr>
        <w:keepNext/>
        <w:spacing w:before="240" w:after="60"/>
      </w:pPr>
      <w:r>
        <w:rPr>
          <w:b/>
          <w:bCs/>
          <w:sz w:val="22"/>
          <w:szCs w:val="22"/>
        </w:rPr>
        <w:t xml:space="preserve">REFERENCES</w:t>
      </w:r>
    </w:p>
    <w:p>
      <w:pPr>
        <w:widowControl w:val="0"/>
        <w:spacing w:after="40"/>
        <w:ind w:left="640" w:hanging="640"/>
        <w:jc w:val="both"/>
      </w:pPr>
      <w:r>
        <w:rPr>
          <w:sz w:val="18"/>
          <w:szCs w:val="18"/>
        </w:rPr>
        <w:t xml:space="preserve">[1]	D. P. Yuwandana, E. Arifianto, S. H. Wisudo, J. E. Astarini, and D. Komarudin, “Conceptual design of the database system for small-scale fishers based on Android applications,” 2022.</w:t>
      </w:r>
    </w:p>
    <w:p>
      <w:pPr>
        <w:widowControl w:val="0"/>
        <w:spacing w:after="40"/>
        <w:ind w:left="640" w:hanging="640"/>
        <w:jc w:val="both"/>
      </w:pPr>
      <w:r>
        <w:rPr>
          <w:sz w:val="18"/>
          <w:szCs w:val="18"/>
        </w:rPr>
        <w:t xml:space="preserve">[2]	D. P. Yuwandana, E. Arifianto, S. H. Wisudo, J. E. Astarini, and D. Komarudin, “Desain konseptual sistem basis data untuk pendataan hasil tangkapan nelayan skala kecil berbasis Android,” 2023.</w:t>
      </w:r>
    </w:p>
    <w:p>
      <w:pPr>
        <w:widowControl w:val="0"/>
        <w:spacing w:after="40"/>
        <w:ind w:left="640" w:hanging="640"/>
        <w:jc w:val="both"/>
      </w:pPr>
      <w:r>
        <w:rPr>
          <w:sz w:val="18"/>
          <w:szCs w:val="18"/>
        </w:rPr>
        <w:t xml:space="preserve">[3]	L. Hakim, C. Al Kharraz, A. R. Maulida, S. P. Kristanto, D. H. Kusuma, and I. P. S. Mecha, “Pemanfaatan aplikasi NelayanKita untuk mendukung digitalisasi pengelolaan data nelayan di Kecamatan Muncar Banyuwangi,” </w:t>
      </w:r>
      <w:r>
        <w:rPr>
          <w:sz w:val="18"/>
          <w:szCs w:val="18"/>
          <w:i/>
        </w:rPr>
        <w:t xml:space="preserve">Archive: Jurnal Pengabdian Kepada Masyarakat</w:t>
      </w:r>
      <w:r>
        <w:rPr>
          <w:sz w:val="18"/>
          <w:szCs w:val="18"/>
        </w:rPr>
        <w:t xml:space="preserve">, vol. 2, no. 1, pp. 98-113, Dec. 2022, doi: 10.55506/arch.v2i1.53.</w:t>
      </w:r>
    </w:p>
    <w:p>
      <w:pPr>
        <w:widowControl w:val="0"/>
        <w:spacing w:after="40"/>
        <w:ind w:left="640" w:hanging="640"/>
        <w:jc w:val="both"/>
      </w:pPr>
      <w:r>
        <w:rPr>
          <w:sz w:val="18"/>
          <w:szCs w:val="18"/>
        </w:rPr>
        <w:t xml:space="preserve">[4]	N. Rachmat and A. Mahendra, “Klasifikasi jenis ikan laut menggunakan metode SVM dengan fitur HOG dan HSV,” vol. 8, no. 4, 2021. [Online]. Available: http://jurnal.mdp.ac.id</w:t>
      </w:r>
    </w:p>
    <w:p>
      <w:pPr>
        <w:widowControl w:val="0"/>
        <w:spacing w:after="40"/>
        <w:ind w:left="640" w:hanging="640"/>
        <w:jc w:val="both"/>
      </w:pPr>
      <w:r>
        <w:rPr>
          <w:sz w:val="18"/>
          <w:szCs w:val="18"/>
        </w:rPr>
        <w:t xml:space="preserve">[5]	C. Y. Jerandu, P. Batarius, and A. A. J. Sinlae, “Identifikasi kualitas kesegaran ikan menggunakan algoritma K-Nearest Neighbor berdasarkan ekstraksi ciri warna Hue, Saturation, dan Value (HSV),” </w:t>
      </w:r>
      <w:r>
        <w:rPr>
          <w:sz w:val="18"/>
          <w:szCs w:val="18"/>
          <w:i/>
        </w:rPr>
        <w:t xml:space="preserve">Building of Informatics, Technology and Science (BITS)</w:t>
      </w:r>
      <w:r>
        <w:rPr>
          <w:sz w:val="18"/>
          <w:szCs w:val="18"/>
        </w:rPr>
        <w:t xml:space="preserve">, vol. 4, no. 3, Dec. 2022, doi: 10.47065/bits.v4i3.2613.</w:t>
      </w:r>
    </w:p>
    <w:p>
      <w:pPr>
        <w:widowControl w:val="0"/>
        <w:spacing w:after="40"/>
        <w:ind w:left="640" w:hanging="640"/>
        <w:jc w:val="both"/>
      </w:pPr>
      <w:r>
        <w:rPr>
          <w:sz w:val="18"/>
          <w:szCs w:val="18"/>
        </w:rPr>
        <w:t xml:space="preserve">[6]	J. Justam, M. N. Takbir, S. M. Umar, E. Erlita, and R. O. Lewa, “Sistem identifikasi kesegaran ikan berbasis Android menggunakan Convolutional Neural Network (CNN),” </w:t>
      </w:r>
      <w:r>
        <w:rPr>
          <w:sz w:val="18"/>
          <w:szCs w:val="18"/>
          <w:i/>
        </w:rPr>
        <w:t xml:space="preserve">Jurnal Ilmiah Sistem Informasi dan Teknik Informatika (JISTI)</w:t>
      </w:r>
      <w:r>
        <w:rPr>
          <w:sz w:val="18"/>
          <w:szCs w:val="18"/>
        </w:rPr>
        <w:t xml:space="preserve">, vol. 7, no. 2, pp. 340-350, Oct. 2024, doi: 10.57093/jisti.v7i2.271.</w:t>
      </w:r>
    </w:p>
    <w:p>
      <w:pPr>
        <w:widowControl w:val="0"/>
        <w:spacing w:after="40"/>
        <w:ind w:left="640" w:hanging="640"/>
        <w:jc w:val="both"/>
      </w:pPr>
      <w:r>
        <w:rPr>
          <w:sz w:val="18"/>
          <w:szCs w:val="18"/>
        </w:rPr>
        <w:t xml:space="preserve">[7]	G. Ashari Rakhmat and M. Fikri Haekal, “Peningkatan performa MobileNetV3 dengan Squeeze-and-Excitation (studi kasus klasifikasi kesegaran ikan berdasarkan mata ikan),” </w:t>
      </w:r>
      <w:r>
        <w:rPr>
          <w:sz w:val="18"/>
          <w:szCs w:val="18"/>
          <w:i/>
        </w:rPr>
        <w:t xml:space="preserve">MIND Journal</w:t>
      </w:r>
      <w:r>
        <w:rPr>
          <w:sz w:val="18"/>
          <w:szCs w:val="18"/>
        </w:rPr>
        <w:t xml:space="preserve">, vol. 8, no. 1, pp. 27-41, 2023, doi: 10.26760/mindjournal.v8i1.27-41.</w:t>
      </w:r>
    </w:p>
    <w:p>
      <w:pPr>
        <w:widowControl w:val="0"/>
        <w:spacing w:after="40"/>
        <w:ind w:left="640" w:hanging="640"/>
        <w:jc w:val="both"/>
      </w:pPr>
      <w:r>
        <w:rPr>
          <w:sz w:val="18"/>
          <w:szCs w:val="18"/>
        </w:rPr>
        <w:t xml:space="preserve">[8]	A. Kuswantori, T. Suesut, W. Tangsrirat, G. Schleining, and N. Nunak, “Fish detection and classification for automatic sorting system with an optimized YOLO algorithm,” </w:t>
      </w:r>
      <w:r>
        <w:rPr>
          <w:sz w:val="18"/>
          <w:szCs w:val="18"/>
          <w:i/>
        </w:rPr>
        <w:t xml:space="preserve">Applied Sciences</w:t>
      </w:r>
      <w:r>
        <w:rPr>
          <w:sz w:val="18"/>
          <w:szCs w:val="18"/>
        </w:rPr>
        <w:t xml:space="preserve">, vol. 13, no. 6, Art. no. 3812, Mar. 2023, doi: 10.3390/app13063812.</w:t>
      </w:r>
    </w:p>
    <w:p>
      <w:pPr>
        <w:widowControl w:val="0"/>
        <w:spacing w:after="40"/>
        <w:ind w:left="640" w:hanging="640"/>
        <w:jc w:val="both"/>
      </w:pPr>
      <w:r>
        <w:rPr>
          <w:sz w:val="18"/>
          <w:szCs w:val="18"/>
        </w:rPr>
        <w:t xml:space="preserve">[9]	A. Kuswantori and D. J. Suroso, “Fish detection and classification using YOLOv8 for automated sorting systems,” </w:t>
      </w:r>
      <w:r>
        <w:rPr>
          <w:sz w:val="18"/>
          <w:szCs w:val="18"/>
          <w:i/>
        </w:rPr>
        <w:t xml:space="preserve">Indonesian Journal of Artificial Intelligence and Data Mining</w:t>
      </w:r>
      <w:r>
        <w:rPr>
          <w:sz w:val="18"/>
          <w:szCs w:val="18"/>
        </w:rPr>
        <w:t xml:space="preserve">, vol. 7, no. 2, p. 447, Jul. 2024, doi: 10.24014/ijaidm.v7i2.30967.</w:t>
      </w:r>
    </w:p>
    <w:p>
      <w:pPr>
        <w:widowControl w:val="0"/>
        <w:spacing w:after="40"/>
        <w:ind w:left="640" w:hanging="640"/>
        <w:jc w:val="both"/>
      </w:pPr>
      <w:r>
        <w:rPr>
          <w:sz w:val="18"/>
          <w:szCs w:val="18"/>
        </w:rPr>
        <w:t xml:space="preserve">[10]	F. Prameswari, H. Octafiani, and T. Haryanto, “You Only Look Once (YOLOv8) for fish species detection,” in </w:t>
      </w:r>
      <w:r>
        <w:rPr>
          <w:sz w:val="18"/>
          <w:szCs w:val="18"/>
          <w:i/>
        </w:rPr>
        <w:t xml:space="preserve">IOP Conf. Ser.: Earth Environ. Sci.</w:t>
      </w:r>
      <w:r>
        <w:rPr>
          <w:sz w:val="18"/>
          <w:szCs w:val="18"/>
        </w:rPr>
        <w:t xml:space="preserve">, vol. 1359, no. 1, 2024, doi: 10.1088/1755-1315/1359/1/012023.</w:t>
      </w:r>
    </w:p>
    <w:p>
      <w:pPr>
        <w:widowControl w:val="0"/>
        <w:spacing w:after="40"/>
        <w:ind w:left="640" w:hanging="640"/>
        <w:jc w:val="both"/>
      </w:pPr>
      <w:r>
        <w:rPr>
          <w:sz w:val="18"/>
          <w:szCs w:val="18"/>
        </w:rPr>
        <w:t xml:space="preserve">[11]	X. Wang, “Freshwater fish detection based on the YOLOv8 model,” </w:t>
      </w:r>
      <w:r>
        <w:rPr>
          <w:sz w:val="18"/>
          <w:szCs w:val="18"/>
          <w:i/>
        </w:rPr>
        <w:t xml:space="preserve">International Journal of Computer Science and Information Technology</w:t>
      </w:r>
      <w:r>
        <w:rPr>
          <w:sz w:val="18"/>
          <w:szCs w:val="18"/>
        </w:rPr>
        <w:t xml:space="preserve">, vol. 5, no. 3, pp. 138-145, Apr. 2025, doi: 10.62051/ijcsit.v5n3.13.</w:t>
      </w:r>
    </w:p>
    <w:p>
      <w:pPr>
        <w:widowControl w:val="0"/>
        <w:spacing w:after="40"/>
        <w:ind w:left="640" w:hanging="640"/>
        <w:jc w:val="both"/>
      </w:pPr>
      <w:r>
        <w:rPr>
          <w:sz w:val="18"/>
          <w:szCs w:val="18"/>
        </w:rPr>
        <w:t xml:space="preserve">[12]	D. Hindarto, “Exploring YOLOv8 pretrain for real-time detection of Indonesian native fish species,” </w:t>
      </w:r>
      <w:r>
        <w:rPr>
          <w:sz w:val="18"/>
          <w:szCs w:val="18"/>
          <w:i/>
        </w:rPr>
        <w:t xml:space="preserve">Sinkron: Jurnal dan Penelitian Teknik Informatika</w:t>
      </w:r>
      <w:r>
        <w:rPr>
          <w:sz w:val="18"/>
          <w:szCs w:val="18"/>
        </w:rPr>
        <w:t xml:space="preserve">, vol. 8, no. 4, Oct. 2023, doi: 10.33395/sinkron.v8i4.13100.</w:t>
      </w:r>
    </w:p>
    <w:p>
      <w:pPr>
        <w:widowControl w:val="0"/>
        <w:spacing w:after="40"/>
        <w:ind w:left="640" w:hanging="640"/>
        <w:jc w:val="both"/>
      </w:pPr>
      <w:r>
        <w:rPr>
          <w:sz w:val="18"/>
          <w:szCs w:val="18"/>
        </w:rPr>
        <w:t xml:space="preserve">[13]	D. A. Saputra, I. Istiadi, and A. Y. Rahman, “Deteksi kesegaran ikan layur berdasarkan citra mata menggunakan YOLOv8,” </w:t>
      </w:r>
      <w:r>
        <w:rPr>
          <w:sz w:val="18"/>
          <w:szCs w:val="18"/>
          <w:i/>
        </w:rPr>
        <w:t xml:space="preserve">JATI (Jurnal Mahasiswa Teknik Informatika)</w:t>
      </w:r>
      <w:r>
        <w:rPr>
          <w:sz w:val="18"/>
          <w:szCs w:val="18"/>
        </w:rPr>
        <w:t xml:space="preserve">, vol. 8, no. 5, Oct. 2024.</w:t>
      </w:r>
    </w:p>
    <w:p>
      <w:pPr>
        <w:widowControl w:val="0"/>
        <w:spacing w:after="40"/>
        <w:ind w:left="640" w:hanging="640"/>
        <w:jc w:val="both"/>
      </w:pPr>
      <w:r>
        <w:rPr>
          <w:sz w:val="18"/>
          <w:szCs w:val="18"/>
        </w:rPr>
        <w:t xml:space="preserve">[14]	C. Shah, M. M. Nabi, S. Y. Alaba, I. A. Ebu, J. Prior, M. D. Campbell, R. Caillouet, M. D. Grossi, T. Rowell, F. Wallace, J. E. Ball, and R. Moorhead, “YOLOv8-TF: Transformer-enhanced YOLOv8 for underwater fish species recognition with class imbalance handling,” </w:t>
      </w:r>
      <w:r>
        <w:rPr>
          <w:sz w:val="18"/>
          <w:szCs w:val="18"/>
          <w:i/>
        </w:rPr>
        <w:t xml:space="preserve">Sensors</w:t>
      </w:r>
      <w:r>
        <w:rPr>
          <w:sz w:val="18"/>
          <w:szCs w:val="18"/>
        </w:rPr>
        <w:t xml:space="preserve">, vol. 25, no. 6, Art. no. 1846, 2025, doi: 10.3390/s25061846.</w:t>
      </w:r>
    </w:p>
    <w:p>
      <w:pPr>
        <w:widowControl w:val="0"/>
        <w:spacing w:after="40"/>
        <w:ind w:left="640" w:hanging="640"/>
        <w:jc w:val="both"/>
      </w:pPr>
      <w:r>
        <w:rPr>
          <w:sz w:val="18"/>
          <w:szCs w:val="18"/>
        </w:rPr>
        <w:t xml:space="preserve">[15]	M. Makmun Effendi, A. Turmudi, and A. Arwan, “Design of mask detection application using TensorFlow Lite based on Android mobile,” </w:t>
      </w:r>
      <w:r>
        <w:rPr>
          <w:sz w:val="18"/>
          <w:szCs w:val="18"/>
          <w:i/>
        </w:rPr>
        <w:t xml:space="preserve">Architecture and High Performance Computing</w:t>
      </w:r>
      <w:r>
        <w:rPr>
          <w:sz w:val="18"/>
          <w:szCs w:val="18"/>
        </w:rPr>
        <w:t xml:space="preserve">, vol. 6, no. 3, 2024, doi: 10.47709/cnapc.v6i3.4329.</w:t>
      </w:r>
    </w:p>
    <w:p>
      <w:pPr>
        <w:widowControl w:val="0"/>
        <w:spacing w:after="40"/>
        <w:ind w:left="640" w:hanging="640"/>
        <w:jc w:val="both"/>
      </w:pPr>
      <w:r>
        <w:rPr>
          <w:sz w:val="18"/>
          <w:szCs w:val="18"/>
        </w:rPr>
        <w:t xml:space="preserve">[16]	A. Pratama, D. Yulisda, and R. Rafika, “Information system for searching nearest shrimp pond raw materials using Android-based Haversine algorithm case study Lhokseumawe,” </w:t>
      </w:r>
      <w:r>
        <w:rPr>
          <w:sz w:val="18"/>
          <w:szCs w:val="18"/>
          <w:i/>
        </w:rPr>
        <w:t xml:space="preserve">Jurnal Tika</w:t>
      </w:r>
      <w:r>
        <w:rPr>
          <w:sz w:val="18"/>
          <w:szCs w:val="18"/>
        </w:rPr>
        <w:t xml:space="preserve">, vol. 7, no. 3, pp. 256-264, 2022, doi: 10.51179/tika.v7i3.1572.</w:t>
      </w:r>
    </w:p>
    <w:p>
      <w:pPr>
        <w:widowControl w:val="0"/>
        <w:spacing w:after="40"/>
        <w:ind w:left="640" w:hanging="640"/>
        <w:jc w:val="both"/>
      </w:pPr>
      <w:r>
        <w:rPr>
          <w:sz w:val="18"/>
          <w:szCs w:val="18"/>
        </w:rPr>
        <w:t xml:space="preserve">[17]	R. Varghese and S. M., “YOLOv8: A novel object detection algorithm with enhanced performance and robustness,” IEEE, 2024.</w:t>
      </w:r>
    </w:p>
    <w:p>
      <w:pPr>
        <w:widowControl w:val="0"/>
        <w:spacing w:after="40"/>
        <w:ind w:left="640" w:hanging="640"/>
        <w:jc w:val="both"/>
      </w:pPr>
      <w:r>
        <w:rPr>
          <w:sz w:val="18"/>
          <w:szCs w:val="18"/>
        </w:rPr>
        <w:t xml:space="preserve">[18]	M. U. Nasution, L. S. Harahap, and F. Syakbani, “Tinjauan metode pengolahan citra digital untuk deteksi objek otomatis,” </w:t>
      </w:r>
      <w:r>
        <w:rPr>
          <w:sz w:val="18"/>
          <w:szCs w:val="18"/>
          <w:i/>
        </w:rPr>
        <w:t xml:space="preserve">Jurnal Informatika dan Teknik Elektro Terapan</w:t>
      </w:r>
      <w:r>
        <w:rPr>
          <w:sz w:val="18"/>
          <w:szCs w:val="18"/>
        </w:rPr>
        <w:t xml:space="preserve">, vol. 13, no. 3, Jul. 2025, doi: 10.23960/jitet.v13i3.7135.</w:t>
      </w:r>
    </w:p>
    <w:p>
      <w:pPr>
        <w:widowControl w:val="0"/>
        <w:spacing w:after="40"/>
        <w:ind w:left="640" w:hanging="640"/>
        <w:jc w:val="both"/>
      </w:pPr>
      <w:r>
        <w:rPr>
          <w:sz w:val="18"/>
          <w:szCs w:val="18"/>
        </w:rPr>
        <w:t xml:space="preserve">[19]	L. Kurniawati, D. Priyanto, N. S. Ningsih, M. Syahrir, and R. Rismayati, “Perbandingan metode berbasis decision tree dalam deteksi penyakit paru-paru,” </w:t>
      </w:r>
      <w:r>
        <w:rPr>
          <w:sz w:val="18"/>
          <w:szCs w:val="18"/>
          <w:i/>
        </w:rPr>
        <w:t xml:space="preserve">Jurnal Bumigora Information Technology (BITe)</w:t>
      </w:r>
      <w:r>
        <w:rPr>
          <w:sz w:val="18"/>
          <w:szCs w:val="18"/>
        </w:rPr>
        <w:t xml:space="preserve">, vol. 7, no. 1, pp. 51-62, Jun. 2025, doi: 10.30812/bite.v7i1.4909.</w:t>
      </w:r>
    </w:p>
    <w:p>
      <w:pPr>
        <w:widowControl w:val="0"/>
        <w:spacing w:after="40"/>
        <w:ind w:left="640" w:hanging="640"/>
        <w:jc w:val="both"/>
      </w:pPr>
      <w:r>
        <w:rPr>
          <w:sz w:val="18"/>
          <w:szCs w:val="18"/>
        </w:rPr>
        <w:t xml:space="preserve">[20]	A. Rahman, V. Ilhadi, and I. Yurni, “Analysis of student satisfaction feasibility evaluation in learning materials with the K-Nearest Neighbor model,” </w:t>
      </w:r>
      <w:r>
        <w:rPr>
          <w:sz w:val="18"/>
          <w:szCs w:val="18"/>
          <w:i/>
        </w:rPr>
        <w:t xml:space="preserve">Jurnal Tika</w:t>
      </w:r>
      <w:r>
        <w:rPr>
          <w:sz w:val="18"/>
          <w:szCs w:val="18"/>
        </w:rPr>
        <w:t xml:space="preserve">, vol. 9, no. 1, pp. 68-92, 2024, doi: 10.51179/tika.v9i1.2746.</w:t>
      </w:r>
    </w:p>
    <w:p>
      <w:pPr>
        <w:widowControl w:val="0"/>
        <w:spacing w:after="40"/>
        <w:ind w:left="640" w:hanging="640"/>
        <w:jc w:val="both"/>
      </w:pPr>
      <w:r>
        <w:rPr>
          <w:sz w:val="18"/>
          <w:szCs w:val="18"/>
        </w:rPr>
        <w:t xml:space="preserve">[21]	E. Johnson and G. Wang, “Flutter framework mobile application development of gamified automotive reseller team management,” 2023. [Online]. Available: http://ejournal.seaninstitute.or.id/index.php/InfoSains</w:t>
      </w:r>
    </w:p>
    <w:p>
      <w:pPr>
        <w:widowControl w:val="0"/>
        <w:spacing w:after="40"/>
        <w:ind w:left="640" w:hanging="640"/>
        <w:jc w:val="both"/>
      </w:pPr>
      <w:r>
        <w:rPr>
          <w:sz w:val="18"/>
          <w:szCs w:val="18"/>
        </w:rPr>
        <w:t xml:space="preserve">[22]	A. Md Sattar, P. Soni, M. Kr Ranjan, A. Kumar, C. Sahu, S. Saxena, and P. Chaudhari, “Open source developments accelerating cross-platform development with Flutter framework,” 2023, doi: 10.37591/JoOSD.</w:t>
      </w:r>
    </w:p>
    <w:sectPr w:rsidR="00E418D9" w:rsidRPr="00E418D9" w:rsidSect="00443AAA">
      <w:headerReference w:type="even" r:id="rId12"/>
      <w:headerReference w:type="default" r:id="rId13"/>
      <w:footerReference w:type="even" r:id="rId14"/>
      <w:footerReference w:type="default" r:id="rId15"/>
      <w:headerReference w:type="first" r:id="rId16"/>
      <w:footerReference w:type="first" r:id="rId17"/>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8525A" w14:textId="77777777" w:rsidR="00626977" w:rsidRDefault="00626977">
      <w:r>
        <w:separator/>
      </w:r>
    </w:p>
  </w:endnote>
  <w:endnote w:type="continuationSeparator" w:id="0">
    <w:p w14:paraId="60883CBF" w14:textId="77777777" w:rsidR="00626977" w:rsidRDefault="00626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roman"/>
    <w:pitch w:val="variable"/>
    <w:sig w:usb0="00002003" w:usb1="80000000" w:usb2="00000008" w:usb3="00000000" w:csb0="00000041"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FDDF0" w14:textId="53A244C9" w:rsidR="00097958" w:rsidRPr="006B2305" w:rsidRDefault="0006550F" w:rsidP="00C07BEF">
    <w:pPr>
      <w:pStyle w:val="Header"/>
      <w:tabs>
        <w:tab w:val="clear" w:pos="4320"/>
        <w:tab w:val="clear" w:pos="8640"/>
        <w:tab w:val="left" w:pos="2992"/>
      </w:tabs>
      <w:spacing w:before="240"/>
      <w:rPr>
        <w:i/>
      </w:rPr>
    </w:pPr>
    <w:r w:rsidRPr="006B2305">
      <w:rPr>
        <w:i/>
        <w:noProof/>
      </w:rPr>
      <mc:AlternateContent>
        <mc:Choice Requires="wps">
          <w:drawing>
            <wp:anchor distT="0" distB="0" distL="114300" distR="114300" simplePos="0" relativeHeight="251611648" behindDoc="0" locked="0" layoutInCell="1" allowOverlap="1" wp14:anchorId="459A19C8" wp14:editId="43DBEB3E">
              <wp:simplePos x="0" y="0"/>
              <wp:positionH relativeFrom="column">
                <wp:posOffset>-12065</wp:posOffset>
              </wp:positionH>
              <wp:positionV relativeFrom="paragraph">
                <wp:posOffset>145415</wp:posOffset>
              </wp:positionV>
              <wp:extent cx="5580380" cy="0"/>
              <wp:effectExtent l="6985" t="12065" r="13335"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0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66F13" id="Line 3" o:spid="_x0000_s1026" style="position:absolute;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1.45pt" to="438.4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Wys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"/>
          </w:pict>
        </mc:Fallback>
      </mc:AlternateContent>
    </w:r>
    <w:r w:rsidR="00790580" w:rsidRPr="006B2305">
      <w:rPr>
        <w:i/>
        <w:noProof/>
      </w:rPr>
      <w:t>On-Device YOLOv8 for Classifying Fishers' Catch Species on Android (Juliana Sari)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3D2CE" w14:textId="77777777" w:rsidR="00097958" w:rsidRPr="00C07BEF" w:rsidRDefault="00EE10AE" w:rsidP="0094367D">
    <w:pPr>
      <w:pStyle w:val="Footer"/>
      <w:pBdr>
        <w:top w:val="single" w:sz="4" w:space="1" w:color="auto"/>
      </w:pBdr>
      <w:jc w:val="right"/>
      <w:rPr>
        <w:i/>
      </w:rPr>
    </w:pPr>
    <w:r w:rsidRPr="00C07BEF">
      <w:rPr>
        <w:i/>
      </w:rPr>
      <w:t>On-Device YOLOv8 for Classifying Fishers' Catch Species on Android (Juliana Sari)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C770D" w14:textId="24321FAC" w:rsidR="00097958" w:rsidRPr="003D5B84" w:rsidRDefault="00C854C1" w:rsidP="00790580">
    <w:pPr>
      <w:pStyle w:val="Footer"/>
      <w:pBdr>
        <w:top w:val="single" w:sz="4" w:space="1" w:color="auto"/>
      </w:pBdr>
      <w:spacing w:before="240"/>
      <w:jc w:val="center"/>
      <w:rPr>
        <w:i/>
        <w:szCs w:val="18"/>
      </w:rPr>
    </w:pPr>
    <w:r w:rsidRPr="00C854C1">
      <w:rPr>
        <w:b/>
        <w:i/>
        <w:szCs w:val="18"/>
      </w:rPr>
      <w:t>Journal homepage</w:t>
    </w:r>
    <w:r>
      <w:rPr>
        <w:i/>
        <w:szCs w:val="18"/>
      </w:rPr>
      <w:t xml:space="preserve">: </w:t>
    </w:r>
    <w:r w:rsidR="006952B0" w:rsidRPr="006952B0">
      <w:rPr>
        <w:i/>
        <w:szCs w:val="18"/>
      </w:rPr>
      <w:t>http://</w:t>
    </w:r>
    <w:r w:rsidR="00790580">
      <w:rPr>
        <w:i/>
        <w:szCs w:val="18"/>
      </w:rPr>
      <w:t>journal.uir.ac.id/index/php/ITJRD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8B63D" w14:textId="77777777" w:rsidR="00626977" w:rsidRDefault="00626977">
      <w:r>
        <w:separator/>
      </w:r>
    </w:p>
  </w:footnote>
  <w:footnote w:type="continuationSeparator" w:id="0">
    <w:p w14:paraId="6DC1B84B" w14:textId="77777777" w:rsidR="00626977" w:rsidRDefault="00626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60D0C" w14:textId="73F10793" w:rsidR="00097958" w:rsidRPr="003D5B84" w:rsidRDefault="002D7311" w:rsidP="008B04B3">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CE4A12">
      <w:rPr>
        <w:rStyle w:val="PageNumber"/>
        <w:noProof/>
      </w:rPr>
      <w:t>2</w:t>
    </w:r>
    <w:r w:rsidRPr="003D5B84">
      <w:rPr>
        <w:rStyle w:val="PageNumber"/>
      </w:rPr>
      <w:fldChar w:fldCharType="end"/>
    </w:r>
  </w:p>
  <w:p w14:paraId="43CF894F" w14:textId="476C4948" w:rsidR="00097958" w:rsidRPr="003D5B84" w:rsidRDefault="0006550F"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33152" behindDoc="0" locked="0" layoutInCell="1" allowOverlap="1" wp14:anchorId="218DC157" wp14:editId="563EE312">
              <wp:simplePos x="0" y="0"/>
              <wp:positionH relativeFrom="column">
                <wp:posOffset>23495</wp:posOffset>
              </wp:positionH>
              <wp:positionV relativeFrom="paragraph">
                <wp:posOffset>182880</wp:posOffset>
              </wp:positionV>
              <wp:extent cx="5544820" cy="0"/>
              <wp:effectExtent l="13970" t="11430" r="13335" b="762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482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3A1860" id="_x0000_t32" coordsize="21600,21600" o:spt="32" o:oned="t" path="m,l21600,21600e" filled="f">
              <v:path arrowok="t" fillok="f" o:connecttype="none"/>
              <o:lock v:ext="edit" shapetype="t"/>
            </v:shapetype>
            <v:shape id="AutoShape 7" o:spid="_x0000_s1026" type="#_x0000_t32" style="position:absolute;margin-left:1.85pt;margin-top:14.4pt;width:436.6pt;height:0;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" strokeweight="1pt"/>
          </w:pict>
        </mc:Fallback>
      </mc:AlternateContent>
    </w:r>
    <w:r w:rsidR="00E5155C" w:rsidRPr="003D5B84">
      <w:t xml:space="preserve">     </w:t>
    </w:r>
    <w:r w:rsidR="00E5155C" w:rsidRPr="003D5B84">
      <w:tab/>
    </w:r>
    <w:r w:rsidR="00097958" w:rsidRPr="003D5B84">
      <w:tab/>
    </w:r>
    <w:r w:rsidR="003D5B84" w:rsidRPr="003D5B84">
      <w:tab/>
    </w:r>
    <w:r w:rsidR="00790580">
      <w:t xml:space="preserve">IT </w:t>
    </w:r>
    <w:proofErr w:type="spellStart"/>
    <w:r w:rsidR="00790580">
      <w:t>Jou</w:t>
    </w:r>
    <w:proofErr w:type="spellEnd"/>
    <w:r w:rsidR="00790580">
      <w:t xml:space="preserve"> Res and </w:t>
    </w:r>
    <w:proofErr w:type="gramStart"/>
    <w:r w:rsidR="00790580">
      <w:t>Dev,,</w:t>
    </w:r>
    <w:proofErr w:type="gramEnd"/>
    <w:r w:rsidR="00790580">
      <w:t xml:space="preserve"> Vol.3, No.1, January 2018 : 1 - 10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34957" w14:textId="013E5865" w:rsidR="00097958" w:rsidRPr="003D5B84" w:rsidRDefault="002D7311"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CE4A12">
      <w:rPr>
        <w:rStyle w:val="PageNumber"/>
        <w:noProof/>
      </w:rPr>
      <w:t>3</w:t>
    </w:r>
    <w:r w:rsidRPr="003D5B84">
      <w:rPr>
        <w:rStyle w:val="PageNumber"/>
      </w:rPr>
      <w:fldChar w:fldCharType="end"/>
    </w:r>
  </w:p>
  <w:p w14:paraId="32716B71" w14:textId="46E88F6D" w:rsidR="00097958" w:rsidRPr="003D5B84" w:rsidRDefault="00D713B5" w:rsidP="00C07BEF">
    <w:pPr>
      <w:pStyle w:val="Header"/>
      <w:pBdr>
        <w:bottom w:val="single" w:sz="4" w:space="1" w:color="auto"/>
      </w:pBdr>
      <w:tabs>
        <w:tab w:val="clear" w:pos="4320"/>
        <w:tab w:val="clear" w:pos="8640"/>
        <w:tab w:val="left" w:pos="0"/>
        <w:tab w:val="center" w:pos="4301"/>
        <w:tab w:val="left" w:pos="7938"/>
      </w:tabs>
    </w:pPr>
    <w:r>
      <w:t xml:space="preserve">IT </w:t>
    </w:r>
    <w:proofErr w:type="spellStart"/>
    <w:r>
      <w:t>Jou</w:t>
    </w:r>
    <w:proofErr w:type="spellEnd"/>
    <w:r>
      <w:t xml:space="preserve"> Res and </w:t>
    </w:r>
    <w:proofErr w:type="gramStart"/>
    <w:r>
      <w:t>Dev,,</w:t>
    </w:r>
    <w:proofErr w:type="gramEnd"/>
    <w:r>
      <w:t xml:space="preserve"> Vol.3, No.1, January 2018 : 1 - 10</w:t>
    </w:r>
    <w:r w:rsidR="00EF1185" w:rsidRPr="003D5B84">
      <w:tab/>
    </w:r>
  </w:p>
  <w:p w14:paraId="4433A9EA" w14:textId="77777777" w:rsidR="00097958" w:rsidRPr="003D5B84" w:rsidRDefault="00097958" w:rsidP="0094367D">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28D47" w14:textId="1AC1D5FD" w:rsidR="00D46234" w:rsidRPr="00AB043F" w:rsidRDefault="00D46234" w:rsidP="00D46234">
    <w:pPr>
      <w:pStyle w:val="Header"/>
      <w:tabs>
        <w:tab w:val="clear" w:pos="4320"/>
        <w:tab w:val="clear" w:pos="8640"/>
      </w:tabs>
      <w:ind w:right="45"/>
      <w:rPr>
        <w:b/>
        <w:sz w:val="22"/>
      </w:rPr>
    </w:pPr>
    <w:r w:rsidRPr="00AB043F">
      <w:rPr>
        <w:b/>
        <w:sz w:val="22"/>
      </w:rPr>
      <w:t>IT Journal Research and Develo</w:t>
    </w:r>
    <w:r w:rsidR="00443AAA">
      <w:rPr>
        <w:b/>
        <w:sz w:val="22"/>
      </w:rPr>
      <w:t>p</w:t>
    </w:r>
    <w:r w:rsidRPr="00AB043F">
      <w:rPr>
        <w:b/>
        <w:sz w:val="22"/>
      </w:rPr>
      <w:t>ment (ITJRD)</w:t>
    </w:r>
  </w:p>
  <w:p w14:paraId="26828CE6" w14:textId="77777777" w:rsidR="00D46234" w:rsidRPr="00AB043F" w:rsidRDefault="00D46234" w:rsidP="00D46234">
    <w:pPr>
      <w:pStyle w:val="Header"/>
      <w:tabs>
        <w:tab w:val="clear" w:pos="4320"/>
        <w:tab w:val="clear" w:pos="8640"/>
      </w:tabs>
      <w:ind w:right="45"/>
      <w:rPr>
        <w:sz w:val="22"/>
      </w:rPr>
    </w:pPr>
    <w:r w:rsidRPr="00AB043F">
      <w:rPr>
        <w:sz w:val="22"/>
      </w:rPr>
      <w:t xml:space="preserve">Vol.3, No.1, </w:t>
    </w:r>
    <w:proofErr w:type="spellStart"/>
    <w:r w:rsidRPr="00AB043F">
      <w:rPr>
        <w:sz w:val="22"/>
      </w:rPr>
      <w:t>Maret</w:t>
    </w:r>
    <w:proofErr w:type="spellEnd"/>
    <w:r w:rsidRPr="00AB043F">
      <w:rPr>
        <w:sz w:val="22"/>
      </w:rPr>
      <w:t xml:space="preserve"> 2018, E-</w:t>
    </w:r>
    <w:proofErr w:type="gramStart"/>
    <w:r w:rsidRPr="00AB043F">
      <w:rPr>
        <w:sz w:val="22"/>
      </w:rPr>
      <w:t>ISSN :</w:t>
    </w:r>
    <w:proofErr w:type="gramEnd"/>
    <w:r w:rsidRPr="00AB043F">
      <w:rPr>
        <w:sz w:val="22"/>
      </w:rPr>
      <w:t xml:space="preserve"> 2528-4053 | P-ISSN : 2528-4061</w:t>
    </w:r>
  </w:p>
  <w:p w14:paraId="7AD897C2" w14:textId="7558222D" w:rsidR="00097958" w:rsidRPr="003D5B84" w:rsidRDefault="00D46234" w:rsidP="00D46234">
    <w:pPr>
      <w:pStyle w:val="Header"/>
      <w:tabs>
        <w:tab w:val="clear" w:pos="4320"/>
        <w:tab w:val="clear" w:pos="8640"/>
        <w:tab w:val="left" w:pos="7938"/>
        <w:tab w:val="right" w:pos="8789"/>
      </w:tabs>
      <w:rPr>
        <w:rStyle w:val="PageNumber"/>
      </w:rPr>
    </w:pPr>
    <w:proofErr w:type="gramStart"/>
    <w:r w:rsidRPr="00AB043F">
      <w:rPr>
        <w:sz w:val="22"/>
      </w:rPr>
      <w:t>DOI :</w:t>
    </w:r>
    <w:proofErr w:type="gramEnd"/>
    <w:r w:rsidRPr="00AB043F">
      <w:rPr>
        <w:sz w:val="22"/>
      </w:rPr>
      <w:t xml:space="preserve"> 10.25299/itjrd.20</w:t>
    </w:r>
    <w:r w:rsidR="00F15779">
      <w:rPr>
        <w:sz w:val="22"/>
      </w:rPr>
      <w:t>22.xxxx</w:t>
    </w:r>
    <w:r w:rsidR="008B060F" w:rsidRPr="003D5B84">
      <w:tab/>
    </w:r>
    <w:r w:rsidR="00097958" w:rsidRPr="003D5B84">
      <w:t xml:space="preserve">   </w:t>
    </w:r>
    <w:r w:rsidR="00855965" w:rsidRPr="003D5B84">
      <w:t xml:space="preserve"> </w:t>
    </w:r>
    <w:r w:rsidR="00E5155C" w:rsidRPr="003D5B84">
      <w:tab/>
    </w:r>
    <w:r w:rsidR="002D7311" w:rsidRPr="003D5B84">
      <w:rPr>
        <w:rStyle w:val="PageNumber"/>
      </w:rPr>
      <w:fldChar w:fldCharType="begin"/>
    </w:r>
    <w:r w:rsidR="00097958" w:rsidRPr="003D5B84">
      <w:rPr>
        <w:rStyle w:val="PageNumber"/>
      </w:rPr>
      <w:instrText xml:space="preserve"> PAGE </w:instrText>
    </w:r>
    <w:r w:rsidR="002D7311" w:rsidRPr="003D5B84">
      <w:rPr>
        <w:rStyle w:val="PageNumber"/>
      </w:rPr>
      <w:fldChar w:fldCharType="separate"/>
    </w:r>
    <w:r w:rsidR="00CE4A12">
      <w:rPr>
        <w:rStyle w:val="PageNumber"/>
        <w:noProof/>
      </w:rPr>
      <w:t>1</w:t>
    </w:r>
    <w:r w:rsidR="002D7311" w:rsidRPr="003D5B84">
      <w:rPr>
        <w:rStyle w:val="PageNumber"/>
      </w:rPr>
      <w:fldChar w:fldCharType="end"/>
    </w:r>
  </w:p>
  <w:p w14:paraId="6242EE94" w14:textId="77777777" w:rsidR="00097958" w:rsidRPr="003D5B84" w:rsidRDefault="0006550F" w:rsidP="008B04B3">
    <w:pPr>
      <w:pStyle w:val="Header"/>
      <w:tabs>
        <w:tab w:val="clear" w:pos="4320"/>
        <w:tab w:val="clear" w:pos="8640"/>
      </w:tabs>
      <w:ind w:right="45"/>
      <w:jc w:val="right"/>
      <w:rPr>
        <w:rStyle w:val="PageNumber"/>
      </w:rPr>
    </w:pPr>
    <w:r>
      <w:rPr>
        <w:noProof/>
      </w:rPr>
      <mc:AlternateContent>
        <mc:Choice Requires="wps">
          <w:drawing>
            <wp:anchor distT="0" distB="0" distL="114300" distR="114300" simplePos="0" relativeHeight="251704832" behindDoc="0" locked="0" layoutInCell="1" allowOverlap="1" wp14:anchorId="66DC7E57" wp14:editId="33E7C11F">
              <wp:simplePos x="0" y="0"/>
              <wp:positionH relativeFrom="column">
                <wp:posOffset>4445</wp:posOffset>
              </wp:positionH>
              <wp:positionV relativeFrom="paragraph">
                <wp:posOffset>40005</wp:posOffset>
              </wp:positionV>
              <wp:extent cx="5601970" cy="0"/>
              <wp:effectExtent l="13970" t="11430" r="13335" b="762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1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B71DF8" id="_x0000_t32" coordsize="21600,21600" o:spt="32" o:oned="t" path="m,l21600,21600e" filled="f">
              <v:path arrowok="t" fillok="f" o:connecttype="none"/>
              <o:lock v:ext="edit" shapetype="t"/>
            </v:shapetype>
            <v:shape id="AutoShape 6" o:spid="_x0000_s1026" type="#_x0000_t32" style="position:absolute;margin-left:.35pt;margin-top:3.15pt;width:441.1pt;height:0;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" strokeweight="1pt"/>
          </w:pict>
        </mc:Fallback>
      </mc:AlternateContent>
    </w:r>
    <w:r w:rsidR="00097958" w:rsidRPr="003D5B84">
      <w:rPr>
        <w:rStyle w:val="PageNumbe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9"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3"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4"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abstractNumId w:val="12"/>
  </w:num>
  <w:num w:numId="2">
    <w:abstractNumId w:val="8"/>
  </w:num>
  <w:num w:numId="3">
    <w:abstractNumId w:val="16"/>
  </w:num>
  <w:num w:numId="4">
    <w:abstractNumId w:val="7"/>
  </w:num>
  <w:num w:numId="5">
    <w:abstractNumId w:val="10"/>
  </w:num>
  <w:num w:numId="6">
    <w:abstractNumId w:val="13"/>
  </w:num>
  <w:num w:numId="7">
    <w:abstractNumId w:val="11"/>
  </w:num>
  <w:num w:numId="8">
    <w:abstractNumId w:val="9"/>
  </w:num>
  <w:num w:numId="9">
    <w:abstractNumId w:val="6"/>
  </w:num>
  <w:num w:numId="10">
    <w:abstractNumId w:val="1"/>
  </w:num>
  <w:num w:numId="11">
    <w:abstractNumId w:val="0"/>
  </w:num>
  <w:num w:numId="12">
    <w:abstractNumId w:val="3"/>
  </w:num>
  <w:num w:numId="13">
    <w:abstractNumId w:val="2"/>
  </w:num>
  <w:num w:numId="14">
    <w:abstractNumId w:val="4"/>
  </w:num>
  <w:num w:numId="15">
    <w:abstractNumId w:val="15"/>
  </w:num>
  <w:num w:numId="16">
    <w:abstractNumId w:val="5"/>
  </w:num>
  <w:num w:numId="17">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539"/>
    <w:rsid w:val="00014633"/>
    <w:rsid w:val="00015F2A"/>
    <w:rsid w:val="00017858"/>
    <w:rsid w:val="00027142"/>
    <w:rsid w:val="000279BE"/>
    <w:rsid w:val="00034C84"/>
    <w:rsid w:val="000416A3"/>
    <w:rsid w:val="000437AE"/>
    <w:rsid w:val="000474E3"/>
    <w:rsid w:val="00047710"/>
    <w:rsid w:val="000523C5"/>
    <w:rsid w:val="00053FB7"/>
    <w:rsid w:val="0006020A"/>
    <w:rsid w:val="00060330"/>
    <w:rsid w:val="00060F5C"/>
    <w:rsid w:val="00061D77"/>
    <w:rsid w:val="00062720"/>
    <w:rsid w:val="0006550F"/>
    <w:rsid w:val="00066063"/>
    <w:rsid w:val="0007154C"/>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79"/>
    <w:rsid w:val="000973CC"/>
    <w:rsid w:val="00097958"/>
    <w:rsid w:val="00097E2D"/>
    <w:rsid w:val="000A15DA"/>
    <w:rsid w:val="000A592D"/>
    <w:rsid w:val="000A5DE5"/>
    <w:rsid w:val="000A643C"/>
    <w:rsid w:val="000A7ACA"/>
    <w:rsid w:val="000B0641"/>
    <w:rsid w:val="000B5480"/>
    <w:rsid w:val="000B682B"/>
    <w:rsid w:val="000C03DA"/>
    <w:rsid w:val="000C4B17"/>
    <w:rsid w:val="000C730A"/>
    <w:rsid w:val="000D099B"/>
    <w:rsid w:val="000D50C8"/>
    <w:rsid w:val="000D6591"/>
    <w:rsid w:val="000D6BC3"/>
    <w:rsid w:val="000D72BB"/>
    <w:rsid w:val="000E0AE1"/>
    <w:rsid w:val="000E0C84"/>
    <w:rsid w:val="000E0CE9"/>
    <w:rsid w:val="000E0E3C"/>
    <w:rsid w:val="000E1C9D"/>
    <w:rsid w:val="000E28E0"/>
    <w:rsid w:val="000E46C5"/>
    <w:rsid w:val="000E4FD6"/>
    <w:rsid w:val="000E708C"/>
    <w:rsid w:val="000F279B"/>
    <w:rsid w:val="000F29E1"/>
    <w:rsid w:val="000F3CD0"/>
    <w:rsid w:val="000F61E2"/>
    <w:rsid w:val="000F7ED5"/>
    <w:rsid w:val="001003EF"/>
    <w:rsid w:val="0010046E"/>
    <w:rsid w:val="00102A61"/>
    <w:rsid w:val="001041EB"/>
    <w:rsid w:val="00104BF1"/>
    <w:rsid w:val="00106F02"/>
    <w:rsid w:val="001078A8"/>
    <w:rsid w:val="00107904"/>
    <w:rsid w:val="001129DE"/>
    <w:rsid w:val="0011369D"/>
    <w:rsid w:val="00113F18"/>
    <w:rsid w:val="00114470"/>
    <w:rsid w:val="00117326"/>
    <w:rsid w:val="00117C85"/>
    <w:rsid w:val="00121C37"/>
    <w:rsid w:val="00122833"/>
    <w:rsid w:val="00125C41"/>
    <w:rsid w:val="00126B1A"/>
    <w:rsid w:val="0013179E"/>
    <w:rsid w:val="00131A6C"/>
    <w:rsid w:val="00131E4C"/>
    <w:rsid w:val="00133B59"/>
    <w:rsid w:val="00136716"/>
    <w:rsid w:val="00137465"/>
    <w:rsid w:val="00137E25"/>
    <w:rsid w:val="00137F36"/>
    <w:rsid w:val="001404F9"/>
    <w:rsid w:val="001434C3"/>
    <w:rsid w:val="001441CB"/>
    <w:rsid w:val="00144BD7"/>
    <w:rsid w:val="00145453"/>
    <w:rsid w:val="0014611F"/>
    <w:rsid w:val="00146861"/>
    <w:rsid w:val="001517E4"/>
    <w:rsid w:val="00151E7C"/>
    <w:rsid w:val="00153387"/>
    <w:rsid w:val="00154C55"/>
    <w:rsid w:val="00157C06"/>
    <w:rsid w:val="00161845"/>
    <w:rsid w:val="001621CF"/>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91D"/>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4431"/>
    <w:rsid w:val="0020464A"/>
    <w:rsid w:val="00204A25"/>
    <w:rsid w:val="0020608E"/>
    <w:rsid w:val="002073B6"/>
    <w:rsid w:val="002076CA"/>
    <w:rsid w:val="002079DD"/>
    <w:rsid w:val="00212DCC"/>
    <w:rsid w:val="002141C1"/>
    <w:rsid w:val="00215A82"/>
    <w:rsid w:val="00216F2A"/>
    <w:rsid w:val="00220914"/>
    <w:rsid w:val="00221D61"/>
    <w:rsid w:val="00221FB3"/>
    <w:rsid w:val="00224456"/>
    <w:rsid w:val="00225BEA"/>
    <w:rsid w:val="00230440"/>
    <w:rsid w:val="00230AAB"/>
    <w:rsid w:val="00231A19"/>
    <w:rsid w:val="00232081"/>
    <w:rsid w:val="00232DA1"/>
    <w:rsid w:val="002378BD"/>
    <w:rsid w:val="00237B26"/>
    <w:rsid w:val="00240303"/>
    <w:rsid w:val="0024180A"/>
    <w:rsid w:val="0024268D"/>
    <w:rsid w:val="0024761F"/>
    <w:rsid w:val="00250442"/>
    <w:rsid w:val="00250A66"/>
    <w:rsid w:val="00254EC2"/>
    <w:rsid w:val="002550AB"/>
    <w:rsid w:val="00256322"/>
    <w:rsid w:val="002575A8"/>
    <w:rsid w:val="00260476"/>
    <w:rsid w:val="00261B88"/>
    <w:rsid w:val="0026229E"/>
    <w:rsid w:val="002622CD"/>
    <w:rsid w:val="00266574"/>
    <w:rsid w:val="002668F8"/>
    <w:rsid w:val="00270E78"/>
    <w:rsid w:val="00271390"/>
    <w:rsid w:val="00271AB9"/>
    <w:rsid w:val="0027245E"/>
    <w:rsid w:val="002743A4"/>
    <w:rsid w:val="002745DA"/>
    <w:rsid w:val="00274BCC"/>
    <w:rsid w:val="00275406"/>
    <w:rsid w:val="002769E7"/>
    <w:rsid w:val="00281882"/>
    <w:rsid w:val="00281D99"/>
    <w:rsid w:val="002821B9"/>
    <w:rsid w:val="0028450D"/>
    <w:rsid w:val="002855D3"/>
    <w:rsid w:val="00291EBF"/>
    <w:rsid w:val="00296D8E"/>
    <w:rsid w:val="002A0772"/>
    <w:rsid w:val="002B03DC"/>
    <w:rsid w:val="002B0601"/>
    <w:rsid w:val="002B10C7"/>
    <w:rsid w:val="002B66EF"/>
    <w:rsid w:val="002B6EC9"/>
    <w:rsid w:val="002B7609"/>
    <w:rsid w:val="002B7F14"/>
    <w:rsid w:val="002C0665"/>
    <w:rsid w:val="002C2C92"/>
    <w:rsid w:val="002C4749"/>
    <w:rsid w:val="002C6317"/>
    <w:rsid w:val="002D07B9"/>
    <w:rsid w:val="002D0C71"/>
    <w:rsid w:val="002D0F04"/>
    <w:rsid w:val="002D31A6"/>
    <w:rsid w:val="002D4A56"/>
    <w:rsid w:val="002D7311"/>
    <w:rsid w:val="002D797A"/>
    <w:rsid w:val="002E0647"/>
    <w:rsid w:val="002E0BC4"/>
    <w:rsid w:val="002E184C"/>
    <w:rsid w:val="002E2CAE"/>
    <w:rsid w:val="002E6409"/>
    <w:rsid w:val="002F1014"/>
    <w:rsid w:val="002F137A"/>
    <w:rsid w:val="002F267D"/>
    <w:rsid w:val="002F3D30"/>
    <w:rsid w:val="002F41A4"/>
    <w:rsid w:val="002F48E3"/>
    <w:rsid w:val="002F5AFE"/>
    <w:rsid w:val="002F6BBA"/>
    <w:rsid w:val="002F6DFA"/>
    <w:rsid w:val="002F7623"/>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2063"/>
    <w:rsid w:val="00333AB9"/>
    <w:rsid w:val="00333C06"/>
    <w:rsid w:val="0033459B"/>
    <w:rsid w:val="00335BE8"/>
    <w:rsid w:val="00337C87"/>
    <w:rsid w:val="0034265F"/>
    <w:rsid w:val="00343A49"/>
    <w:rsid w:val="00346441"/>
    <w:rsid w:val="003475EC"/>
    <w:rsid w:val="0035076B"/>
    <w:rsid w:val="00352BEB"/>
    <w:rsid w:val="00353885"/>
    <w:rsid w:val="00361EB1"/>
    <w:rsid w:val="003629D1"/>
    <w:rsid w:val="003637CE"/>
    <w:rsid w:val="003715EC"/>
    <w:rsid w:val="00373753"/>
    <w:rsid w:val="00373CD2"/>
    <w:rsid w:val="00376867"/>
    <w:rsid w:val="00376A96"/>
    <w:rsid w:val="003772AC"/>
    <w:rsid w:val="00381E56"/>
    <w:rsid w:val="003826FF"/>
    <w:rsid w:val="00390EE9"/>
    <w:rsid w:val="00393D9D"/>
    <w:rsid w:val="00393E61"/>
    <w:rsid w:val="00396D02"/>
    <w:rsid w:val="003A0041"/>
    <w:rsid w:val="003A1C3E"/>
    <w:rsid w:val="003A2970"/>
    <w:rsid w:val="003A5088"/>
    <w:rsid w:val="003A7B77"/>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72E2"/>
    <w:rsid w:val="003D07D2"/>
    <w:rsid w:val="003D5B84"/>
    <w:rsid w:val="003D79CF"/>
    <w:rsid w:val="003E0207"/>
    <w:rsid w:val="003E304D"/>
    <w:rsid w:val="003E4AA5"/>
    <w:rsid w:val="003F0964"/>
    <w:rsid w:val="003F18A1"/>
    <w:rsid w:val="003F1CC1"/>
    <w:rsid w:val="003F1D93"/>
    <w:rsid w:val="003F2EB6"/>
    <w:rsid w:val="003F4897"/>
    <w:rsid w:val="003F6587"/>
    <w:rsid w:val="003F6CE1"/>
    <w:rsid w:val="00400970"/>
    <w:rsid w:val="00402C7D"/>
    <w:rsid w:val="00403A74"/>
    <w:rsid w:val="00407351"/>
    <w:rsid w:val="00407C2D"/>
    <w:rsid w:val="004106DF"/>
    <w:rsid w:val="00411A71"/>
    <w:rsid w:val="00411C0C"/>
    <w:rsid w:val="0041399A"/>
    <w:rsid w:val="00414535"/>
    <w:rsid w:val="00414EA0"/>
    <w:rsid w:val="00420D64"/>
    <w:rsid w:val="00424E85"/>
    <w:rsid w:val="00425BE9"/>
    <w:rsid w:val="00427072"/>
    <w:rsid w:val="0043585C"/>
    <w:rsid w:val="00441F35"/>
    <w:rsid w:val="00443205"/>
    <w:rsid w:val="004439D2"/>
    <w:rsid w:val="00443AAA"/>
    <w:rsid w:val="0044501A"/>
    <w:rsid w:val="004503E9"/>
    <w:rsid w:val="00453463"/>
    <w:rsid w:val="004550E4"/>
    <w:rsid w:val="004625E8"/>
    <w:rsid w:val="0046343E"/>
    <w:rsid w:val="004637E8"/>
    <w:rsid w:val="00467368"/>
    <w:rsid w:val="004674CD"/>
    <w:rsid w:val="004710EE"/>
    <w:rsid w:val="00472E56"/>
    <w:rsid w:val="004740EC"/>
    <w:rsid w:val="0048079D"/>
    <w:rsid w:val="004819CF"/>
    <w:rsid w:val="00481DA2"/>
    <w:rsid w:val="004820DC"/>
    <w:rsid w:val="00482432"/>
    <w:rsid w:val="00484866"/>
    <w:rsid w:val="004859D6"/>
    <w:rsid w:val="00485FD1"/>
    <w:rsid w:val="0048797E"/>
    <w:rsid w:val="00487DD3"/>
    <w:rsid w:val="004902C8"/>
    <w:rsid w:val="004905D4"/>
    <w:rsid w:val="00492E44"/>
    <w:rsid w:val="004947B9"/>
    <w:rsid w:val="0049514C"/>
    <w:rsid w:val="00496DFD"/>
    <w:rsid w:val="004A0C8B"/>
    <w:rsid w:val="004A187E"/>
    <w:rsid w:val="004A1A3F"/>
    <w:rsid w:val="004A335F"/>
    <w:rsid w:val="004A3F3D"/>
    <w:rsid w:val="004A4FDB"/>
    <w:rsid w:val="004A5FC0"/>
    <w:rsid w:val="004A7C83"/>
    <w:rsid w:val="004B1FFE"/>
    <w:rsid w:val="004B2F8C"/>
    <w:rsid w:val="004B4EDE"/>
    <w:rsid w:val="004B589F"/>
    <w:rsid w:val="004B661B"/>
    <w:rsid w:val="004B76DC"/>
    <w:rsid w:val="004C0B2C"/>
    <w:rsid w:val="004C1787"/>
    <w:rsid w:val="004C3BEB"/>
    <w:rsid w:val="004C59ED"/>
    <w:rsid w:val="004C65D5"/>
    <w:rsid w:val="004D7295"/>
    <w:rsid w:val="004E140A"/>
    <w:rsid w:val="004E154B"/>
    <w:rsid w:val="004E1914"/>
    <w:rsid w:val="004E3613"/>
    <w:rsid w:val="004E3AFD"/>
    <w:rsid w:val="004E3CAD"/>
    <w:rsid w:val="004E6C69"/>
    <w:rsid w:val="004F101E"/>
    <w:rsid w:val="004F2A11"/>
    <w:rsid w:val="004F3166"/>
    <w:rsid w:val="004F3208"/>
    <w:rsid w:val="004F4EA7"/>
    <w:rsid w:val="004F54D2"/>
    <w:rsid w:val="004F6193"/>
    <w:rsid w:val="00501713"/>
    <w:rsid w:val="00505F41"/>
    <w:rsid w:val="0050794C"/>
    <w:rsid w:val="0051075B"/>
    <w:rsid w:val="00511236"/>
    <w:rsid w:val="00511539"/>
    <w:rsid w:val="00512DE0"/>
    <w:rsid w:val="0051361F"/>
    <w:rsid w:val="00515455"/>
    <w:rsid w:val="00516317"/>
    <w:rsid w:val="005174FF"/>
    <w:rsid w:val="00520EC3"/>
    <w:rsid w:val="0052138C"/>
    <w:rsid w:val="005213A1"/>
    <w:rsid w:val="00523362"/>
    <w:rsid w:val="00523B26"/>
    <w:rsid w:val="0052442F"/>
    <w:rsid w:val="00526CFA"/>
    <w:rsid w:val="00527F41"/>
    <w:rsid w:val="00530CAF"/>
    <w:rsid w:val="0053172B"/>
    <w:rsid w:val="00532941"/>
    <w:rsid w:val="00535A39"/>
    <w:rsid w:val="005373E3"/>
    <w:rsid w:val="00540DCE"/>
    <w:rsid w:val="00540DD7"/>
    <w:rsid w:val="00541F86"/>
    <w:rsid w:val="00541FCB"/>
    <w:rsid w:val="0054283A"/>
    <w:rsid w:val="00545E9C"/>
    <w:rsid w:val="00547658"/>
    <w:rsid w:val="0054768C"/>
    <w:rsid w:val="005542A3"/>
    <w:rsid w:val="0055649A"/>
    <w:rsid w:val="00556E6A"/>
    <w:rsid w:val="00563102"/>
    <w:rsid w:val="00572013"/>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1AD0"/>
    <w:rsid w:val="005A2361"/>
    <w:rsid w:val="005A24ED"/>
    <w:rsid w:val="005A2573"/>
    <w:rsid w:val="005A4783"/>
    <w:rsid w:val="005A6B87"/>
    <w:rsid w:val="005A6F1F"/>
    <w:rsid w:val="005B0825"/>
    <w:rsid w:val="005B0A84"/>
    <w:rsid w:val="005B2D16"/>
    <w:rsid w:val="005B4DAF"/>
    <w:rsid w:val="005B56A0"/>
    <w:rsid w:val="005B5788"/>
    <w:rsid w:val="005B60D5"/>
    <w:rsid w:val="005B693A"/>
    <w:rsid w:val="005C11D6"/>
    <w:rsid w:val="005C12EA"/>
    <w:rsid w:val="005C1759"/>
    <w:rsid w:val="005C234E"/>
    <w:rsid w:val="005C3CE0"/>
    <w:rsid w:val="005D02EE"/>
    <w:rsid w:val="005D0C1B"/>
    <w:rsid w:val="005D210E"/>
    <w:rsid w:val="005D3D27"/>
    <w:rsid w:val="005D464B"/>
    <w:rsid w:val="005D7D3A"/>
    <w:rsid w:val="005D7EB1"/>
    <w:rsid w:val="005E6EF7"/>
    <w:rsid w:val="005E736A"/>
    <w:rsid w:val="005E75FC"/>
    <w:rsid w:val="005F042D"/>
    <w:rsid w:val="005F3D1C"/>
    <w:rsid w:val="005F534C"/>
    <w:rsid w:val="005F75F8"/>
    <w:rsid w:val="006044C7"/>
    <w:rsid w:val="00605C76"/>
    <w:rsid w:val="0061156E"/>
    <w:rsid w:val="006123B6"/>
    <w:rsid w:val="00613977"/>
    <w:rsid w:val="0061627D"/>
    <w:rsid w:val="006206C7"/>
    <w:rsid w:val="00622EC4"/>
    <w:rsid w:val="0062488B"/>
    <w:rsid w:val="00626977"/>
    <w:rsid w:val="006327F1"/>
    <w:rsid w:val="00636167"/>
    <w:rsid w:val="00644417"/>
    <w:rsid w:val="00647075"/>
    <w:rsid w:val="00652EBE"/>
    <w:rsid w:val="006549EF"/>
    <w:rsid w:val="00655C14"/>
    <w:rsid w:val="00656420"/>
    <w:rsid w:val="00662070"/>
    <w:rsid w:val="0066237A"/>
    <w:rsid w:val="006628A9"/>
    <w:rsid w:val="006642BF"/>
    <w:rsid w:val="00665A9F"/>
    <w:rsid w:val="00665B37"/>
    <w:rsid w:val="006719D8"/>
    <w:rsid w:val="0067364F"/>
    <w:rsid w:val="00675D81"/>
    <w:rsid w:val="00676455"/>
    <w:rsid w:val="00676EB9"/>
    <w:rsid w:val="00682B00"/>
    <w:rsid w:val="00685AA5"/>
    <w:rsid w:val="00685FB4"/>
    <w:rsid w:val="006863DA"/>
    <w:rsid w:val="00687CA7"/>
    <w:rsid w:val="00687D3A"/>
    <w:rsid w:val="006925E2"/>
    <w:rsid w:val="006952B0"/>
    <w:rsid w:val="006A0231"/>
    <w:rsid w:val="006A090C"/>
    <w:rsid w:val="006A1384"/>
    <w:rsid w:val="006A2A62"/>
    <w:rsid w:val="006A34DA"/>
    <w:rsid w:val="006A6AEE"/>
    <w:rsid w:val="006B027E"/>
    <w:rsid w:val="006B0965"/>
    <w:rsid w:val="006B2305"/>
    <w:rsid w:val="006B6754"/>
    <w:rsid w:val="006B71FD"/>
    <w:rsid w:val="006C0661"/>
    <w:rsid w:val="006C0E3B"/>
    <w:rsid w:val="006C18AF"/>
    <w:rsid w:val="006C1D12"/>
    <w:rsid w:val="006C34C5"/>
    <w:rsid w:val="006D0BA0"/>
    <w:rsid w:val="006D29E6"/>
    <w:rsid w:val="006D449D"/>
    <w:rsid w:val="006D5851"/>
    <w:rsid w:val="006D5DAA"/>
    <w:rsid w:val="006D60D9"/>
    <w:rsid w:val="006D6178"/>
    <w:rsid w:val="006E361D"/>
    <w:rsid w:val="006E3810"/>
    <w:rsid w:val="006E44B1"/>
    <w:rsid w:val="006E492E"/>
    <w:rsid w:val="006E4C9D"/>
    <w:rsid w:val="006E5DCF"/>
    <w:rsid w:val="006E669C"/>
    <w:rsid w:val="006E786F"/>
    <w:rsid w:val="006F01C3"/>
    <w:rsid w:val="006F45D7"/>
    <w:rsid w:val="006F5B9E"/>
    <w:rsid w:val="006F7480"/>
    <w:rsid w:val="0070124C"/>
    <w:rsid w:val="007017C6"/>
    <w:rsid w:val="007027BB"/>
    <w:rsid w:val="00705140"/>
    <w:rsid w:val="007066C5"/>
    <w:rsid w:val="00712FFF"/>
    <w:rsid w:val="007142C8"/>
    <w:rsid w:val="00717A32"/>
    <w:rsid w:val="00720729"/>
    <w:rsid w:val="007212E2"/>
    <w:rsid w:val="00723DEB"/>
    <w:rsid w:val="007240E7"/>
    <w:rsid w:val="007304E2"/>
    <w:rsid w:val="00731AEB"/>
    <w:rsid w:val="00740C36"/>
    <w:rsid w:val="00741A8F"/>
    <w:rsid w:val="00742008"/>
    <w:rsid w:val="00743BA0"/>
    <w:rsid w:val="00747DFD"/>
    <w:rsid w:val="00754329"/>
    <w:rsid w:val="007547A1"/>
    <w:rsid w:val="00756A93"/>
    <w:rsid w:val="0075769A"/>
    <w:rsid w:val="007608AF"/>
    <w:rsid w:val="00765DEF"/>
    <w:rsid w:val="00766E46"/>
    <w:rsid w:val="00770E6E"/>
    <w:rsid w:val="00771A7C"/>
    <w:rsid w:val="0077230A"/>
    <w:rsid w:val="00772725"/>
    <w:rsid w:val="00773EB7"/>
    <w:rsid w:val="007751AA"/>
    <w:rsid w:val="00777AD7"/>
    <w:rsid w:val="00790580"/>
    <w:rsid w:val="007912CE"/>
    <w:rsid w:val="0079451D"/>
    <w:rsid w:val="007A04C8"/>
    <w:rsid w:val="007A3102"/>
    <w:rsid w:val="007A3B30"/>
    <w:rsid w:val="007A3FC0"/>
    <w:rsid w:val="007A49BA"/>
    <w:rsid w:val="007A609F"/>
    <w:rsid w:val="007A7484"/>
    <w:rsid w:val="007B57A1"/>
    <w:rsid w:val="007B7535"/>
    <w:rsid w:val="007C0D3D"/>
    <w:rsid w:val="007C2A08"/>
    <w:rsid w:val="007C60D8"/>
    <w:rsid w:val="007C74E3"/>
    <w:rsid w:val="007D0AC6"/>
    <w:rsid w:val="007D2077"/>
    <w:rsid w:val="007D3E3E"/>
    <w:rsid w:val="007D7A78"/>
    <w:rsid w:val="007E5812"/>
    <w:rsid w:val="007E68A5"/>
    <w:rsid w:val="007F1EC7"/>
    <w:rsid w:val="007F286F"/>
    <w:rsid w:val="007F2C82"/>
    <w:rsid w:val="007F36F4"/>
    <w:rsid w:val="007F3EAF"/>
    <w:rsid w:val="007F40B0"/>
    <w:rsid w:val="007F5F38"/>
    <w:rsid w:val="007F665B"/>
    <w:rsid w:val="008042C8"/>
    <w:rsid w:val="00804489"/>
    <w:rsid w:val="00805CFD"/>
    <w:rsid w:val="00807F15"/>
    <w:rsid w:val="0081359D"/>
    <w:rsid w:val="008136A0"/>
    <w:rsid w:val="00813CDD"/>
    <w:rsid w:val="00814164"/>
    <w:rsid w:val="00815A2E"/>
    <w:rsid w:val="008168B9"/>
    <w:rsid w:val="00820065"/>
    <w:rsid w:val="00820B4E"/>
    <w:rsid w:val="00822488"/>
    <w:rsid w:val="00823B38"/>
    <w:rsid w:val="00823F1C"/>
    <w:rsid w:val="00824697"/>
    <w:rsid w:val="00827A30"/>
    <w:rsid w:val="008318B8"/>
    <w:rsid w:val="00831DDD"/>
    <w:rsid w:val="00832386"/>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ED5"/>
    <w:rsid w:val="00855965"/>
    <w:rsid w:val="00855C64"/>
    <w:rsid w:val="00856356"/>
    <w:rsid w:val="008563F2"/>
    <w:rsid w:val="00860671"/>
    <w:rsid w:val="00862CD2"/>
    <w:rsid w:val="0086508B"/>
    <w:rsid w:val="00866E4F"/>
    <w:rsid w:val="0087156B"/>
    <w:rsid w:val="00872D7E"/>
    <w:rsid w:val="008754E6"/>
    <w:rsid w:val="00876186"/>
    <w:rsid w:val="0087776F"/>
    <w:rsid w:val="0088233C"/>
    <w:rsid w:val="0088280A"/>
    <w:rsid w:val="00883EB7"/>
    <w:rsid w:val="00887AA0"/>
    <w:rsid w:val="00892C9F"/>
    <w:rsid w:val="00892FBD"/>
    <w:rsid w:val="00893AD8"/>
    <w:rsid w:val="00893D2C"/>
    <w:rsid w:val="00894D11"/>
    <w:rsid w:val="0089523F"/>
    <w:rsid w:val="008967E5"/>
    <w:rsid w:val="00897BCF"/>
    <w:rsid w:val="008A07FE"/>
    <w:rsid w:val="008A12AD"/>
    <w:rsid w:val="008A1677"/>
    <w:rsid w:val="008A6436"/>
    <w:rsid w:val="008A6E5D"/>
    <w:rsid w:val="008B04B3"/>
    <w:rsid w:val="008B060F"/>
    <w:rsid w:val="008B144F"/>
    <w:rsid w:val="008B1A88"/>
    <w:rsid w:val="008B279B"/>
    <w:rsid w:val="008B3B85"/>
    <w:rsid w:val="008B42E3"/>
    <w:rsid w:val="008B4E8C"/>
    <w:rsid w:val="008B60B8"/>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21D05"/>
    <w:rsid w:val="0092257C"/>
    <w:rsid w:val="00923121"/>
    <w:rsid w:val="009314C3"/>
    <w:rsid w:val="009317FD"/>
    <w:rsid w:val="009406FF"/>
    <w:rsid w:val="00941203"/>
    <w:rsid w:val="009416C1"/>
    <w:rsid w:val="0094367D"/>
    <w:rsid w:val="00943FA1"/>
    <w:rsid w:val="00945A5C"/>
    <w:rsid w:val="00946389"/>
    <w:rsid w:val="0094738D"/>
    <w:rsid w:val="00950EF7"/>
    <w:rsid w:val="00954DC1"/>
    <w:rsid w:val="00955462"/>
    <w:rsid w:val="00956EB6"/>
    <w:rsid w:val="00957C11"/>
    <w:rsid w:val="009617A9"/>
    <w:rsid w:val="009665BE"/>
    <w:rsid w:val="009673AB"/>
    <w:rsid w:val="00970E84"/>
    <w:rsid w:val="00971153"/>
    <w:rsid w:val="00981036"/>
    <w:rsid w:val="0098109F"/>
    <w:rsid w:val="00981E5F"/>
    <w:rsid w:val="00983846"/>
    <w:rsid w:val="00990CC8"/>
    <w:rsid w:val="0099227E"/>
    <w:rsid w:val="00992F1F"/>
    <w:rsid w:val="009949C5"/>
    <w:rsid w:val="00996BFA"/>
    <w:rsid w:val="009A19B2"/>
    <w:rsid w:val="009B3EC0"/>
    <w:rsid w:val="009B5FE8"/>
    <w:rsid w:val="009B62B1"/>
    <w:rsid w:val="009B6B2F"/>
    <w:rsid w:val="009B76C2"/>
    <w:rsid w:val="009C080D"/>
    <w:rsid w:val="009C5293"/>
    <w:rsid w:val="009D41DF"/>
    <w:rsid w:val="009D709E"/>
    <w:rsid w:val="009E0249"/>
    <w:rsid w:val="009E055A"/>
    <w:rsid w:val="009E0F0F"/>
    <w:rsid w:val="009E36AC"/>
    <w:rsid w:val="009E4FB4"/>
    <w:rsid w:val="009E5694"/>
    <w:rsid w:val="009E585B"/>
    <w:rsid w:val="009F040E"/>
    <w:rsid w:val="00A01765"/>
    <w:rsid w:val="00A02DD3"/>
    <w:rsid w:val="00A04D6C"/>
    <w:rsid w:val="00A05622"/>
    <w:rsid w:val="00A1136A"/>
    <w:rsid w:val="00A16250"/>
    <w:rsid w:val="00A17296"/>
    <w:rsid w:val="00A17D28"/>
    <w:rsid w:val="00A21621"/>
    <w:rsid w:val="00A22457"/>
    <w:rsid w:val="00A22900"/>
    <w:rsid w:val="00A31E71"/>
    <w:rsid w:val="00A3340E"/>
    <w:rsid w:val="00A42248"/>
    <w:rsid w:val="00A426C8"/>
    <w:rsid w:val="00A42ABF"/>
    <w:rsid w:val="00A4427E"/>
    <w:rsid w:val="00A46733"/>
    <w:rsid w:val="00A46ECF"/>
    <w:rsid w:val="00A477B8"/>
    <w:rsid w:val="00A47AD5"/>
    <w:rsid w:val="00A47F03"/>
    <w:rsid w:val="00A51683"/>
    <w:rsid w:val="00A51892"/>
    <w:rsid w:val="00A52037"/>
    <w:rsid w:val="00A52149"/>
    <w:rsid w:val="00A56103"/>
    <w:rsid w:val="00A5654D"/>
    <w:rsid w:val="00A5724F"/>
    <w:rsid w:val="00A6261F"/>
    <w:rsid w:val="00A651D0"/>
    <w:rsid w:val="00A65261"/>
    <w:rsid w:val="00A662A3"/>
    <w:rsid w:val="00A6697F"/>
    <w:rsid w:val="00A71C8A"/>
    <w:rsid w:val="00A71ED6"/>
    <w:rsid w:val="00A731B8"/>
    <w:rsid w:val="00A75522"/>
    <w:rsid w:val="00A77E76"/>
    <w:rsid w:val="00A80090"/>
    <w:rsid w:val="00A85A64"/>
    <w:rsid w:val="00A8736E"/>
    <w:rsid w:val="00A93118"/>
    <w:rsid w:val="00A95DB9"/>
    <w:rsid w:val="00AA3EC5"/>
    <w:rsid w:val="00AA48F5"/>
    <w:rsid w:val="00AA4B39"/>
    <w:rsid w:val="00AA512B"/>
    <w:rsid w:val="00AA5200"/>
    <w:rsid w:val="00AA608B"/>
    <w:rsid w:val="00AA7603"/>
    <w:rsid w:val="00AA77C0"/>
    <w:rsid w:val="00AB1CD7"/>
    <w:rsid w:val="00AB1F5C"/>
    <w:rsid w:val="00AB4311"/>
    <w:rsid w:val="00AB49DA"/>
    <w:rsid w:val="00AB59A7"/>
    <w:rsid w:val="00AB68F7"/>
    <w:rsid w:val="00AC077B"/>
    <w:rsid w:val="00AC0C82"/>
    <w:rsid w:val="00AC1F08"/>
    <w:rsid w:val="00AC60ED"/>
    <w:rsid w:val="00AD564C"/>
    <w:rsid w:val="00AD7639"/>
    <w:rsid w:val="00AE3182"/>
    <w:rsid w:val="00AE43A3"/>
    <w:rsid w:val="00AE5C7B"/>
    <w:rsid w:val="00AF095A"/>
    <w:rsid w:val="00AF1119"/>
    <w:rsid w:val="00AF59C3"/>
    <w:rsid w:val="00B011BB"/>
    <w:rsid w:val="00B0163B"/>
    <w:rsid w:val="00B04312"/>
    <w:rsid w:val="00B0539A"/>
    <w:rsid w:val="00B06669"/>
    <w:rsid w:val="00B06F09"/>
    <w:rsid w:val="00B07DF0"/>
    <w:rsid w:val="00B14782"/>
    <w:rsid w:val="00B14B32"/>
    <w:rsid w:val="00B14BA4"/>
    <w:rsid w:val="00B14C9C"/>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6063"/>
    <w:rsid w:val="00B570B0"/>
    <w:rsid w:val="00B57714"/>
    <w:rsid w:val="00B61620"/>
    <w:rsid w:val="00B64061"/>
    <w:rsid w:val="00B65BB6"/>
    <w:rsid w:val="00B7048C"/>
    <w:rsid w:val="00B71D8A"/>
    <w:rsid w:val="00B73F7D"/>
    <w:rsid w:val="00B743B9"/>
    <w:rsid w:val="00B768D7"/>
    <w:rsid w:val="00B778A3"/>
    <w:rsid w:val="00B809F3"/>
    <w:rsid w:val="00B85932"/>
    <w:rsid w:val="00B87588"/>
    <w:rsid w:val="00B92474"/>
    <w:rsid w:val="00BA2419"/>
    <w:rsid w:val="00BB00AA"/>
    <w:rsid w:val="00BB0F2F"/>
    <w:rsid w:val="00BB1C66"/>
    <w:rsid w:val="00BB3596"/>
    <w:rsid w:val="00BB524D"/>
    <w:rsid w:val="00BB5385"/>
    <w:rsid w:val="00BB5653"/>
    <w:rsid w:val="00BB6E3C"/>
    <w:rsid w:val="00BC06CF"/>
    <w:rsid w:val="00BC133D"/>
    <w:rsid w:val="00BC1FA4"/>
    <w:rsid w:val="00BC3E9C"/>
    <w:rsid w:val="00BC4AF5"/>
    <w:rsid w:val="00BC5A09"/>
    <w:rsid w:val="00BC5AA5"/>
    <w:rsid w:val="00BC7CC2"/>
    <w:rsid w:val="00BD049F"/>
    <w:rsid w:val="00BD0E9D"/>
    <w:rsid w:val="00BD218A"/>
    <w:rsid w:val="00BD399A"/>
    <w:rsid w:val="00BD557E"/>
    <w:rsid w:val="00BD5B18"/>
    <w:rsid w:val="00BD5F64"/>
    <w:rsid w:val="00BE0201"/>
    <w:rsid w:val="00BE3232"/>
    <w:rsid w:val="00BE44AE"/>
    <w:rsid w:val="00BE520C"/>
    <w:rsid w:val="00BF16AD"/>
    <w:rsid w:val="00BF2C8B"/>
    <w:rsid w:val="00BF34A7"/>
    <w:rsid w:val="00BF3B14"/>
    <w:rsid w:val="00BF6218"/>
    <w:rsid w:val="00C00EA2"/>
    <w:rsid w:val="00C011EE"/>
    <w:rsid w:val="00C02535"/>
    <w:rsid w:val="00C0352A"/>
    <w:rsid w:val="00C0425B"/>
    <w:rsid w:val="00C05811"/>
    <w:rsid w:val="00C07BEF"/>
    <w:rsid w:val="00C1015B"/>
    <w:rsid w:val="00C103A1"/>
    <w:rsid w:val="00C10A10"/>
    <w:rsid w:val="00C10D6A"/>
    <w:rsid w:val="00C10EC0"/>
    <w:rsid w:val="00C13B9C"/>
    <w:rsid w:val="00C14063"/>
    <w:rsid w:val="00C15102"/>
    <w:rsid w:val="00C15A56"/>
    <w:rsid w:val="00C216FF"/>
    <w:rsid w:val="00C22F0A"/>
    <w:rsid w:val="00C2325B"/>
    <w:rsid w:val="00C25B1C"/>
    <w:rsid w:val="00C26299"/>
    <w:rsid w:val="00C311E4"/>
    <w:rsid w:val="00C322BB"/>
    <w:rsid w:val="00C33540"/>
    <w:rsid w:val="00C350F2"/>
    <w:rsid w:val="00C35B73"/>
    <w:rsid w:val="00C35B8F"/>
    <w:rsid w:val="00C35FBE"/>
    <w:rsid w:val="00C40E59"/>
    <w:rsid w:val="00C418BF"/>
    <w:rsid w:val="00C4258F"/>
    <w:rsid w:val="00C44562"/>
    <w:rsid w:val="00C453FB"/>
    <w:rsid w:val="00C50166"/>
    <w:rsid w:val="00C502FF"/>
    <w:rsid w:val="00C55BED"/>
    <w:rsid w:val="00C55D03"/>
    <w:rsid w:val="00C55F3E"/>
    <w:rsid w:val="00C57311"/>
    <w:rsid w:val="00C61929"/>
    <w:rsid w:val="00C62E71"/>
    <w:rsid w:val="00C63059"/>
    <w:rsid w:val="00C631FE"/>
    <w:rsid w:val="00C63C08"/>
    <w:rsid w:val="00C66CCC"/>
    <w:rsid w:val="00C676A4"/>
    <w:rsid w:val="00C700B6"/>
    <w:rsid w:val="00C7182A"/>
    <w:rsid w:val="00C72659"/>
    <w:rsid w:val="00C734AC"/>
    <w:rsid w:val="00C73BD7"/>
    <w:rsid w:val="00C73D57"/>
    <w:rsid w:val="00C8061C"/>
    <w:rsid w:val="00C80CAC"/>
    <w:rsid w:val="00C8516B"/>
    <w:rsid w:val="00C854C1"/>
    <w:rsid w:val="00C85B81"/>
    <w:rsid w:val="00C9075C"/>
    <w:rsid w:val="00C9178F"/>
    <w:rsid w:val="00C93F76"/>
    <w:rsid w:val="00C9655A"/>
    <w:rsid w:val="00C96FCA"/>
    <w:rsid w:val="00C9754D"/>
    <w:rsid w:val="00C975DF"/>
    <w:rsid w:val="00CA1251"/>
    <w:rsid w:val="00CA5D84"/>
    <w:rsid w:val="00CC10E0"/>
    <w:rsid w:val="00CC1239"/>
    <w:rsid w:val="00CC1960"/>
    <w:rsid w:val="00CE1CF3"/>
    <w:rsid w:val="00CE4A12"/>
    <w:rsid w:val="00CE4EFB"/>
    <w:rsid w:val="00CE70F3"/>
    <w:rsid w:val="00CE7659"/>
    <w:rsid w:val="00CF0E18"/>
    <w:rsid w:val="00CF29A4"/>
    <w:rsid w:val="00CF2F2E"/>
    <w:rsid w:val="00CF624D"/>
    <w:rsid w:val="00CF6E34"/>
    <w:rsid w:val="00CF7149"/>
    <w:rsid w:val="00D066D9"/>
    <w:rsid w:val="00D076EF"/>
    <w:rsid w:val="00D108C5"/>
    <w:rsid w:val="00D10D7A"/>
    <w:rsid w:val="00D1187F"/>
    <w:rsid w:val="00D11C2D"/>
    <w:rsid w:val="00D1618D"/>
    <w:rsid w:val="00D167B1"/>
    <w:rsid w:val="00D16D1B"/>
    <w:rsid w:val="00D21ECD"/>
    <w:rsid w:val="00D21F66"/>
    <w:rsid w:val="00D24B66"/>
    <w:rsid w:val="00D24C22"/>
    <w:rsid w:val="00D304B1"/>
    <w:rsid w:val="00D31492"/>
    <w:rsid w:val="00D3478B"/>
    <w:rsid w:val="00D3563D"/>
    <w:rsid w:val="00D35E12"/>
    <w:rsid w:val="00D413DD"/>
    <w:rsid w:val="00D4189D"/>
    <w:rsid w:val="00D424E3"/>
    <w:rsid w:val="00D42604"/>
    <w:rsid w:val="00D43436"/>
    <w:rsid w:val="00D4389A"/>
    <w:rsid w:val="00D4436A"/>
    <w:rsid w:val="00D45829"/>
    <w:rsid w:val="00D45DEF"/>
    <w:rsid w:val="00D45FB7"/>
    <w:rsid w:val="00D46234"/>
    <w:rsid w:val="00D46347"/>
    <w:rsid w:val="00D46954"/>
    <w:rsid w:val="00D51E72"/>
    <w:rsid w:val="00D534EA"/>
    <w:rsid w:val="00D540A4"/>
    <w:rsid w:val="00D541C4"/>
    <w:rsid w:val="00D54DBC"/>
    <w:rsid w:val="00D570F3"/>
    <w:rsid w:val="00D61C85"/>
    <w:rsid w:val="00D624E5"/>
    <w:rsid w:val="00D634A8"/>
    <w:rsid w:val="00D64C3D"/>
    <w:rsid w:val="00D65A1C"/>
    <w:rsid w:val="00D67099"/>
    <w:rsid w:val="00D713B5"/>
    <w:rsid w:val="00D71939"/>
    <w:rsid w:val="00D72D27"/>
    <w:rsid w:val="00D73317"/>
    <w:rsid w:val="00D743C8"/>
    <w:rsid w:val="00D743DA"/>
    <w:rsid w:val="00D744B5"/>
    <w:rsid w:val="00D745B1"/>
    <w:rsid w:val="00D74733"/>
    <w:rsid w:val="00D74C5F"/>
    <w:rsid w:val="00D753F3"/>
    <w:rsid w:val="00D9045B"/>
    <w:rsid w:val="00D90EA9"/>
    <w:rsid w:val="00D941C3"/>
    <w:rsid w:val="00D94A99"/>
    <w:rsid w:val="00D95324"/>
    <w:rsid w:val="00D95482"/>
    <w:rsid w:val="00DA0390"/>
    <w:rsid w:val="00DA1940"/>
    <w:rsid w:val="00DA3C3C"/>
    <w:rsid w:val="00DB05EC"/>
    <w:rsid w:val="00DB166E"/>
    <w:rsid w:val="00DB3D8C"/>
    <w:rsid w:val="00DB43B8"/>
    <w:rsid w:val="00DB7BD1"/>
    <w:rsid w:val="00DB7C8A"/>
    <w:rsid w:val="00DC2DC5"/>
    <w:rsid w:val="00DC341B"/>
    <w:rsid w:val="00DD35E7"/>
    <w:rsid w:val="00DD5486"/>
    <w:rsid w:val="00DD650E"/>
    <w:rsid w:val="00DD7968"/>
    <w:rsid w:val="00DE0B7E"/>
    <w:rsid w:val="00DE1418"/>
    <w:rsid w:val="00DE2205"/>
    <w:rsid w:val="00DE421E"/>
    <w:rsid w:val="00DE5454"/>
    <w:rsid w:val="00DE7F41"/>
    <w:rsid w:val="00DF0510"/>
    <w:rsid w:val="00DF0F50"/>
    <w:rsid w:val="00DF2309"/>
    <w:rsid w:val="00DF28DC"/>
    <w:rsid w:val="00DF3915"/>
    <w:rsid w:val="00DF44AC"/>
    <w:rsid w:val="00DF4CE2"/>
    <w:rsid w:val="00E0168F"/>
    <w:rsid w:val="00E12071"/>
    <w:rsid w:val="00E12660"/>
    <w:rsid w:val="00E12838"/>
    <w:rsid w:val="00E15BBF"/>
    <w:rsid w:val="00E15ECD"/>
    <w:rsid w:val="00E22019"/>
    <w:rsid w:val="00E23F00"/>
    <w:rsid w:val="00E2599A"/>
    <w:rsid w:val="00E26A0F"/>
    <w:rsid w:val="00E318D4"/>
    <w:rsid w:val="00E31C52"/>
    <w:rsid w:val="00E339EE"/>
    <w:rsid w:val="00E3557A"/>
    <w:rsid w:val="00E4014C"/>
    <w:rsid w:val="00E401FC"/>
    <w:rsid w:val="00E418D9"/>
    <w:rsid w:val="00E42D1B"/>
    <w:rsid w:val="00E46C0B"/>
    <w:rsid w:val="00E46FAB"/>
    <w:rsid w:val="00E474DC"/>
    <w:rsid w:val="00E47EB4"/>
    <w:rsid w:val="00E5155C"/>
    <w:rsid w:val="00E55EA9"/>
    <w:rsid w:val="00E56307"/>
    <w:rsid w:val="00E56D55"/>
    <w:rsid w:val="00E56F52"/>
    <w:rsid w:val="00E57F76"/>
    <w:rsid w:val="00E60696"/>
    <w:rsid w:val="00E62028"/>
    <w:rsid w:val="00E6393C"/>
    <w:rsid w:val="00E67E51"/>
    <w:rsid w:val="00E702CD"/>
    <w:rsid w:val="00E76BE0"/>
    <w:rsid w:val="00E7790B"/>
    <w:rsid w:val="00E81714"/>
    <w:rsid w:val="00E91546"/>
    <w:rsid w:val="00E91678"/>
    <w:rsid w:val="00E9206E"/>
    <w:rsid w:val="00E93438"/>
    <w:rsid w:val="00E93F64"/>
    <w:rsid w:val="00E96737"/>
    <w:rsid w:val="00EA0668"/>
    <w:rsid w:val="00EA127F"/>
    <w:rsid w:val="00EA1F53"/>
    <w:rsid w:val="00EA4376"/>
    <w:rsid w:val="00EA70DC"/>
    <w:rsid w:val="00EB01FF"/>
    <w:rsid w:val="00EB06C6"/>
    <w:rsid w:val="00EB1B47"/>
    <w:rsid w:val="00EB46E1"/>
    <w:rsid w:val="00EB7BD6"/>
    <w:rsid w:val="00EC20FD"/>
    <w:rsid w:val="00EC2E46"/>
    <w:rsid w:val="00EC2EF8"/>
    <w:rsid w:val="00EC3DAC"/>
    <w:rsid w:val="00EC42FF"/>
    <w:rsid w:val="00EC5A73"/>
    <w:rsid w:val="00ED3B7C"/>
    <w:rsid w:val="00ED3D0C"/>
    <w:rsid w:val="00ED4AEF"/>
    <w:rsid w:val="00ED570E"/>
    <w:rsid w:val="00ED5CFE"/>
    <w:rsid w:val="00ED7606"/>
    <w:rsid w:val="00EE005A"/>
    <w:rsid w:val="00EE05CF"/>
    <w:rsid w:val="00EE10AE"/>
    <w:rsid w:val="00EE2DA2"/>
    <w:rsid w:val="00EE4290"/>
    <w:rsid w:val="00EE589E"/>
    <w:rsid w:val="00EE76D0"/>
    <w:rsid w:val="00EE7C89"/>
    <w:rsid w:val="00EF1185"/>
    <w:rsid w:val="00EF754D"/>
    <w:rsid w:val="00F027E9"/>
    <w:rsid w:val="00F0775E"/>
    <w:rsid w:val="00F15779"/>
    <w:rsid w:val="00F15F69"/>
    <w:rsid w:val="00F1612D"/>
    <w:rsid w:val="00F173DD"/>
    <w:rsid w:val="00F21119"/>
    <w:rsid w:val="00F25164"/>
    <w:rsid w:val="00F277D3"/>
    <w:rsid w:val="00F304D7"/>
    <w:rsid w:val="00F30997"/>
    <w:rsid w:val="00F32896"/>
    <w:rsid w:val="00F33C08"/>
    <w:rsid w:val="00F41AE7"/>
    <w:rsid w:val="00F41F44"/>
    <w:rsid w:val="00F42D17"/>
    <w:rsid w:val="00F457A0"/>
    <w:rsid w:val="00F46492"/>
    <w:rsid w:val="00F477B5"/>
    <w:rsid w:val="00F47B01"/>
    <w:rsid w:val="00F5057E"/>
    <w:rsid w:val="00F532BE"/>
    <w:rsid w:val="00F53410"/>
    <w:rsid w:val="00F541F8"/>
    <w:rsid w:val="00F5470A"/>
    <w:rsid w:val="00F551E6"/>
    <w:rsid w:val="00F5563D"/>
    <w:rsid w:val="00F56891"/>
    <w:rsid w:val="00F64CD4"/>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3B6F"/>
    <w:rsid w:val="00F9541D"/>
    <w:rsid w:val="00FA0403"/>
    <w:rsid w:val="00FA597D"/>
    <w:rsid w:val="00FA5B9A"/>
    <w:rsid w:val="00FB01B9"/>
    <w:rsid w:val="00FB0AD3"/>
    <w:rsid w:val="00FB763A"/>
    <w:rsid w:val="00FB79C0"/>
    <w:rsid w:val="00FC2EB8"/>
    <w:rsid w:val="00FC5C43"/>
    <w:rsid w:val="00FD0F11"/>
    <w:rsid w:val="00FD1598"/>
    <w:rsid w:val="00FD576E"/>
    <w:rsid w:val="00FD596B"/>
    <w:rsid w:val="00FE58CC"/>
    <w:rsid w:val="00FE75A9"/>
    <w:rsid w:val="00FF058D"/>
    <w:rsid w:val="00FF1D8E"/>
    <w:rsid w:val="00FF2440"/>
    <w:rsid w:val="00FF322C"/>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A76D4"/>
  <w15:docId w15:val="{87FC73BC-17FD-48F2-A385-71F190D0D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styleId="UnresolvedMention">
    <w:name w:val="Unresolved Mention"/>
    <w:basedOn w:val="DefaultParagraphFont"/>
    <w:uiPriority w:val="99"/>
    <w:semiHidden/>
    <w:unhideWhenUsed/>
    <w:rsid w:val="00A652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573511649">
      <w:bodyDiv w:val="1"/>
      <w:marLeft w:val="0"/>
      <w:marRight w:val="0"/>
      <w:marTop w:val="0"/>
      <w:marBottom w:val="0"/>
      <w:divBdr>
        <w:top w:val="none" w:sz="0" w:space="0" w:color="auto"/>
        <w:left w:val="none" w:sz="0" w:space="0" w:color="auto"/>
        <w:bottom w:val="none" w:sz="0" w:space="0" w:color="auto"/>
        <w:right w:val="none" w:sz="0" w:space="0" w:color="auto"/>
      </w:divBdr>
      <w:divsChild>
        <w:div w:id="1474912163">
          <w:marLeft w:val="0"/>
          <w:marRight w:val="0"/>
          <w:marTop w:val="0"/>
          <w:marBottom w:val="0"/>
          <w:divBdr>
            <w:top w:val="none" w:sz="0" w:space="0" w:color="auto"/>
            <w:left w:val="none" w:sz="0" w:space="0" w:color="auto"/>
            <w:bottom w:val="none" w:sz="0" w:space="0" w:color="auto"/>
            <w:right w:val="none" w:sz="0" w:space="0" w:color="auto"/>
          </w:divBdr>
          <w:divsChild>
            <w:div w:id="665747377">
              <w:marLeft w:val="0"/>
              <w:marRight w:val="0"/>
              <w:marTop w:val="0"/>
              <w:marBottom w:val="0"/>
              <w:divBdr>
                <w:top w:val="none" w:sz="0" w:space="0" w:color="auto"/>
                <w:left w:val="none" w:sz="0" w:space="0" w:color="auto"/>
                <w:bottom w:val="none" w:sz="0" w:space="0" w:color="auto"/>
                <w:right w:val="none" w:sz="0" w:space="0" w:color="auto"/>
              </w:divBdr>
              <w:divsChild>
                <w:div w:id="158421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04376013">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0" Type="http://schemas.openxmlformats.org/officeDocument/2006/relationships/image" Target="media/image4.png"/><Relationship Id="rId21" Type="http://schemas.openxmlformats.org/officeDocument/2006/relationships/image" Target="media/image5.jpe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jpeg"/><Relationship Id="rId29"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E8991C-16C6-D540-B835-0EE984934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2031</Words>
  <Characters>11579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Sebuah Kajian Pustaka:</vt:lpstr>
    </vt:vector>
  </TitlesOfParts>
  <Company>cairo</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On-Device YOLOv8 for Classifying Fishers' Catch Species on Android</dc:title>
  <dc:creator>Juliana Sari, Angga Pratama, Veri Ilhadi</dc:creator>
  <cp:lastModifiedBy>Microsoft Office User</cp:lastModifiedBy>
  <cp:revision>28</cp:revision>
  <cp:lastPrinted>2004-12-30T03:27:00Z</cp:lastPrinted>
  <dcterms:created xsi:type="dcterms:W3CDTF">2018-07-03T02:19:00Z</dcterms:created>
  <dcterms:modified xsi:type="dcterms:W3CDTF">2022-02-27T04:45:00Z</dcterms:modified>
  <dc:subject>ITJRD</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830ee196-6386-3961-8a07-2e9890b2b281</vt:lpwstr>
  </property>
  <property fmtid="{D5CDD505-2E9C-101B-9397-08002B2CF9AE}" pid="4" name="Mendeley Citation Style_1">
    <vt:lpwstr>http://www.zotero.org/styles/ieee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