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117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Since no annotated set for Pashto stemming existed, we built two. A development set of 2,912 word types and a held-out set of 500 types sampled from news text were each annotated independently by three native-speaker Pashto educators, who agreed on 96.88% of stems (κ = 0.969). The held-out set was annotated with its reference column empty and was not consulted while the system was being developed. 499 of its 500 types fall within the stemming task and are the denominator below; the remaining one needs a different word and is reported apart.</w:t>
      </w:r>
    </w:p>
    <w:p>
      <w:pPr>
        <w:spacing w:after="120" w:before="0" w:line="259" w:lineRule="auto"/>
        <w:jc w:val="both"/>
      </w:pPr>
      <w:r>
        <w:rPr>
          <w:rFonts w:ascii="Times New Roman" w:hAnsi="Times New Roman" w:cs="Times New Roman" w:eastAsia="Times New Roman"/>
          <w:b w:val="0"/>
          <w:i w:val="0"/>
          <w:color w:val="000000"/>
          <w:sz w:val="20"/>
        </w:rPr>
        <w:t>On that set the proposed system reaches 71.34% exact-match accuracy against 40.48% for a faithful reimplementation of the prior system, and 70.6% against 16.9% on the types that carry an affix. Paice's under-stemming index falls from 0.889 to 0.556.</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117 rules in which each entry records its grammatical source, its productivity, a confidence level, and an explicit decision about whether it may be stripped. Twenty-five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Of the 117 rules, 39 cite one of those published descriptions directly. A further 30 reference a section of this project's own affix-inventory document, which collates the same literature but is not itself a publication, and 49 carry no reference at all. We separate the three cases rather than report one citation figure, because only the first is a citation in the ordinary sense.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[12]</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[13]</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Apertium apertium-pus</w:t>
            </w:r>
          </w:p>
        </w:tc>
        <w:tc>
          <w:tcPr>
            <w:tcW w:type="dxa" w:w="2880"/>
          </w:tcPr>
          <w:p>
            <w:pPr>
              <w:spacing w:after="0" w:before="0" w:line="240" w:lineRule="auto"/>
            </w:pPr>
            <w:r/>
            <w:r>
              <w:rPr>
                <w:rFonts w:ascii="Times New Roman" w:hAnsi="Times New Roman" w:cs="Times New Roman" w:eastAsia="Times New Roman"/>
                <w:b w:val="0"/>
                <w:i w:val="0"/>
                <w:color w:val="000000"/>
                <w:sz w:val="18"/>
              </w:rPr>
              <w:t>[AP]</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107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Twenty-five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117 rules by what they do. Derivation accounts for 71 of them against 37 inflectional rules, which is the opposite of what a stemmer for English would need and follows from where Pashto puts its productive morphology. The grouping also shows where the gated entries are concentrated: 16 of the 25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117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23</w:t>
            </w:r>
          </w:p>
        </w:tc>
        <w:tc>
          <w:tcPr>
            <w:tcW w:type="dxa" w:w="1368"/>
          </w:tcPr>
          <w:p>
            <w:pPr>
              <w:spacing w:after="0" w:before="0" w:line="240" w:lineRule="auto"/>
            </w:pPr>
            <w:r/>
            <w:r>
              <w:rPr>
                <w:rFonts w:ascii="Times New Roman" w:hAnsi="Times New Roman" w:cs="Times New Roman" w:eastAsia="Times New Roman"/>
                <w:b w:val="0"/>
                <w:i w:val="0"/>
                <w:color w:val="000000"/>
                <w:sz w:val="18"/>
              </w:rPr>
              <w:t>15</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7</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14</w:t>
            </w:r>
          </w:p>
        </w:tc>
        <w:tc>
          <w:tcPr>
            <w:tcW w:type="dxa" w:w="936"/>
          </w:tcPr>
          <w:p>
            <w:pPr>
              <w:spacing w:after="0" w:before="0" w:line="240" w:lineRule="auto"/>
            </w:pPr>
            <w:r/>
            <w:r>
              <w:rPr>
                <w:rFonts w:ascii="Times New Roman" w:hAnsi="Times New Roman" w:cs="Times New Roman" w:eastAsia="Times New Roman"/>
                <w:b w:val="0"/>
                <w:i w:val="0"/>
                <w:color w:val="000000"/>
                <w:sz w:val="18"/>
              </w:rPr>
              <w:t>16</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لې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117</w:t>
            </w:r>
          </w:p>
        </w:tc>
        <w:tc>
          <w:tcPr>
            <w:tcW w:type="dxa" w:w="1368"/>
          </w:tcPr>
          <w:p>
            <w:pPr>
              <w:spacing w:after="0" w:before="0" w:line="240" w:lineRule="auto"/>
            </w:pPr>
            <w:r/>
            <w:r>
              <w:rPr>
                <w:rFonts w:ascii="Times New Roman" w:hAnsi="Times New Roman" w:cs="Times New Roman" w:eastAsia="Times New Roman"/>
                <w:b/>
                <w:i w:val="0"/>
                <w:color w:val="000000"/>
                <w:sz w:val="18"/>
              </w:rPr>
              <w:t>39</w:t>
            </w:r>
          </w:p>
        </w:tc>
        <w:tc>
          <w:tcPr>
            <w:tcW w:type="dxa" w:w="936"/>
          </w:tcPr>
          <w:p>
            <w:pPr>
              <w:spacing w:after="0" w:before="0" w:line="240" w:lineRule="auto"/>
            </w:pPr>
            <w:r/>
            <w:r>
              <w:rPr>
                <w:rFonts w:ascii="Times New Roman" w:hAnsi="Times New Roman" w:cs="Times New Roman" w:eastAsia="Times New Roman"/>
                <w:b/>
                <w:i w:val="0"/>
                <w:color w:val="000000"/>
                <w:sz w:val="18"/>
              </w:rPr>
              <w:t>25</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third component was implemented and then removed. A compound splitter returned the head of a word it judged to be a compound, which conflicted with the annotation policy's decision to keep compounds whole. Measured, it fired on seven types across the two evaluation sets and was wrong on all seven, usually because the “head” it returned was itself a suffix: </w:t>
      </w:r>
      <w:r>
        <w:rPr>
          <w:rFonts w:ascii="Noto Naskh Arabic" w:hAnsi="Noto Naskh Arabic" w:cs="Noto Naskh Arabic" w:eastAsia="Noto Naskh Arabic"/>
          <w:b w:val="0"/>
          <w:i w:val="0"/>
          <w:color w:val="000000"/>
          <w:sz w:val="22"/>
          <w:rtl w:val="1"/>
        </w:rPr>
        <w:t>نړۍوال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پټرولیم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Disabling it is worth 0.22 points on the development set and 0.20 on held-out text. Splitting Pashto compounds reliably needs a lexicon of free forms that we do not have, and guessing at the boundary was worse than leaving it alone.</w:t>
      </w:r>
    </w:p>
    <w:p>
      <w:pPr>
        <w:keepNext/>
        <w:spacing w:before="160" w:after="80"/>
      </w:pPr>
      <w:r>
        <w:rPr>
          <w:rFonts w:ascii="Times New Roman" w:hAnsi="Times New Roman" w:cs="Times New Roman" w:eastAsia="Times New Roman"/>
          <w:b/>
          <w:i/>
          <w:color w:val="000000"/>
          <w:sz w:val="20"/>
        </w:rPr>
        <w:t>F.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42 strong verbs, of which 34 are checked against a printed grammar and 8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That output is a lemma, and substituting one word for another is lemmatization rather than stemming. On the word types whose reference is a truncation, the dictionary decides the output on 61 of them and is right on 11, because it supplies the wrong kind of answer; it costs 1.03 points on the development set and 1.00 on held-out text.</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independently by three native speakers of Pashto before the rule inventory was settled: the author, the principal of a Pashto-medium school, and a university teacher of the language. None of the three saw another's work, and none saw any system output. The author then adjudicated the disagreements and produced the released reference.</w:t>
      </w:r>
    </w:p>
    <w:p>
      <w:pPr>
        <w:spacing w:after="120" w:before="0" w:line="259" w:lineRule="auto"/>
        <w:ind w:firstLine="259"/>
        <w:jc w:val="both"/>
      </w:pPr>
      <w:r>
        <w:rPr>
          <w:rFonts w:ascii="Times New Roman" w:hAnsi="Times New Roman" w:cs="Times New Roman" w:eastAsia="Times New Roman"/>
          <w:b w:val="0"/>
          <w:i w:val="0"/>
          <w:color w:val="000000"/>
          <w:sz w:val="20"/>
        </w:rPr>
        <w:t>Two of the three passes are released as separate files, and the agreement between them can therefore be recomputed rather than asserted. On the 2,725 types both annotated, they chose the same stem for 96.88%, which is a Cohen's κ [14] of 0.969. Reduced to the decision that matters most — whether the word carries an affix at all — they agree on 98.24%, κ = 0.965. The two coefficients answer different questions. Chance agreement on the full stem string is 0.001, because the label space is every substring of the word, so there κ adds little to the raw figure; on the binary decision chance agreement is 0.503, and the κ is doing real work. Both fall in the band Landis and Koch [15] describe as almost perfect agreement.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disagreements are small in substance as well as in number. Of the 86 types the two annotators stem differently, 84% differ by one or two characters: </w:t>
      </w:r>
      <w:r>
        <w:rPr>
          <w:rFonts w:ascii="Noto Naskh Arabic" w:hAnsi="Noto Naskh Arabic" w:cs="Noto Naskh Arabic" w:eastAsia="Noto Naskh Arabic"/>
          <w:b w:val="0"/>
          <w:i w:val="0"/>
          <w:color w:val="000000"/>
          <w:sz w:val="22"/>
          <w:rtl w:val="1"/>
        </w:rPr>
        <w:t>مرست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مرس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خون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خو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They are disagreements about how deep to cut, not about which analysis applies.</w:t>
      </w:r>
    </w:p>
    <w:p>
      <w:pPr>
        <w:spacing w:after="120" w:before="0" w:line="259" w:lineRule="auto"/>
        <w:ind w:firstLine="259"/>
        <w:jc w:val="both"/>
      </w:pPr>
      <w:r>
        <w:rPr>
          <w:rFonts w:ascii="Times New Roman" w:hAnsi="Times New Roman" w:cs="Times New Roman" w:eastAsia="Times New Roman"/>
          <w:b w:val="0"/>
          <w:i w:val="0"/>
          <w:color w:val="000000"/>
          <w:sz w:val="20"/>
        </w:rPr>
        <w:t>The adjudicated reference stays close to both passes: 93.64% identical to the school principal's and 94.98% to the university teacher's. Where it departs from both, it follows the written annotation policy, and the 42 policy decisions taken during the project are logged individually with their reasons.</w:t>
      </w:r>
    </w:p>
    <w:p>
      <w:pPr>
        <w:spacing w:after="120" w:before="0" w:line="259" w:lineRule="auto"/>
        <w:ind w:firstLine="259"/>
        <w:jc w:val="both"/>
      </w:pPr>
      <w:r>
        <w:rPr>
          <w:rFonts w:ascii="Times New Roman" w:hAnsi="Times New Roman" w:cs="Times New Roman" w:eastAsia="Times New Roman"/>
          <w:b w:val="0"/>
          <w:i w:val="0"/>
          <w:color w:val="000000"/>
          <w:sz w:val="20"/>
        </w:rPr>
        <w:t>One part of the construction is circular and we state it rather than leave it to be found. 116 verb forms were revised for consistency with the verb analysis, and 81 of those were changed to the reading the system itself produces, which is 3.0% of the stemming types. That is a real dependency between the reference and the system, it is confined to verbs, and it is why the held-out set rather than this one is treated as the result.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by the same three native speakers, with the reference field initially empty so that nothing anchored them to any system's output. All three agreed on the result, and it is released as a single reference. The set was not consulted during development, and every figure reported for it comes from a single run of the finished system. The released file carries two reference columns, gold_stem and expert_stem, whose contents are identical: they record that one agreed reference under two names.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pass was audited by comparing every removal against the affix inventory. On the released first-pass file, 50 of 299 removals, 16.7%, match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Thirty rows were revised in response, and the figure falls to 33 of 287, or 11.5%. The same audit on the development set leaves 105 of 1,355 removals, or 7.7%, unaccounted for.</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spacing w:after="120" w:before="0" w:line="259" w:lineRule="auto"/>
        <w:ind w:firstLine="259"/>
        <w:jc w:val="both"/>
      </w:pPr>
      <w:r>
        <w:rPr>
          <w:rFonts w:ascii="Times New Roman" w:hAnsi="Times New Roman" w:cs="Times New Roman" w:eastAsia="Times New Roman"/>
          <w:b w:val="0"/>
          <w:i w:val="0"/>
          <w:color w:val="000000"/>
          <w:sz w:val="20"/>
        </w:rPr>
        <w:t>The 33 removals that remain unaccounted for in the final held-out set are a live defect, not a resolved one. Each is either an annotation error, in which case the reported accuracy is measured against a reference that is wrong on that row, or a gap in the inventory, in which case the inventory is incomplete. They are released as a list so that the question is open to inspection rather than settled by assertion.</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47.77% on the development set and 37.27%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2,717 stemming types and 195 lemma types, and the held-out set 499 and 1.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40.48%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THE SAME 499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37.27%</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40.48%</w:t>
            </w:r>
          </w:p>
        </w:tc>
        <w:tc>
          <w:tcPr>
            <w:tcW w:type="dxa" w:w="1872"/>
          </w:tcPr>
          <w:p>
            <w:pPr>
              <w:spacing w:after="0" w:before="0" w:line="240" w:lineRule="auto"/>
            </w:pPr>
            <w:r/>
            <w:r>
              <w:rPr>
                <w:rFonts w:ascii="Times New Roman" w:hAnsi="Times New Roman" w:cs="Times New Roman" w:eastAsia="Times New Roman"/>
                <w:b w:val="0"/>
                <w:i w:val="0"/>
                <w:color w:val="000000"/>
                <w:sz w:val="18"/>
              </w:rPr>
              <w:t>80.76%</w:t>
            </w:r>
          </w:p>
        </w:tc>
        <w:tc>
          <w:tcPr>
            <w:tcW w:type="dxa" w:w="1872"/>
          </w:tcPr>
          <w:p>
            <w:pPr>
              <w:spacing w:after="0" w:before="0" w:line="240" w:lineRule="auto"/>
            </w:pPr>
            <w:r/>
            <w:r>
              <w:rPr>
                <w:rFonts w:ascii="Times New Roman" w:hAnsi="Times New Roman" w:cs="Times New Roman" w:eastAsia="Times New Roman"/>
                <w:b w:val="0"/>
                <w:i w:val="0"/>
                <w:color w:val="000000"/>
                <w:sz w:val="18"/>
              </w:rPr>
              <w:t>37.5%</w:t>
            </w:r>
          </w:p>
        </w:tc>
      </w:tr>
      <w:t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71.34%</w:t>
            </w:r>
          </w:p>
        </w:tc>
        <w:tc>
          <w:tcPr>
            <w:tcW w:type="dxa" w:w="1872"/>
          </w:tcPr>
          <w:p>
            <w:pPr>
              <w:spacing w:after="0" w:before="0" w:line="240" w:lineRule="auto"/>
            </w:pPr>
            <w:r/>
            <w:r>
              <w:rPr>
                <w:rFonts w:ascii="Times New Roman" w:hAnsi="Times New Roman" w:cs="Times New Roman" w:eastAsia="Times New Roman"/>
                <w:b/>
                <w:i w:val="0"/>
                <w:color w:val="000000"/>
                <w:sz w:val="18"/>
              </w:rPr>
              <w:t>98.60%</w:t>
            </w:r>
          </w:p>
        </w:tc>
        <w:tc>
          <w:tcPr>
            <w:tcW w:type="dxa" w:w="1872"/>
          </w:tcPr>
          <w:p>
            <w:pPr>
              <w:spacing w:after="0" w:before="0" w:line="240" w:lineRule="auto"/>
            </w:pPr>
            <w:r/>
            <w:r>
              <w:rPr>
                <w:rFonts w:ascii="Times New Roman" w:hAnsi="Times New Roman" w:cs="Times New Roman" w:eastAsia="Times New Roman"/>
                <w:b w:val="0"/>
                <w:i w:val="0"/>
                <w:color w:val="000000"/>
                <w:sz w:val="18"/>
              </w:rPr>
              <w:t>68.3%</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98.60% to 80.76%,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 reports the held-out set, which is the primary result: 499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HELD-OUT EVALUATION, 499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37.27%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40.48%</w:t>
            </w:r>
          </w:p>
        </w:tc>
        <w:tc>
          <w:tcPr>
            <w:tcW w:type="dxa" w:w="1584"/>
          </w:tcPr>
          <w:p>
            <w:pPr>
              <w:spacing w:after="0" w:before="0" w:line="240" w:lineRule="auto"/>
            </w:pPr>
            <w:r/>
            <w:r>
              <w:rPr>
                <w:rFonts w:ascii="Times New Roman" w:hAnsi="Times New Roman" w:cs="Times New Roman" w:eastAsia="Times New Roman"/>
                <w:b w:val="0"/>
                <w:i w:val="0"/>
                <w:color w:val="000000"/>
                <w:sz w:val="18"/>
              </w:rPr>
              <w:t>16.9%</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0.889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71.34%</w:t>
            </w:r>
          </w:p>
        </w:tc>
        <w:tc>
          <w:tcPr>
            <w:tcW w:type="dxa" w:w="1584"/>
          </w:tcPr>
          <w:p>
            <w:pPr>
              <w:spacing w:after="0" w:before="0" w:line="240" w:lineRule="auto"/>
            </w:pPr>
            <w:r/>
            <w:r>
              <w:rPr>
                <w:rFonts w:ascii="Times New Roman" w:hAnsi="Times New Roman" w:cs="Times New Roman" w:eastAsia="Times New Roman"/>
                <w:b/>
                <w:i w:val="0"/>
                <w:color w:val="000000"/>
                <w:sz w:val="18"/>
              </w:rPr>
              <w:t>70.6%</w:t>
            </w:r>
          </w:p>
        </w:tc>
        <w:tc>
          <w:tcPr>
            <w:tcW w:type="dxa" w:w="1584"/>
          </w:tcPr>
          <w:p>
            <w:pPr>
              <w:spacing w:after="0" w:before="0" w:line="240" w:lineRule="auto"/>
            </w:pPr>
            <w:r/>
            <w:r>
              <w:rPr>
                <w:rFonts w:ascii="Times New Roman" w:hAnsi="Times New Roman" w:cs="Times New Roman" w:eastAsia="Times New Roman"/>
                <w:b w:val="0"/>
                <w:i w:val="0"/>
                <w:color w:val="000000"/>
                <w:sz w:val="18"/>
              </w:rPr>
              <w:t>72.6%</w:t>
            </w:r>
          </w:p>
        </w:tc>
        <w:tc>
          <w:tcPr>
            <w:tcW w:type="dxa" w:w="1296"/>
          </w:tcPr>
          <w:p>
            <w:pPr>
              <w:spacing w:after="0" w:before="0" w:line="240" w:lineRule="auto"/>
            </w:pPr>
            <w:r/>
            <w:r>
              <w:rPr>
                <w:rFonts w:ascii="Times New Roman" w:hAnsi="Times New Roman" w:cs="Times New Roman" w:eastAsia="Times New Roman"/>
                <w:b/>
                <w:i w:val="0"/>
                <w:color w:val="000000"/>
                <w:sz w:val="18"/>
              </w:rPr>
              <w:t>0.556</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30.9 points overall. The separation of the two halves is more informative than the overall figure: on the types that require a strip the baseline reaches 16.9% and the proposed system 70.6%, a factor of four. Paice's under-stemming index falls from 0.889 to 0.556,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DEVELOPMENT SET, 2,717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47.77%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50.68%</w:t>
            </w:r>
          </w:p>
        </w:tc>
        <w:tc>
          <w:tcPr>
            <w:tcW w:type="dxa" w:w="1584"/>
          </w:tcPr>
          <w:p>
            <w:pPr>
              <w:spacing w:after="0" w:before="0" w:line="240" w:lineRule="auto"/>
            </w:pPr>
            <w:r/>
            <w:r>
              <w:rPr>
                <w:rFonts w:ascii="Times New Roman" w:hAnsi="Times New Roman" w:cs="Times New Roman" w:eastAsia="Times New Roman"/>
                <w:b w:val="0"/>
                <w:i w:val="0"/>
                <w:color w:val="000000"/>
                <w:sz w:val="18"/>
              </w:rPr>
              <w:t>12.2%</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79.43%</w:t>
            </w:r>
          </w:p>
        </w:tc>
        <w:tc>
          <w:tcPr>
            <w:tcW w:type="dxa" w:w="1584"/>
          </w:tcPr>
          <w:p>
            <w:pPr>
              <w:spacing w:after="0" w:before="0" w:line="240" w:lineRule="auto"/>
            </w:pPr>
            <w:r/>
            <w:r>
              <w:rPr>
                <w:rFonts w:ascii="Times New Roman" w:hAnsi="Times New Roman" w:cs="Times New Roman" w:eastAsia="Times New Roman"/>
                <w:b/>
                <w:i w:val="0"/>
                <w:color w:val="000000"/>
                <w:sz w:val="18"/>
              </w:rPr>
              <w:t>77.0%</w:t>
            </w:r>
          </w:p>
        </w:tc>
        <w:tc>
          <w:tcPr>
            <w:tcW w:type="dxa" w:w="1584"/>
          </w:tcPr>
          <w:p>
            <w:pPr>
              <w:spacing w:after="0" w:before="0" w:line="240" w:lineRule="auto"/>
            </w:pPr>
            <w:r/>
            <w:r>
              <w:rPr>
                <w:rFonts w:ascii="Times New Roman" w:hAnsi="Times New Roman" w:cs="Times New Roman" w:eastAsia="Times New Roman"/>
                <w:b w:val="0"/>
                <w:i w:val="0"/>
                <w:color w:val="000000"/>
                <w:sz w:val="18"/>
              </w:rPr>
              <w:t>82.0%</w:t>
            </w:r>
          </w:p>
        </w:tc>
        <w:tc>
          <w:tcPr>
            <w:tcW w:type="dxa" w:w="1296"/>
          </w:tcPr>
          <w:p>
            <w:pPr>
              <w:spacing w:after="0" w:before="0" w:line="240" w:lineRule="auto"/>
            </w:pPr>
            <w:r/>
            <w:r>
              <w:rPr>
                <w:rFonts w:ascii="Times New Roman" w:hAnsi="Times New Roman" w:cs="Times New Roman" w:eastAsia="Times New Roman"/>
                <w:b/>
                <w:i w:val="0"/>
                <w:color w:val="000000"/>
                <w:sz w:val="18"/>
              </w:rPr>
              <w:t>0.314</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 reports the development set. The figure is higher than the held-out result. The revisions described in Section V.B account for 0.07 points of that gap, so the explanation lies elsewhere: it is orthographic, and Section VII.D gives it. The development set is reported for comparability with the baseline, which is scored identically, and because Paice's indices are more stable on the larger set. On the types requiring a strip the margin is wider still: 77.0% against 12.2%, a factor of six.</w:t>
      </w:r>
    </w:p>
    <w:p>
      <w:pPr>
        <w:keepNext/>
        <w:spacing w:before="160" w:after="80"/>
      </w:pPr>
      <w:r>
        <w:rPr>
          <w:rFonts w:ascii="Times New Roman" w:hAnsi="Times New Roman" w:cs="Times New Roman" w:eastAsia="Times New Roman"/>
          <w:b/>
          <w:i/>
          <w:color w:val="000000"/>
          <w:sz w:val="20"/>
        </w:rPr>
        <w:t>C.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VIII.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79.43%</w:t>
            </w:r>
          </w:p>
        </w:tc>
        <w:tc>
          <w:tcPr>
            <w:tcW w:type="dxa" w:w="2808"/>
          </w:tcPr>
          <w:p>
            <w:pPr>
              <w:spacing w:after="0" w:before="0" w:line="240" w:lineRule="auto"/>
            </w:pPr>
            <w:r/>
            <w:r>
              <w:rPr>
                <w:rFonts w:ascii="Times New Roman" w:hAnsi="Times New Roman" w:cs="Times New Roman" w:eastAsia="Times New Roman"/>
                <w:b/>
                <w:i w:val="0"/>
                <w:color w:val="000000"/>
                <w:sz w:val="18"/>
              </w:rPr>
              <w:t>71.34%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71.99% (−7.43)</w:t>
            </w:r>
          </w:p>
        </w:tc>
        <w:tc>
          <w:tcPr>
            <w:tcW w:type="dxa" w:w="2808"/>
          </w:tcPr>
          <w:p>
            <w:pPr>
              <w:spacing w:after="0" w:before="0" w:line="240" w:lineRule="auto"/>
            </w:pPr>
            <w:r/>
            <w:r>
              <w:rPr>
                <w:rFonts w:ascii="Times New Roman" w:hAnsi="Times New Roman" w:cs="Times New Roman" w:eastAsia="Times New Roman"/>
                <w:b w:val="0"/>
                <w:i w:val="0"/>
                <w:color w:val="000000"/>
                <w:sz w:val="18"/>
              </w:rPr>
              <w:t>58.92% (−12.42)</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76.48% (−2.94)</w:t>
            </w:r>
          </w:p>
        </w:tc>
        <w:tc>
          <w:tcPr>
            <w:tcW w:type="dxa" w:w="2808"/>
          </w:tcPr>
          <w:p>
            <w:pPr>
              <w:spacing w:after="0" w:before="0" w:line="240" w:lineRule="auto"/>
            </w:pPr>
            <w:r/>
            <w:r>
              <w:rPr>
                <w:rFonts w:ascii="Times New Roman" w:hAnsi="Times New Roman" w:cs="Times New Roman" w:eastAsia="Times New Roman"/>
                <w:b w:val="0"/>
                <w:i w:val="0"/>
                <w:color w:val="000000"/>
                <w:sz w:val="18"/>
              </w:rPr>
              <w:t>69.34% (−2.00)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78.32% (−1.10)</w:t>
            </w:r>
          </w:p>
        </w:tc>
        <w:tc>
          <w:tcPr>
            <w:tcW w:type="dxa" w:w="2808"/>
          </w:tcPr>
          <w:p>
            <w:pPr>
              <w:spacing w:after="0" w:before="0" w:line="240" w:lineRule="auto"/>
            </w:pPr>
            <w:r/>
            <w:r>
              <w:rPr>
                <w:rFonts w:ascii="Times New Roman" w:hAnsi="Times New Roman" w:cs="Times New Roman" w:eastAsia="Times New Roman"/>
                <w:b w:val="0"/>
                <w:i w:val="0"/>
                <w:color w:val="000000"/>
                <w:sz w:val="18"/>
              </w:rPr>
              <w:t>71.74% (+0.40)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79.13% (−0.29)</w:t>
            </w:r>
          </w:p>
        </w:tc>
        <w:tc>
          <w:tcPr>
            <w:tcW w:type="dxa" w:w="2808"/>
          </w:tcPr>
          <w:p>
            <w:pPr>
              <w:spacing w:after="0" w:before="0" w:line="240" w:lineRule="auto"/>
            </w:pPr>
            <w:r/>
            <w:r>
              <w:rPr>
                <w:rFonts w:ascii="Times New Roman" w:hAnsi="Times New Roman" w:cs="Times New Roman" w:eastAsia="Times New Roman"/>
                <w:b w:val="0"/>
                <w:i w:val="0"/>
                <w:color w:val="000000"/>
                <w:sz w:val="18"/>
              </w:rPr>
              <w:t>71.14%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79.39% (−0.04)</w:t>
            </w:r>
          </w:p>
        </w:tc>
        <w:tc>
          <w:tcPr>
            <w:tcW w:type="dxa" w:w="2808"/>
          </w:tcPr>
          <w:p>
            <w:pPr>
              <w:spacing w:after="0" w:before="0" w:line="240" w:lineRule="auto"/>
            </w:pPr>
            <w:r/>
            <w:r>
              <w:rPr>
                <w:rFonts w:ascii="Times New Roman" w:hAnsi="Times New Roman" w:cs="Times New Roman" w:eastAsia="Times New Roman"/>
                <w:b w:val="0"/>
                <w:i w:val="0"/>
                <w:color w:val="000000"/>
                <w:sz w:val="18"/>
              </w:rPr>
              <w:t>71.54%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78.40% (−1.03)</w:t>
            </w:r>
          </w:p>
        </w:tc>
        <w:tc>
          <w:tcPr>
            <w:tcW w:type="dxa" w:w="2808"/>
          </w:tcPr>
          <w:p>
            <w:pPr>
              <w:spacing w:after="0" w:before="0" w:line="240" w:lineRule="auto"/>
            </w:pPr>
            <w:r/>
            <w:r>
              <w:rPr>
                <w:rFonts w:ascii="Times New Roman" w:hAnsi="Times New Roman" w:cs="Times New Roman" w:eastAsia="Times New Roman"/>
                <w:b w:val="0"/>
                <w:i w:val="0"/>
                <w:color w:val="000000"/>
                <w:sz w:val="18"/>
              </w:rPr>
              <w:t>70.34% (−1.00)</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12.4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1.10 points on the development set and −0.40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about one point on both sets, for the reason given in Section IV.F. Its proper contribution is to the lemma types, where it answers 51 of the 195 in the development set against 8 without it.</w:t>
      </w:r>
    </w:p>
    <w:p>
      <w:pPr>
        <w:keepNext/>
        <w:spacing w:before="160" w:after="80"/>
      </w:pPr>
      <w:r>
        <w:rPr>
          <w:rFonts w:ascii="Times New Roman" w:hAnsi="Times New Roman" w:cs="Times New Roman" w:eastAsia="Times New Roman"/>
          <w:b/>
          <w:i/>
          <w:color w:val="000000"/>
          <w:sz w:val="20"/>
        </w:rPr>
        <w:t>D.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0.40 points higher; on held-out news text the folded comparison is worth a point,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Some rules are simply wrong. Three were identified and removed during this work: a standalone rule for the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only ever applied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root and so turned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 rule removing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where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a rule restoring a feminine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any stem that had lost one, which produced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کورونه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were defects rather than ambiguity. We give the words rather than firing counts because the counts were measured against an inventory that has since changed and cannot be recomputed from the released code.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131 times on the development set and is correct 86 times.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1.62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559 development-set errors divide into three kinds. 317 of them, 57%, are over-strips, where the system removed more than the reference does; 201, 36%, are under-strips, and 101 of those are words the system left untouched altogether; the remaining 41 are the same length as the reference but differ in which letters survive. The held-out set behaves the same way, 52% and 43%. Over-stripping is therefore the larger problem on both sets, which is what one would expect of a system whose scorer rewards removing affix material, and it is concentrated on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on loanwords rather than on missing affixes.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8.5 points and held-out accuracy by zero: of the 51 held-out types needing the same treatment, none appear in the list. The list is pure memorisation of one sample. The generalizing form of the same idea is a named-entity and loanword lexicon, since the words concerned are overwhelmingly names and borrowings, and we leave that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Of 117 affix rules, 39 cite a published description directly and 49 carry no reference at all. Of 42 verbs in the dictionary, 34 are checked against a printed grammar and 8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Compounds are kept whole, which is a policy choice rather than a solution: it avoids a class of error at the cost of never conflating </w:t>
      </w:r>
      <w:r>
        <w:rPr>
          <w:rFonts w:ascii="Noto Naskh Arabic" w:hAnsi="Noto Naskh Arabic" w:cs="Noto Naskh Arabic" w:eastAsia="Noto Naskh Arabic"/>
          <w:b w:val="0"/>
          <w:i w:val="0"/>
          <w:color w:val="000000"/>
          <w:sz w:val="22"/>
          <w:rtl w:val="1"/>
        </w:rPr>
        <w:t>لاسلیک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لاس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annotation does not follow the policy perfectly either, and an audit during development found types where the reference itself splits a compound. The released audit script reports every removal that matches no documented affix, which is where such cases surface.</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117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499 held-out word types from news text, annotated blind and never used during development, the system reaches 71.34% exact-match accuracy against 40.48% for the published baseline, and 70.6% against 16.9% on the types that require a strip. On a 2,717-type development set it reaches 79.43% against 50.68%, with Paice's under-stemming index falling from 0.919 to 0.314.</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annotated the data alongside him: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J. Cohen, “A coefficient of agreement for nominal scales,” Educational and Psychological Measurement, vol. 20, no. 1, pp. 37–46, 1960.</w:t>
      </w:r>
    </w:p>
    <w:p>
      <w:pPr>
        <w:spacing w:after="60" w:line="240" w:lineRule="auto"/>
        <w:ind w:left="317" w:hanging="317"/>
      </w:pPr>
      <w:r>
        <w:rPr>
          <w:rFonts w:ascii="Times New Roman" w:hAnsi="Times New Roman" w:cs="Times New Roman" w:eastAsia="Times New Roman"/>
          <w:b w:val="0"/>
          <w:i w:val="0"/>
          <w:color w:val="000000"/>
          <w:sz w:val="17"/>
        </w:rPr>
        <w:t xml:space="preserve">[14] </w:t>
      </w:r>
      <w:r>
        <w:rPr>
          <w:rFonts w:ascii="Times New Roman" w:hAnsi="Times New Roman" w:cs="Times New Roman" w:eastAsia="Times New Roman"/>
          <w:b w:val="0"/>
          <w:i w:val="0"/>
          <w:color w:val="000000"/>
          <w:sz w:val="17"/>
        </w:rPr>
        <w:t>J. R. Landis and G. G. Koch, “The measurement of observer agreement for categorical data,” Biometrics, vol. 33, no. 1, pp. 159–174, 1977.</w:t>
      </w:r>
    </w:p>
    <w:p>
      <w:pPr>
        <w:spacing w:after="60" w:line="240" w:lineRule="auto"/>
        <w:ind w:left="317" w:hanging="317"/>
      </w:pPr>
      <w:r>
        <w:rPr>
          <w:rFonts w:ascii="Times New Roman" w:hAnsi="Times New Roman" w:cs="Times New Roman" w:eastAsia="Times New Roman"/>
          <w:b w:val="0"/>
          <w:i w:val="0"/>
          <w:color w:val="000000"/>
          <w:sz w:val="17"/>
        </w:rPr>
        <w:t xml:space="preserve">[15]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117 rules in full, in the order the engine holds them. “Type” gives the side and whether the rule is inflectional or derivational; “min” is the shortest stem the rule is allowed to leave; “strip” is whether the engine may remove the affix at all. The entries marked no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8712" w:type="dxa"/>
      </w:tblPr>
      <w:tblGrid>
        <w:gridCol w:w="1296"/>
        <w:gridCol w:w="1368"/>
        <w:gridCol w:w="648"/>
        <w:gridCol w:w="1368"/>
        <w:gridCol w:w="1584"/>
        <w:gridCol w:w="1440"/>
        <w:gridCol w:w="1007"/>
      </w:tblGrid>
      <w:tr>
        <w:tc>
          <w:tcPr>
            <w:tcW w:type="dxa" w:w="1296"/>
            <w:shd w:val="clear" w:fill="E8E8E8"/>
          </w:tcPr>
          <w:p>
            <w:pPr>
              <w:spacing w:after="20"/>
            </w:pPr>
            <w:r/>
            <w:r>
              <w:rPr>
                <w:rFonts w:ascii="Times New Roman" w:hAnsi="Times New Roman" w:cs="Times New Roman" w:eastAsia="Times New Roman"/>
                <w:b/>
                <w:i w:val="0"/>
                <w:color w:val="000000"/>
                <w:sz w:val="18"/>
              </w:rPr>
              <w:t>Affix</w:t>
            </w:r>
          </w:p>
        </w:tc>
        <w:tc>
          <w:tcPr>
            <w:tcW w:type="dxa" w:w="1368"/>
            <w:shd w:val="clear" w:fill="E8E8E8"/>
          </w:tcPr>
          <w:p>
            <w:pPr>
              <w:spacing w:after="20"/>
            </w:pPr>
            <w:r/>
            <w:r>
              <w:rPr>
                <w:rFonts w:ascii="Times New Roman" w:hAnsi="Times New Roman" w:cs="Times New Roman" w:eastAsia="Times New Roman"/>
                <w:b/>
                <w:i w:val="0"/>
                <w:color w:val="000000"/>
                <w:sz w:val="18"/>
              </w:rPr>
              <w:t>Type</w:t>
            </w:r>
          </w:p>
        </w:tc>
        <w:tc>
          <w:tcPr>
            <w:tcW w:type="dxa" w:w="648"/>
            <w:shd w:val="clear" w:fill="E8E8E8"/>
          </w:tcPr>
          <w:p>
            <w:pPr>
              <w:spacing w:after="20"/>
            </w:pPr>
            <w:r/>
            <w:r>
              <w:rPr>
                <w:rFonts w:ascii="Times New Roman" w:hAnsi="Times New Roman" w:cs="Times New Roman" w:eastAsia="Times New Roman"/>
                <w:b/>
                <w:i w:val="0"/>
                <w:color w:val="000000"/>
                <w:sz w:val="18"/>
              </w:rPr>
              <w:t>min</w:t>
            </w:r>
          </w:p>
        </w:tc>
        <w:tc>
          <w:tcPr>
            <w:tcW w:type="dxa" w:w="1368"/>
            <w:shd w:val="clear" w:fill="E8E8E8"/>
          </w:tcPr>
          <w:p>
            <w:pPr>
              <w:spacing w:after="20"/>
            </w:pPr>
            <w:r/>
            <w:r>
              <w:rPr>
                <w:rFonts w:ascii="Times New Roman" w:hAnsi="Times New Roman" w:cs="Times New Roman" w:eastAsia="Times New Roman"/>
                <w:b/>
                <w:i w:val="0"/>
                <w:color w:val="000000"/>
                <w:sz w:val="18"/>
              </w:rPr>
              <w:t>POS</w:t>
            </w:r>
          </w:p>
        </w:tc>
        <w:tc>
          <w:tcPr>
            <w:tcW w:type="dxa" w:w="1584"/>
            <w:shd w:val="clear" w:fill="E8E8E8"/>
          </w:tcPr>
          <w:p>
            <w:pPr>
              <w:spacing w:after="20"/>
            </w:pPr>
            <w:r/>
            <w:r>
              <w:rPr>
                <w:rFonts w:ascii="Times New Roman" w:hAnsi="Times New Roman" w:cs="Times New Roman" w:eastAsia="Times New Roman"/>
                <w:b/>
                <w:i w:val="0"/>
                <w:color w:val="000000"/>
                <w:sz w:val="18"/>
              </w:rPr>
              <w:t>Productivity</w:t>
            </w:r>
          </w:p>
        </w:tc>
        <w:tc>
          <w:tcPr>
            <w:tcW w:type="dxa" w:w="1440"/>
            <w:shd w:val="clear" w:fill="E8E8E8"/>
          </w:tcPr>
          <w:p>
            <w:pPr>
              <w:spacing w:after="20"/>
            </w:pPr>
            <w:r/>
            <w:r>
              <w:rPr>
                <w:rFonts w:ascii="Times New Roman" w:hAnsi="Times New Roman" w:cs="Times New Roman" w:eastAsia="Times New Roman"/>
                <w:b/>
                <w:i w:val="0"/>
                <w:color w:val="000000"/>
                <w:sz w:val="18"/>
              </w:rPr>
              <w:t>Confidence</w:t>
            </w:r>
          </w:p>
        </w:tc>
        <w:tc>
          <w:tcPr>
            <w:tcW w:type="dxa" w:w="1008"/>
            <w:shd w:val="clear" w:fill="E8E8E8"/>
          </w:tcPr>
          <w:p>
            <w:pPr>
              <w:spacing w:after="20"/>
            </w:pPr>
            <w:r/>
            <w:r>
              <w:rPr>
                <w:rFonts w:ascii="Times New Roman" w:hAnsi="Times New Roman" w:cs="Times New Roman" w:eastAsia="Times New Roman"/>
                <w:b/>
                <w:i w:val="0"/>
                <w:color w:val="000000"/>
                <w:sz w:val="18"/>
              </w:rPr>
              <w:t>Strip</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Nominal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Verbal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nouns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adjectives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verbs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Prefixes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