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tlas-industries-procurement-guide"/>
    <w:p>
      <w:pPr>
        <w:pStyle w:val="Heading1"/>
      </w:pPr>
      <w:r>
        <w:t xml:space="preserve">Atlas Industries — Procurement Guide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FIN-PROC-003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Procurement &amp; Finance Operations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1 February 2025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3.3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guide describes how Atlas Industries procures goods and services from external vendors, the approval thresholds, and the documentation required at each step.</w:t>
      </w:r>
    </w:p>
    <w:bookmarkEnd w:id="20"/>
    <w:bookmarkStart w:id="21" w:name="when-this-process-applies"/>
    <w:p>
      <w:pPr>
        <w:pStyle w:val="Heading2"/>
      </w:pPr>
      <w:r>
        <w:t xml:space="preserve">2. When This Process Applies</w:t>
      </w:r>
    </w:p>
    <w:p>
      <w:pPr>
        <w:pStyle w:val="FirstParagraph"/>
      </w:pPr>
      <w:r>
        <w:t xml:space="preserve">Use this process for any purchase from an external vendor that meets any of the following:</w:t>
      </w:r>
    </w:p>
    <w:p>
      <w:pPr>
        <w:numPr>
          <w:ilvl w:val="0"/>
          <w:numId w:val="1001"/>
        </w:numPr>
        <w:pStyle w:val="Compact"/>
      </w:pPr>
      <w:r>
        <w:t xml:space="preserve">Total value exceeds</w:t>
      </w:r>
      <w:r>
        <w:t xml:space="preserve"> </w:t>
      </w:r>
      <w:r>
        <w:rPr>
          <w:bCs/>
          <w:b/>
        </w:rPr>
        <w:t xml:space="preserve">5,000 EGP</w:t>
      </w:r>
      <w:r>
        <w:t xml:space="preserve"> </w:t>
      </w:r>
      <w:r>
        <w:t xml:space="preserve">for goods.</w:t>
      </w:r>
    </w:p>
    <w:p>
      <w:pPr>
        <w:numPr>
          <w:ilvl w:val="0"/>
          <w:numId w:val="1001"/>
        </w:numPr>
        <w:pStyle w:val="Compact"/>
      </w:pPr>
      <w:r>
        <w:t xml:space="preserve">Total value exceeds</w:t>
      </w:r>
      <w:r>
        <w:t xml:space="preserve"> </w:t>
      </w:r>
      <w:r>
        <w:rPr>
          <w:bCs/>
          <w:b/>
        </w:rPr>
        <w:t xml:space="preserve">10,000 EGP</w:t>
      </w:r>
      <w:r>
        <w:t xml:space="preserve"> </w:t>
      </w:r>
      <w:r>
        <w:t xml:space="preserve">for services.</w:t>
      </w:r>
    </w:p>
    <w:p>
      <w:pPr>
        <w:numPr>
          <w:ilvl w:val="0"/>
          <w:numId w:val="1001"/>
        </w:numPr>
        <w:pStyle w:val="Compact"/>
      </w:pPr>
      <w:r>
        <w:t xml:space="preserve">The vendor will receive payment via bank transfer (not corporate card).</w:t>
      </w:r>
    </w:p>
    <w:p>
      <w:pPr>
        <w:numPr>
          <w:ilvl w:val="0"/>
          <w:numId w:val="1001"/>
        </w:numPr>
        <w:pStyle w:val="Compact"/>
      </w:pPr>
      <w:r>
        <w:t xml:space="preserve">The vendor is new to Atlas (not previously used).</w:t>
      </w:r>
    </w:p>
    <w:p>
      <w:pPr>
        <w:pStyle w:val="FirstParagraph"/>
      </w:pPr>
      <w:r>
        <w:t xml:space="preserve">For lower-value purchases, the corporate credit card (see FIN-CC-005) is the preferred channel.</w:t>
      </w:r>
    </w:p>
    <w:bookmarkEnd w:id="21"/>
    <w:bookmarkStart w:id="28" w:name="procurement-steps"/>
    <w:p>
      <w:pPr>
        <w:pStyle w:val="Heading2"/>
      </w:pPr>
      <w:r>
        <w:t xml:space="preserve">3. Procurement Steps</w:t>
      </w:r>
    </w:p>
    <w:bookmarkStart w:id="22" w:name="step-1-need-identification"/>
    <w:p>
      <w:pPr>
        <w:pStyle w:val="Heading3"/>
      </w:pPr>
      <w:r>
        <w:t xml:space="preserve">Step 1: Need Identification</w:t>
      </w:r>
    </w:p>
    <w:p>
      <w:pPr>
        <w:numPr>
          <w:ilvl w:val="0"/>
          <w:numId w:val="1002"/>
        </w:numPr>
        <w:pStyle w:val="Compact"/>
      </w:pPr>
      <w:r>
        <w:t xml:space="preserve">The requesting department defines the need, scope, and expected outcome.</w:t>
      </w:r>
    </w:p>
    <w:p>
      <w:pPr>
        <w:numPr>
          <w:ilvl w:val="0"/>
          <w:numId w:val="1002"/>
        </w:numPr>
        <w:pStyle w:val="Compact"/>
      </w:pPr>
      <w:r>
        <w:t xml:space="preserve">For technical needs (software, hardware), IT is consulted for compatibility.</w:t>
      </w:r>
    </w:p>
    <w:bookmarkEnd w:id="22"/>
    <w:bookmarkStart w:id="23" w:name="step-2-request-for-quotation-rfq"/>
    <w:p>
      <w:pPr>
        <w:pStyle w:val="Heading3"/>
      </w:pPr>
      <w:r>
        <w:t xml:space="preserve">Step 2: Request for Quotation (RFQ)</w:t>
      </w:r>
    </w:p>
    <w:p>
      <w:pPr>
        <w:numPr>
          <w:ilvl w:val="0"/>
          <w:numId w:val="1003"/>
        </w:numPr>
        <w:pStyle w:val="Compact"/>
      </w:pPr>
      <w:r>
        <w:t xml:space="preserve">For purchases above</w:t>
      </w:r>
      <w:r>
        <w:t xml:space="preserve"> </w:t>
      </w:r>
      <w:r>
        <w:rPr>
          <w:bCs/>
          <w:b/>
        </w:rPr>
        <w:t xml:space="preserve">25,000 EGP</w:t>
      </w:r>
      <w:r>
        <w:t xml:space="preserve">, at least</w:t>
      </w:r>
      <w:r>
        <w:t xml:space="preserve"> </w:t>
      </w:r>
      <w:r>
        <w:rPr>
          <w:bCs/>
          <w:b/>
        </w:rPr>
        <w:t xml:space="preserve">3 written quotations</w:t>
      </w:r>
      <w:r>
        <w:t xml:space="preserve"> </w:t>
      </w:r>
      <w:r>
        <w:t xml:space="preserve">are required.</w:t>
      </w:r>
    </w:p>
    <w:p>
      <w:pPr>
        <w:numPr>
          <w:ilvl w:val="0"/>
          <w:numId w:val="1003"/>
        </w:numPr>
        <w:pStyle w:val="Compact"/>
      </w:pPr>
      <w:r>
        <w:t xml:space="preserve">For purchases above</w:t>
      </w:r>
      <w:r>
        <w:t xml:space="preserve"> </w:t>
      </w:r>
      <w:r>
        <w:rPr>
          <w:bCs/>
          <w:b/>
        </w:rPr>
        <w:t xml:space="preserve">250,000 EGP</w:t>
      </w:r>
      <w:r>
        <w:t xml:space="preserve">, a formal tender process via Procurement is mandatory.</w:t>
      </w:r>
    </w:p>
    <w:bookmarkEnd w:id="23"/>
    <w:bookmarkStart w:id="24" w:name="step-3-vendor-evaluation"/>
    <w:p>
      <w:pPr>
        <w:pStyle w:val="Heading3"/>
      </w:pPr>
      <w:r>
        <w:t xml:space="preserve">Step 3: Vendor Evaluation</w:t>
      </w:r>
    </w:p>
    <w:p>
      <w:pPr>
        <w:pStyle w:val="FirstParagraph"/>
      </w:pPr>
      <w:r>
        <w:t xml:space="preserve">Procurement evaluates quotations on:</w:t>
      </w:r>
      <w:r>
        <w:t xml:space="preserve"> </w:t>
      </w:r>
      <w:r>
        <w:t xml:space="preserve">- Price (40%)</w:t>
      </w:r>
      <w:r>
        <w:t xml:space="preserve"> </w:t>
      </w:r>
      <w:r>
        <w:t xml:space="preserve">- Quality / specifications match (30%)</w:t>
      </w:r>
      <w:r>
        <w:t xml:space="preserve"> </w:t>
      </w:r>
      <w:r>
        <w:t xml:space="preserve">- Delivery timeline (15%)</w:t>
      </w:r>
      <w:r>
        <w:t xml:space="preserve"> </w:t>
      </w:r>
      <w:r>
        <w:t xml:space="preserve">- Vendor track record (15%)</w:t>
      </w:r>
    </w:p>
    <w:bookmarkEnd w:id="24"/>
    <w:bookmarkStart w:id="25" w:name="step-4-purchase-order"/>
    <w:p>
      <w:pPr>
        <w:pStyle w:val="Heading3"/>
      </w:pPr>
      <w:r>
        <w:t xml:space="preserve">Step 4: Purchase Order</w:t>
      </w:r>
    </w:p>
    <w:p>
      <w:pPr>
        <w:numPr>
          <w:ilvl w:val="0"/>
          <w:numId w:val="1004"/>
        </w:numPr>
        <w:pStyle w:val="Compact"/>
      </w:pPr>
      <w:r>
        <w:t xml:space="preserve">The selected vendor receives a signed PO with itemized scope, quantity, price, and payment terms.</w:t>
      </w:r>
    </w:p>
    <w:p>
      <w:pPr>
        <w:numPr>
          <w:ilvl w:val="0"/>
          <w:numId w:val="1004"/>
        </w:numPr>
        <w:pStyle w:val="Compact"/>
      </w:pPr>
      <w:r>
        <w:t xml:space="preserve">Work or shipment must not begin before the PO is issued.</w:t>
      </w:r>
    </w:p>
    <w:bookmarkEnd w:id="25"/>
    <w:bookmarkStart w:id="26" w:name="step-5-receipt-and-acceptance"/>
    <w:p>
      <w:pPr>
        <w:pStyle w:val="Heading3"/>
      </w:pPr>
      <w:r>
        <w:t xml:space="preserve">Step 5: Receipt and Acceptance</w:t>
      </w:r>
    </w:p>
    <w:p>
      <w:pPr>
        <w:numPr>
          <w:ilvl w:val="0"/>
          <w:numId w:val="1005"/>
        </w:numPr>
        <w:pStyle w:val="Compact"/>
      </w:pPr>
      <w:r>
        <w:t xml:space="preserve">A Goods Received Note (GRN) is issued by the receiving department.</w:t>
      </w:r>
    </w:p>
    <w:p>
      <w:pPr>
        <w:numPr>
          <w:ilvl w:val="0"/>
          <w:numId w:val="1005"/>
        </w:numPr>
        <w:pStyle w:val="Compact"/>
      </w:pPr>
      <w:r>
        <w:t xml:space="preserve">For services, a written confirmation of delivery is required.</w:t>
      </w:r>
    </w:p>
    <w:p>
      <w:pPr>
        <w:numPr>
          <w:ilvl w:val="0"/>
          <w:numId w:val="1005"/>
        </w:numPr>
        <w:pStyle w:val="Compact"/>
      </w:pPr>
      <w:r>
        <w:t xml:space="preserve">The GRN is uploaded to the procurement portal within 5 business days of receipt.</w:t>
      </w:r>
    </w:p>
    <w:bookmarkEnd w:id="26"/>
    <w:bookmarkStart w:id="27" w:name="step-6-payment"/>
    <w:p>
      <w:pPr>
        <w:pStyle w:val="Heading3"/>
      </w:pPr>
      <w:r>
        <w:t xml:space="preserve">Step 6: Payment</w:t>
      </w:r>
    </w:p>
    <w:p>
      <w:pPr>
        <w:numPr>
          <w:ilvl w:val="0"/>
          <w:numId w:val="1006"/>
        </w:numPr>
        <w:pStyle w:val="Compact"/>
      </w:pPr>
      <w:r>
        <w:t xml:space="preserve">See FIN-VEN-010 for vendor payment process. Standard term is NET 30.</w:t>
      </w:r>
    </w:p>
    <w:bookmarkEnd w:id="27"/>
    <w:bookmarkEnd w:id="28"/>
    <w:bookmarkStart w:id="29" w:name="approval-thresholds"/>
    <w:p>
      <w:pPr>
        <w:pStyle w:val="Heading2"/>
      </w:pPr>
      <w:r>
        <w:t xml:space="preserve">4. Approval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5,000 – 25,000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25,001 – 100,000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 + Finance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100,001 – 500,000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 + Finance Manager +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Above 500,000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+ CEO + Board (if recurring annual cost)</w:t>
            </w:r>
          </w:p>
        </w:tc>
      </w:tr>
    </w:tbl>
    <w:bookmarkEnd w:id="29"/>
    <w:bookmarkStart w:id="30" w:name="new-vendor-onboarding"/>
    <w:p>
      <w:pPr>
        <w:pStyle w:val="Heading2"/>
      </w:pPr>
      <w:r>
        <w:t xml:space="preserve">5. New Vendor Onboarding</w:t>
      </w:r>
    </w:p>
    <w:p>
      <w:pPr>
        <w:pStyle w:val="FirstParagraph"/>
      </w:pPr>
      <w:r>
        <w:t xml:space="preserve">New vendors must provide:</w:t>
      </w:r>
      <w:r>
        <w:t xml:space="preserve"> </w:t>
      </w:r>
      <w:r>
        <w:t xml:space="preserve">- Company registration and tax certificate.</w:t>
      </w:r>
      <w:r>
        <w:t xml:space="preserve"> </w:t>
      </w:r>
      <w:r>
        <w:t xml:space="preserve">- Two business references (for service vendors).</w:t>
      </w:r>
      <w:r>
        <w:t xml:space="preserve"> </w:t>
      </w:r>
      <w:r>
        <w:t xml:space="preserve">- Bank details on letterhead.</w:t>
      </w:r>
      <w:r>
        <w:t xml:space="preserve"> </w:t>
      </w:r>
      <w:r>
        <w:t xml:space="preserve">- Signed Atlas Industries Vendor Code of Conduct.</w:t>
      </w:r>
    </w:p>
    <w:p>
      <w:pPr>
        <w:pStyle w:val="BodyText"/>
      </w:pPr>
      <w:r>
        <w:t xml:space="preserve">The onboarding review takes 5 to 10 business days.</w:t>
      </w:r>
    </w:p>
    <w:bookmarkEnd w:id="30"/>
    <w:bookmarkStart w:id="31" w:name="sole-source-justification"/>
    <w:p>
      <w:pPr>
        <w:pStyle w:val="Heading2"/>
      </w:pPr>
      <w:r>
        <w:t xml:space="preserve">6. Sole-Source Justification</w:t>
      </w:r>
    </w:p>
    <w:p>
      <w:pPr>
        <w:pStyle w:val="FirstParagraph"/>
      </w:pPr>
      <w:r>
        <w:t xml:space="preserve">A purchase that bypasses the multi-quotation requirement (e.g. specialized vendor, IP constraints, urgent operational need) requires a written sole-source justification signed by the department head and approved by Procurement.</w:t>
      </w:r>
    </w:p>
    <w:bookmarkEnd w:id="31"/>
    <w:bookmarkStart w:id="32" w:name="prohibited-practices"/>
    <w:p>
      <w:pPr>
        <w:pStyle w:val="Heading2"/>
      </w:pPr>
      <w:r>
        <w:t xml:space="preserve">7. Prohibited Practices</w:t>
      </w:r>
    </w:p>
    <w:p>
      <w:pPr>
        <w:numPr>
          <w:ilvl w:val="0"/>
          <w:numId w:val="1007"/>
        </w:numPr>
        <w:pStyle w:val="Compact"/>
      </w:pPr>
      <w:r>
        <w:t xml:space="preserve">Splitting a single purchase into multiple smaller orders to evade approval thresholds (this is a serious violation of HR-COC-004).</w:t>
      </w:r>
    </w:p>
    <w:p>
      <w:pPr>
        <w:numPr>
          <w:ilvl w:val="0"/>
          <w:numId w:val="1007"/>
        </w:numPr>
        <w:pStyle w:val="Compact"/>
      </w:pPr>
      <w:r>
        <w:t xml:space="preserve">Personal relationships with vendor staff that have not been disclosed under the Conflict of Interest section of HR-COC-004.</w:t>
      </w:r>
    </w:p>
    <w:p>
      <w:pPr>
        <w:numPr>
          <w:ilvl w:val="0"/>
          <w:numId w:val="1007"/>
        </w:numPr>
        <w:pStyle w:val="Compact"/>
      </w:pPr>
      <w:r>
        <w:t xml:space="preserve">Receiving gifts above 500 EGP from prospective or current vendors (see HR-COC-004 anti-bribery section).</w:t>
      </w:r>
    </w:p>
    <w:bookmarkEnd w:id="32"/>
    <w:bookmarkStart w:id="33" w:name="audit"/>
    <w:p>
      <w:pPr>
        <w:pStyle w:val="Heading2"/>
      </w:pPr>
      <w:r>
        <w:t xml:space="preserve">8. Audit</w:t>
      </w:r>
    </w:p>
    <w:p>
      <w:pPr>
        <w:pStyle w:val="FirstParagraph"/>
      </w:pPr>
      <w:r>
        <w:t xml:space="preserve">Procurement records are audited annually by the internal audit team. The audit report is shared with the CFO and the Board’s audit 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Related: FIN-VEN-010 (Vendor Payment), FIN-CC-005 (Corporate Card), FIN-INV-006 (Invoice Approval), HR-COC-004 (Code of Conduct).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2026-05-18T18:06:57Z</dcterms:created>
  <dcterms:modified xsi:type="dcterms:W3CDTF">2026-05-18T18:06:57Z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