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d029b07a7f17baa82d3f097dc8f65cd5b19582"/>
    <w:p>
      <w:pPr>
        <w:pStyle w:val="Heading1"/>
      </w:pPr>
      <w:r>
        <w:t xml:space="preserve">شركة أطلس الصناعية — سياسة استضافة العملاء والعشاء التجاري</w:t>
      </w:r>
    </w:p>
    <w:p>
      <w:pPr>
        <w:pStyle w:val="FirstParagraph"/>
      </w:pPr>
      <w:r>
        <w:rPr>
          <w:bCs/>
          <w:b/>
        </w:rPr>
        <w:t xml:space="preserve">رقم السياسة:</w:t>
      </w:r>
      <w:r>
        <w:t xml:space="preserve"> </w:t>
      </w:r>
      <w:r>
        <w:t xml:space="preserve">FIN-CLI-009</w:t>
      </w:r>
      <w:r>
        <w:t xml:space="preserve"> </w:t>
      </w:r>
      <w:r>
        <w:rPr>
          <w:bCs/>
          <w:b/>
        </w:rPr>
        <w:t xml:space="preserve">الجهة المسؤولة:</w:t>
      </w:r>
      <w:r>
        <w:t xml:space="preserve"> </w:t>
      </w:r>
      <w:r>
        <w:t xml:space="preserve">الإدارة المالية</w:t>
      </w:r>
      <w:r>
        <w:t xml:space="preserve"> </w:t>
      </w:r>
      <w:r>
        <w:rPr>
          <w:bCs/>
          <w:b/>
        </w:rPr>
        <w:t xml:space="preserve">تاريخ السريان:</w:t>
      </w:r>
      <w:r>
        <w:t xml:space="preserve"> </w:t>
      </w:r>
      <w:r>
        <w:t xml:space="preserve">1 يناير 2025</w:t>
      </w:r>
      <w:r>
        <w:t xml:space="preserve"> </w:t>
      </w:r>
      <w:r>
        <w:rPr>
          <w:bCs/>
          <w:b/>
        </w:rPr>
        <w:t xml:space="preserve">الإصدار:</w:t>
      </w:r>
      <w:r>
        <w:t xml:space="preserve"> </w:t>
      </w:r>
      <w:r>
        <w:t xml:space="preserve">2.4</w:t>
      </w:r>
    </w:p>
    <w:p>
      <w:r>
        <w:pict>
          <v:rect style="width:0;height:1.5pt" o:hralign="center" o:hrstd="t" o:hr="t"/>
        </w:pict>
      </w:r>
    </w:p>
    <w:bookmarkStart w:id="20" w:name="الغرض"/>
    <w:p>
      <w:pPr>
        <w:pStyle w:val="Heading2"/>
      </w:pPr>
      <w:r>
        <w:t xml:space="preserve">1. الغرض</w:t>
      </w:r>
    </w:p>
    <w:p>
      <w:pPr>
        <w:pStyle w:val="FirstParagraph"/>
      </w:pPr>
      <w:r>
        <w:t xml:space="preserve">تحدد هذه السياسة قواعد وضوابط استرداد نفقات استضافة العملاء (الإفطار، الغداء، العشاء، الفعاليات) من قبل موظفي شركة أطلس الصناعية.</w:t>
      </w:r>
    </w:p>
    <w:bookmarkEnd w:id="20"/>
    <w:bookmarkStart w:id="21" w:name="النطاق"/>
    <w:p>
      <w:pPr>
        <w:pStyle w:val="Heading2"/>
      </w:pPr>
      <w:r>
        <w:t xml:space="preserve">2. النطاق</w:t>
      </w:r>
    </w:p>
    <w:p>
      <w:pPr>
        <w:pStyle w:val="FirstParagraph"/>
      </w:pPr>
      <w:r>
        <w:t xml:space="preserve">تنطبق هذه السياسة على:</w:t>
      </w:r>
      <w:r>
        <w:t xml:space="preserve"> </w:t>
      </w:r>
      <w:r>
        <w:t xml:space="preserve">- وجبات العمل مع عملاء حاليين أو محتملين.</w:t>
      </w:r>
      <w:r>
        <w:t xml:space="preserve"> </w:t>
      </w:r>
      <w:r>
        <w:t xml:space="preserve">- الفعاليات الترفيهية المرتبطة بأنشطة تجارية.</w:t>
      </w:r>
      <w:r>
        <w:t xml:space="preserve"> </w:t>
      </w:r>
      <w:r>
        <w:t xml:space="preserve">- الهدايا الترويجية للعملاء.</w:t>
      </w:r>
    </w:p>
    <w:bookmarkEnd w:id="21"/>
    <w:bookmarkStart w:id="22" w:name="الحدود-المالية-للوجبات"/>
    <w:p>
      <w:pPr>
        <w:pStyle w:val="Heading2"/>
      </w:pPr>
      <w:r>
        <w:t xml:space="preserve">3. الحدود المالية للوجبات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نوع الوجبة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الحد الأقصى لكل شخص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الإفطار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جنيه مصري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الغداء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جنيه مصري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العشاء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2,000 جنيه مصري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يشمل الحد: الطعام، المشروبات (غير الكحولية)، الضريبة، الإكرامية.</w:t>
      </w:r>
    </w:p>
    <w:p>
      <w:pPr>
        <w:numPr>
          <w:ilvl w:val="0"/>
          <w:numId w:val="1001"/>
        </w:numPr>
        <w:pStyle w:val="Compact"/>
      </w:pPr>
      <w:r>
        <w:t xml:space="preserve">يطبق الحد على</w:t>
      </w:r>
      <w:r>
        <w:t xml:space="preserve"> </w:t>
      </w:r>
      <w:r>
        <w:rPr>
          <w:bCs/>
          <w:b/>
        </w:rPr>
        <w:t xml:space="preserve">كل شخص حاضر</w:t>
      </w:r>
      <w:r>
        <w:t xml:space="preserve">، سواء من جانب العميل أو من جانب أطلس.</w:t>
      </w:r>
    </w:p>
    <w:p>
      <w:pPr>
        <w:numPr>
          <w:ilvl w:val="0"/>
          <w:numId w:val="1001"/>
        </w:numPr>
        <w:pStyle w:val="Compact"/>
      </w:pPr>
      <w:r>
        <w:t xml:space="preserve">مثال: عشاء بحضور 3 من العميل و 2 من أطلس = 5 أشخاص × 2,000 = 10,000 جنيه كحد أقصى.</w:t>
      </w:r>
    </w:p>
    <w:bookmarkEnd w:id="22"/>
    <w:bookmarkStart w:id="23" w:name="الموافقات"/>
    <w:p>
      <w:pPr>
        <w:pStyle w:val="Heading2"/>
      </w:pPr>
      <w:r>
        <w:t xml:space="preserve">4. الموافقات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إجمالي الفاتورة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حتى 5,000 جنيه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المدير المباشر (بعد الفاتورة كافٍ)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5,001 إلى 15,000 جنيه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يتطلب موافقة مسبقة من المدير المباشر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15,001 إلى 50,000 جنيه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موافقة مسبقة من رئيس القسم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أكثر من 50,000 جنيه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موافقة مسبقة من المدير المالي</w:t>
            </w:r>
          </w:p>
        </w:tc>
      </w:tr>
    </w:tbl>
    <w:p>
      <w:pPr>
        <w:pStyle w:val="BlockText"/>
      </w:pPr>
      <w:r>
        <w:rPr>
          <w:bCs/>
          <w:b/>
        </w:rPr>
        <w:t xml:space="preserve">ملاحظة مهمة:</w:t>
      </w:r>
      <w:r>
        <w:t xml:space="preserve"> </w:t>
      </w:r>
      <w:r>
        <w:t xml:space="preserve">الموافقة المسبقة تعني الحصول على موافقة كتابية (بريد إلكتروني أو HRIS)</w:t>
      </w:r>
      <w:r>
        <w:t xml:space="preserve"> </w:t>
      </w:r>
      <w:r>
        <w:rPr>
          <w:bCs/>
          <w:b/>
        </w:rPr>
        <w:t xml:space="preserve">قبل</w:t>
      </w:r>
      <w:r>
        <w:t xml:space="preserve"> </w:t>
      </w:r>
      <w:r>
        <w:t xml:space="preserve">إجراء النفقة. الفواتير الكبيرة بدون موافقة مسبقة لا تُرَدّ.</w:t>
      </w:r>
    </w:p>
    <w:bookmarkEnd w:id="23"/>
    <w:bookmarkStart w:id="24" w:name="الوثائق-المطلوبة"/>
    <w:p>
      <w:pPr>
        <w:pStyle w:val="Heading2"/>
      </w:pPr>
      <w:r>
        <w:t xml:space="preserve">5. الوثائق المطلوبة</w:t>
      </w:r>
    </w:p>
    <w:p>
      <w:pPr>
        <w:pStyle w:val="FirstParagraph"/>
      </w:pPr>
      <w:r>
        <w:t xml:space="preserve">كل مطالبة يجب أن تتضمن:</w:t>
      </w:r>
    </w:p>
    <w:p>
      <w:pPr>
        <w:numPr>
          <w:ilvl w:val="0"/>
          <w:numId w:val="1002"/>
        </w:numPr>
        <w:pStyle w:val="Compact"/>
      </w:pPr>
      <w:r>
        <w:t xml:space="preserve">الإيصال الأصلي من المطعم/الفندق.</w:t>
      </w:r>
    </w:p>
    <w:p>
      <w:pPr>
        <w:numPr>
          <w:ilvl w:val="0"/>
          <w:numId w:val="1002"/>
        </w:numPr>
        <w:pStyle w:val="Compact"/>
      </w:pPr>
      <w:r>
        <w:t xml:space="preserve">قائمة أسماء الحضور كاملة من جانب العميل وجانب أطلس.</w:t>
      </w:r>
    </w:p>
    <w:p>
      <w:pPr>
        <w:numPr>
          <w:ilvl w:val="0"/>
          <w:numId w:val="1002"/>
        </w:numPr>
        <w:pStyle w:val="Compact"/>
      </w:pPr>
      <w:r>
        <w:t xml:space="preserve">اسم الشركة العميلة والمشروع المرتبط.</w:t>
      </w:r>
    </w:p>
    <w:p>
      <w:pPr>
        <w:numPr>
          <w:ilvl w:val="0"/>
          <w:numId w:val="1002"/>
        </w:numPr>
        <w:pStyle w:val="Compact"/>
      </w:pPr>
      <w:r>
        <w:t xml:space="preserve">الهدف التجاري للوجبة (سطر إلى سطرين).</w:t>
      </w:r>
    </w:p>
    <w:p>
      <w:pPr>
        <w:numPr>
          <w:ilvl w:val="0"/>
          <w:numId w:val="1002"/>
        </w:numPr>
        <w:pStyle w:val="Compact"/>
      </w:pPr>
      <w:r>
        <w:t xml:space="preserve">نسخة من موافقة الموافقة المسبقة إذا كانت مطلوبة.</w:t>
      </w:r>
    </w:p>
    <w:bookmarkEnd w:id="24"/>
    <w:bookmarkStart w:id="25" w:name="الفعاليات-الترفيهية"/>
    <w:p>
      <w:pPr>
        <w:pStyle w:val="Heading2"/>
      </w:pPr>
      <w:r>
        <w:t xml:space="preserve">6. الفعاليات الترفيهية</w:t>
      </w:r>
    </w:p>
    <w:p>
      <w:pPr>
        <w:numPr>
          <w:ilvl w:val="0"/>
          <w:numId w:val="1003"/>
        </w:numPr>
        <w:pStyle w:val="Compact"/>
      </w:pPr>
      <w:r>
        <w:t xml:space="preserve">الفعاليات (دعوات لحضور مباريات، عروض فنية، رحلات قصيرة) تتطلب</w:t>
      </w:r>
      <w:r>
        <w:t xml:space="preserve"> </w:t>
      </w:r>
      <w:r>
        <w:rPr>
          <w:bCs/>
          <w:b/>
        </w:rPr>
        <w:t xml:space="preserve">موافقة مسبقة</w:t>
      </w:r>
      <w:r>
        <w:t xml:space="preserve"> </w:t>
      </w:r>
      <w:r>
        <w:t xml:space="preserve">من رئيس القسم بصرف النظر عن المبلغ.</w:t>
      </w:r>
    </w:p>
    <w:p>
      <w:pPr>
        <w:numPr>
          <w:ilvl w:val="0"/>
          <w:numId w:val="1003"/>
        </w:numPr>
        <w:pStyle w:val="Compact"/>
      </w:pPr>
      <w:r>
        <w:t xml:space="preserve">يحظر اصطحاب الأقارب أو الأصدقاء غير المرتبطين بالعمل.</w:t>
      </w:r>
    </w:p>
    <w:bookmarkEnd w:id="25"/>
    <w:bookmarkStart w:id="26" w:name="الهدايا-للعملاء"/>
    <w:p>
      <w:pPr>
        <w:pStyle w:val="Heading2"/>
      </w:pPr>
      <w:r>
        <w:t xml:space="preserve">7. الهدايا للعملاء</w:t>
      </w:r>
    </w:p>
    <w:p>
      <w:pPr>
        <w:numPr>
          <w:ilvl w:val="0"/>
          <w:numId w:val="1004"/>
        </w:numPr>
        <w:pStyle w:val="Compact"/>
      </w:pPr>
      <w:r>
        <w:t xml:space="preserve">الهدايا الرمزية حتى</w:t>
      </w:r>
      <w:r>
        <w:t xml:space="preserve"> </w:t>
      </w:r>
      <w:r>
        <w:rPr>
          <w:bCs/>
          <w:b/>
        </w:rPr>
        <w:t xml:space="preserve">1,000 جنيه</w:t>
      </w:r>
      <w:r>
        <w:t xml:space="preserve"> </w:t>
      </w:r>
      <w:r>
        <w:t xml:space="preserve">لكل عميل في السنة مسموحة دون موافقة إضافية.</w:t>
      </w:r>
    </w:p>
    <w:p>
      <w:pPr>
        <w:numPr>
          <w:ilvl w:val="0"/>
          <w:numId w:val="1004"/>
        </w:numPr>
        <w:pStyle w:val="Compact"/>
      </w:pPr>
      <w:r>
        <w:t xml:space="preserve">الهدايا الأعلى تتطلب موافقة من رئيس القسم ومراجعة قانونية (لتجنب أي تعارض مع قوانين مكافحة الفساد).</w:t>
      </w:r>
    </w:p>
    <w:p>
      <w:pPr>
        <w:numPr>
          <w:ilvl w:val="0"/>
          <w:numId w:val="1004"/>
        </w:numPr>
        <w:pStyle w:val="Compact"/>
      </w:pPr>
      <w:r>
        <w:t xml:space="preserve">المال النقدي وبطاقات الهدايا</w:t>
      </w:r>
      <w:r>
        <w:t xml:space="preserve"> </w:t>
      </w:r>
      <w:r>
        <w:rPr>
          <w:bCs/>
          <w:b/>
        </w:rPr>
        <w:t xml:space="preserve">ممنوع منعاً باتاً</w:t>
      </w:r>
      <w:r>
        <w:t xml:space="preserve"> </w:t>
      </w:r>
      <w:r>
        <w:t xml:space="preserve">كهدايا للعملاء.</w:t>
      </w:r>
    </w:p>
    <w:bookmarkEnd w:id="26"/>
    <w:bookmarkStart w:id="27" w:name="القيود"/>
    <w:p>
      <w:pPr>
        <w:pStyle w:val="Heading2"/>
      </w:pPr>
      <w:r>
        <w:t xml:space="preserve">8. القيود</w:t>
      </w:r>
    </w:p>
    <w:p>
      <w:pPr>
        <w:numPr>
          <w:ilvl w:val="0"/>
          <w:numId w:val="1005"/>
        </w:numPr>
        <w:pStyle w:val="Compact"/>
      </w:pPr>
      <w:r>
        <w:t xml:space="preserve">لا يجوز استخدام هذه الميزانية للأنشطة الداخلية للموظفين (تخضع لسياسة منفصلة).</w:t>
      </w:r>
    </w:p>
    <w:p>
      <w:pPr>
        <w:numPr>
          <w:ilvl w:val="0"/>
          <w:numId w:val="1005"/>
        </w:numPr>
        <w:pStyle w:val="Compact"/>
      </w:pPr>
      <w:r>
        <w:t xml:space="preserve">لا يجوز دعوة الزوج/الزوجة أو أفراد الأسرة إلا بموافقة استثنائية.</w:t>
      </w:r>
    </w:p>
    <w:p>
      <w:pPr>
        <w:numPr>
          <w:ilvl w:val="0"/>
          <w:numId w:val="1005"/>
        </w:numPr>
        <w:pStyle w:val="Compact"/>
      </w:pPr>
      <w:r>
        <w:t xml:space="preserve">المشروبات الكحولية غير قابلة للاسترداد، حتى لو كانت ضمن فاتورة العشاء (يتم خصمها قبل تقديم المطالبة).</w:t>
      </w:r>
    </w:p>
    <w:bookmarkEnd w:id="27"/>
    <w:bookmarkStart w:id="28" w:name="المخالفات"/>
    <w:p>
      <w:pPr>
        <w:pStyle w:val="Heading2"/>
      </w:pPr>
      <w:r>
        <w:t xml:space="preserve">9. المخالفات</w:t>
      </w:r>
    </w:p>
    <w:p>
      <w:pPr>
        <w:numPr>
          <w:ilvl w:val="0"/>
          <w:numId w:val="1006"/>
        </w:numPr>
        <w:pStyle w:val="Compact"/>
      </w:pPr>
      <w:r>
        <w:t xml:space="preserve">المبالغة في الإنفاق أو الإنفاق غير المبرر يخضع لمراجعة قسم التدقيق الداخلي.</w:t>
      </w:r>
    </w:p>
    <w:p>
      <w:pPr>
        <w:numPr>
          <w:ilvl w:val="0"/>
          <w:numId w:val="1006"/>
        </w:numPr>
        <w:pStyle w:val="Compact"/>
      </w:pPr>
      <w:r>
        <w:t xml:space="preserve">المخالفات الجسيمة تخضع لسياسة مدونة السلوك HR-COC-004.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مستندات ذات صلة: FIN-TRV-001 (السفر المحلي)، FIN-EXP-002 (إجراءات استرداد النفقات)، FIN-PER-004 (البدل اليومي)، HR-COC-004 (مدونة السلوك).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2026-05-18T18:06:57Z</dcterms:created>
  <dcterms:modified xsi:type="dcterms:W3CDTF">2026-05-18T18:06:57Z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