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5ca39a3d64b1693ce8efbf38d02797954b4cebe"/>
    <w:p>
      <w:pPr>
        <w:pStyle w:val="Heading1"/>
      </w:pPr>
      <w:r>
        <w:t xml:space="preserve">شركة أطلس الصناعية — سياسة ساعات العمل المرنة</w:t>
      </w:r>
    </w:p>
    <w:p>
      <w:pPr>
        <w:pStyle w:val="FirstParagraph"/>
      </w:pPr>
      <w:r>
        <w:rPr>
          <w:bCs/>
          <w:b/>
        </w:rPr>
        <w:t xml:space="preserve">رقم السياسة:</w:t>
      </w:r>
      <w:r>
        <w:t xml:space="preserve"> </w:t>
      </w:r>
      <w:r>
        <w:t xml:space="preserve">HR-FLEX-009</w:t>
      </w:r>
      <w:r>
        <w:t xml:space="preserve"> </w:t>
      </w:r>
      <w:r>
        <w:rPr>
          <w:bCs/>
          <w:b/>
        </w:rPr>
        <w:t xml:space="preserve">الجهة المسؤولة:</w:t>
      </w:r>
      <w:r>
        <w:t xml:space="preserve"> </w:t>
      </w:r>
      <w:r>
        <w:t xml:space="preserve">إدارة الموارد البشرية</w:t>
      </w:r>
      <w:r>
        <w:t xml:space="preserve"> </w:t>
      </w:r>
      <w:r>
        <w:rPr>
          <w:bCs/>
          <w:b/>
        </w:rPr>
        <w:t xml:space="preserve">تاريخ السريان:</w:t>
      </w:r>
      <w:r>
        <w:t xml:space="preserve"> </w:t>
      </w:r>
      <w:r>
        <w:t xml:space="preserve">1 يوليو 2024</w:t>
      </w:r>
      <w:r>
        <w:t xml:space="preserve"> </w:t>
      </w:r>
      <w:r>
        <w:rPr>
          <w:bCs/>
          <w:b/>
        </w:rPr>
        <w:t xml:space="preserve">الإصدار:</w:t>
      </w:r>
      <w:r>
        <w:t xml:space="preserve"> </w:t>
      </w:r>
      <w:r>
        <w:t xml:space="preserve">1.5</w:t>
      </w:r>
    </w:p>
    <w:p>
      <w:r>
        <w:pict>
          <v:rect style="width:0;height:1.5pt" o:hralign="center" o:hrstd="t" o:hr="t"/>
        </w:pict>
      </w:r>
    </w:p>
    <w:bookmarkStart w:id="20" w:name="الغرض"/>
    <w:p>
      <w:pPr>
        <w:pStyle w:val="Heading2"/>
      </w:pPr>
      <w:r>
        <w:t xml:space="preserve">1. الغرض</w:t>
      </w:r>
    </w:p>
    <w:p>
      <w:pPr>
        <w:pStyle w:val="FirstParagraph"/>
      </w:pPr>
      <w:r>
        <w:t xml:space="preserve">تحدد هذه السياسة آلية تطبيق ساعات العمل المرنة في شركة أطلس الصناعية، بما يحقق التوازن بين متطلبات العمل والحياة الشخصية للموظفين.</w:t>
      </w:r>
    </w:p>
    <w:bookmarkEnd w:id="20"/>
    <w:bookmarkStart w:id="21" w:name="ساعات-العمل-القياسية"/>
    <w:p>
      <w:pPr>
        <w:pStyle w:val="Heading2"/>
      </w:pPr>
      <w:r>
        <w:t xml:space="preserve">2. ساعات العمل القياسية</w:t>
      </w:r>
    </w:p>
    <w:p>
      <w:pPr>
        <w:numPr>
          <w:ilvl w:val="0"/>
          <w:numId w:val="1001"/>
        </w:numPr>
        <w:pStyle w:val="Compact"/>
      </w:pPr>
      <w:r>
        <w:t xml:space="preserve">ساعات العمل الأسبوعية:</w:t>
      </w:r>
      <w:r>
        <w:t xml:space="preserve"> </w:t>
      </w:r>
      <w:r>
        <w:rPr>
          <w:bCs/>
          <w:b/>
        </w:rPr>
        <w:t xml:space="preserve">40 ساعة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أيام العمل: من الأحد إلى الخميس.</w:t>
      </w:r>
    </w:p>
    <w:p>
      <w:pPr>
        <w:numPr>
          <w:ilvl w:val="0"/>
          <w:numId w:val="1001"/>
        </w:numPr>
        <w:pStyle w:val="Compact"/>
      </w:pPr>
      <w:r>
        <w:t xml:space="preserve">ساعات الدوام القياسية: 9:00 صباحاً إلى 5:00 مساءً، مع استراحة غداء ساعة واحدة.</w:t>
      </w:r>
    </w:p>
    <w:bookmarkEnd w:id="21"/>
    <w:bookmarkStart w:id="22" w:name="الساعات-الأساسية"/>
    <w:p>
      <w:pPr>
        <w:pStyle w:val="Heading2"/>
      </w:pPr>
      <w:r>
        <w:t xml:space="preserve">3. الساعات الأساسية</w:t>
      </w:r>
    </w:p>
    <w:p>
      <w:pPr>
        <w:numPr>
          <w:ilvl w:val="0"/>
          <w:numId w:val="1002"/>
        </w:numPr>
        <w:pStyle w:val="Compact"/>
      </w:pPr>
      <w:r>
        <w:t xml:space="preserve">يلتزم جميع الموظفين بالحضور خلال</w:t>
      </w:r>
      <w:r>
        <w:t xml:space="preserve"> </w:t>
      </w:r>
      <w:r>
        <w:rPr>
          <w:bCs/>
          <w:b/>
        </w:rPr>
        <w:t xml:space="preserve">الساعات الأساسية</w:t>
      </w:r>
      <w:r>
        <w:t xml:space="preserve">: من 10:00 صباحاً إلى 4:00 مساءً.</w:t>
      </w:r>
    </w:p>
    <w:p>
      <w:pPr>
        <w:numPr>
          <w:ilvl w:val="0"/>
          <w:numId w:val="1002"/>
        </w:numPr>
        <w:pStyle w:val="Compact"/>
      </w:pPr>
      <w:r>
        <w:t xml:space="preserve">خارج هذه الساعات، يجوز للموظف تنظيم وقت بدء وانتهاء يومه ضمن الحدود المذكورة في القسم 4.</w:t>
      </w:r>
    </w:p>
    <w:bookmarkEnd w:id="22"/>
    <w:bookmarkStart w:id="23" w:name="خيارات-المرونة"/>
    <w:p>
      <w:pPr>
        <w:pStyle w:val="Heading2"/>
      </w:pPr>
      <w:r>
        <w:t xml:space="preserve">4. خيارات المرونة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الخيار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الوصف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البداية المبكرة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بدء العمل في الفترة من 7:00 إلى 9:00 صباحاً، والانتهاء بنفس عدد الساعات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البداية المتأخرة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بدء العمل في الفترة من 9:00 إلى 11:00 صباحاً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الأسبوع المضغوط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أيام عمل × 10 ساعات بدلاً من 5 أيام × 8 ساعات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الدوام الجزئي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أو 80% من الدوام الكامل، بموافقة الإدارة</w:t>
            </w:r>
          </w:p>
        </w:tc>
      </w:tr>
    </w:tbl>
    <w:bookmarkEnd w:id="23"/>
    <w:bookmarkStart w:id="24" w:name="كيفية-التقدم"/>
    <w:p>
      <w:pPr>
        <w:pStyle w:val="Heading2"/>
      </w:pPr>
      <w:r>
        <w:t xml:space="preserve">5. كيفية التقدم</w:t>
      </w:r>
    </w:p>
    <w:p>
      <w:pPr>
        <w:numPr>
          <w:ilvl w:val="0"/>
          <w:numId w:val="1003"/>
        </w:numPr>
        <w:pStyle w:val="Compact"/>
      </w:pPr>
      <w:r>
        <w:t xml:space="preserve">ناقش الخيار المطلوب مع المدير المباشر.</w:t>
      </w:r>
    </w:p>
    <w:p>
      <w:pPr>
        <w:numPr>
          <w:ilvl w:val="0"/>
          <w:numId w:val="1003"/>
        </w:numPr>
        <w:pStyle w:val="Compact"/>
      </w:pPr>
      <w:r>
        <w:t xml:space="preserve">قدم طلباً رسمياً عبر HRIS متضمناً: الخيار المختار، تاريخ البدء، مدة التطبيق (لا تقل عن 3 أشهر).</w:t>
      </w:r>
    </w:p>
    <w:p>
      <w:pPr>
        <w:numPr>
          <w:ilvl w:val="0"/>
          <w:numId w:val="1003"/>
        </w:numPr>
        <w:pStyle w:val="Compact"/>
      </w:pPr>
      <w:r>
        <w:t xml:space="preserve">يصدر قرار الموافقة من المدير المباشر خلال 5 أيام عمل.</w:t>
      </w:r>
    </w:p>
    <w:p>
      <w:pPr>
        <w:numPr>
          <w:ilvl w:val="0"/>
          <w:numId w:val="1003"/>
        </w:numPr>
        <w:pStyle w:val="Compact"/>
      </w:pPr>
      <w:r>
        <w:t xml:space="preserve">يتم توثيق الترتيب في ملف الموظف.</w:t>
      </w:r>
    </w:p>
    <w:bookmarkEnd w:id="24"/>
    <w:bookmarkStart w:id="25" w:name="المراجعة"/>
    <w:p>
      <w:pPr>
        <w:pStyle w:val="Heading2"/>
      </w:pPr>
      <w:r>
        <w:t xml:space="preserve">6. المراجعة</w:t>
      </w:r>
    </w:p>
    <w:p>
      <w:pPr>
        <w:numPr>
          <w:ilvl w:val="0"/>
          <w:numId w:val="1004"/>
        </w:numPr>
        <w:pStyle w:val="Compact"/>
      </w:pPr>
      <w:r>
        <w:t xml:space="preserve">يتم مراجعة الترتيب كل 6 أشهر للتأكد من ملاءمته لاحتياجات الفريق.</w:t>
      </w:r>
    </w:p>
    <w:p>
      <w:pPr>
        <w:numPr>
          <w:ilvl w:val="0"/>
          <w:numId w:val="1004"/>
        </w:numPr>
        <w:pStyle w:val="Compact"/>
      </w:pPr>
      <w:r>
        <w:t xml:space="preserve">يحق للمدير إنهاء الترتيب بإشعار مكتوب قبل 10 أيام عمل في حال تأثيره السلبي على العمل.</w:t>
      </w:r>
    </w:p>
    <w:bookmarkEnd w:id="25"/>
    <w:bookmarkStart w:id="26" w:name="القيود"/>
    <w:p>
      <w:pPr>
        <w:pStyle w:val="Heading2"/>
      </w:pPr>
      <w:r>
        <w:t xml:space="preserve">7. القيود</w:t>
      </w:r>
    </w:p>
    <w:p>
      <w:pPr>
        <w:numPr>
          <w:ilvl w:val="0"/>
          <w:numId w:val="1005"/>
        </w:numPr>
        <w:pStyle w:val="Compact"/>
      </w:pPr>
      <w:r>
        <w:t xml:space="preserve">لا تنطبق ساعات العمل المرنة على الأدوار التي تتطلب تواجداً محدداً (الاستقبال، الدعم الفني للعملاء، الأمن).</w:t>
      </w:r>
    </w:p>
    <w:p>
      <w:pPr>
        <w:numPr>
          <w:ilvl w:val="0"/>
          <w:numId w:val="1005"/>
        </w:numPr>
        <w:pStyle w:val="Compact"/>
      </w:pPr>
      <w:r>
        <w:t xml:space="preserve">لا تطبق على الموظفين في فترة الاختبار.</w:t>
      </w:r>
    </w:p>
    <w:p>
      <w:pPr>
        <w:numPr>
          <w:ilvl w:val="0"/>
          <w:numId w:val="1005"/>
        </w:numPr>
        <w:pStyle w:val="Compact"/>
      </w:pPr>
      <w:r>
        <w:t xml:space="preserve">لا يجوز الجمع بين أكثر من خيار في نفس الفترة.</w:t>
      </w:r>
    </w:p>
    <w:bookmarkEnd w:id="26"/>
    <w:bookmarkStart w:id="27" w:name="ساعات-إضافية"/>
    <w:p>
      <w:pPr>
        <w:pStyle w:val="Heading2"/>
      </w:pPr>
      <w:r>
        <w:t xml:space="preserve">8. ساعات إضافية</w:t>
      </w:r>
    </w:p>
    <w:p>
      <w:pPr>
        <w:numPr>
          <w:ilvl w:val="0"/>
          <w:numId w:val="1006"/>
        </w:numPr>
        <w:pStyle w:val="Compact"/>
      </w:pPr>
      <w:r>
        <w:t xml:space="preserve">العمل خارج الساعات الأساسية لا يعتبر ساعات إضافية ما لم يكن مطلوباً من المدير صراحة.</w:t>
      </w:r>
    </w:p>
    <w:p>
      <w:pPr>
        <w:numPr>
          <w:ilvl w:val="0"/>
          <w:numId w:val="1006"/>
        </w:numPr>
        <w:pStyle w:val="Compact"/>
      </w:pPr>
      <w:r>
        <w:t xml:space="preserve">الساعات الإضافية المعتمدة تُدفع بنسبة 150% من الأجر العادي في أيام العمل، و200% في عطلات نهاية الأسبوع.</w:t>
      </w:r>
    </w:p>
    <w:p>
      <w:pPr>
        <w:numPr>
          <w:ilvl w:val="0"/>
          <w:numId w:val="1006"/>
        </w:numPr>
        <w:pStyle w:val="Compact"/>
      </w:pPr>
      <w:r>
        <w:t xml:space="preserve">الموافقة المسبقة على الساعات الإضافية إلزامية.</w:t>
      </w:r>
    </w:p>
    <w:bookmarkEnd w:id="27"/>
    <w:bookmarkStart w:id="28" w:name="العمل-عن-بعد"/>
    <w:p>
      <w:pPr>
        <w:pStyle w:val="Heading2"/>
      </w:pPr>
      <w:r>
        <w:t xml:space="preserve">9. العمل عن بُعد</w:t>
      </w:r>
    </w:p>
    <w:p>
      <w:pPr>
        <w:numPr>
          <w:ilvl w:val="0"/>
          <w:numId w:val="1007"/>
        </w:numPr>
        <w:pStyle w:val="Compact"/>
      </w:pPr>
      <w:r>
        <w:t xml:space="preserve">لا تتعارض هذه السياسة مع سياسة العمل عن بُعد (HR-RMT-002). يجوز الجمع بينهما.</w:t>
      </w:r>
    </w:p>
    <w:p>
      <w:pPr>
        <w:numPr>
          <w:ilvl w:val="0"/>
          <w:numId w:val="1007"/>
        </w:numPr>
        <w:pStyle w:val="Compact"/>
      </w:pPr>
      <w:r>
        <w:t xml:space="preserve">خلال أيام العمل عن بُعد، تطبق نفس قواعد الساعات الأساسية.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مستندات ذات صلة: HR-RMT-002 (العمل عن بُعد)، HR-ONB-003 (التوظيف وفترة الاختبار)، HR-VAC-001 (الإجازات السنوية).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2026-05-18T18:06:57Z</dcterms:created>
  <dcterms:modified xsi:type="dcterms:W3CDTF">2026-05-18T18:06:57Z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