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tlas-industries-acceptable-use-policy"/>
    <w:p>
      <w:pPr>
        <w:pStyle w:val="Heading1"/>
      </w:pPr>
      <w:r>
        <w:t xml:space="preserve">Atlas Industries — Acceptable Use Policy</w:t>
      </w:r>
    </w:p>
    <w:p>
      <w:pPr>
        <w:pStyle w:val="FirstParagraph"/>
      </w:pPr>
      <w:r>
        <w:rPr>
          <w:bCs/>
          <w:b/>
        </w:rPr>
        <w:t xml:space="preserve">Policy ID:</w:t>
      </w:r>
      <w:r>
        <w:t xml:space="preserve"> </w:t>
      </w:r>
      <w:r>
        <w:t xml:space="preserve">IT-AUP-006</w:t>
      </w:r>
      <w:r>
        <w:t xml:space="preserve"> </w:t>
      </w:r>
      <w:r>
        <w:rPr>
          <w:bCs/>
          <w:b/>
        </w:rPr>
        <w:t xml:space="preserve">Owner:</w:t>
      </w:r>
      <w:r>
        <w:t xml:space="preserve"> </w:t>
      </w:r>
      <w:r>
        <w:t xml:space="preserve">IT Security</w:t>
      </w:r>
      <w:r>
        <w:t xml:space="preserve"> </w:t>
      </w:r>
      <w:r>
        <w:rPr>
          <w:bCs/>
          <w:b/>
        </w:rPr>
        <w:t xml:space="preserve">Effective Date:</w:t>
      </w:r>
      <w:r>
        <w:t xml:space="preserve"> </w:t>
      </w:r>
      <w:r>
        <w:t xml:space="preserve">1 February 2025</w:t>
      </w:r>
      <w:r>
        <w:t xml:space="preserve"> </w:t>
      </w:r>
      <w:r>
        <w:rPr>
          <w:bCs/>
          <w:b/>
        </w:rPr>
        <w:t xml:space="preserve">Version:</w:t>
      </w:r>
      <w:r>
        <w:t xml:space="preserve"> </w:t>
      </w:r>
      <w:r>
        <w:t xml:space="preserve">5.0</w:t>
      </w:r>
    </w:p>
    <w:p>
      <w:r>
        <w:pict>
          <v:rect style="width:0;height:1.5pt" o:hralign="center" o:hrstd="t" o:hr="t"/>
        </w:pict>
      </w:r>
    </w:p>
    <w:bookmarkStart w:id="20" w:name="purpose"/>
    <w:p>
      <w:pPr>
        <w:pStyle w:val="Heading2"/>
      </w:pPr>
      <w:r>
        <w:t xml:space="preserve">1. Purpose</w:t>
      </w:r>
    </w:p>
    <w:p>
      <w:pPr>
        <w:pStyle w:val="FirstParagraph"/>
      </w:pPr>
      <w:r>
        <w:t xml:space="preserve">This policy defines acceptable use of Atlas Industries’ technology, including laptops, accounts, internet access, cloud services, and corporate data. It applies to employees, contractors, interns, and anyone with access to Atlas systems.</w:t>
      </w:r>
    </w:p>
    <w:bookmarkEnd w:id="20"/>
    <w:bookmarkStart w:id="21" w:name="ownership"/>
    <w:p>
      <w:pPr>
        <w:pStyle w:val="Heading2"/>
      </w:pPr>
      <w:r>
        <w:t xml:space="preserve">2. Ownership</w:t>
      </w:r>
    </w:p>
    <w:p>
      <w:pPr>
        <w:pStyle w:val="FirstParagraph"/>
      </w:pPr>
      <w:r>
        <w:t xml:space="preserve">All technology resources provided by Atlas Industries (laptops, accounts, software licenses, internet bandwidth, cloud storage, intellectual property created during employment) are the property of Atlas Industries.</w:t>
      </w:r>
    </w:p>
    <w:bookmarkEnd w:id="21"/>
    <w:bookmarkStart w:id="22" w:name="acceptable-use"/>
    <w:p>
      <w:pPr>
        <w:pStyle w:val="Heading2"/>
      </w:pPr>
      <w:r>
        <w:t xml:space="preserve">3. Acceptable Use</w:t>
      </w:r>
    </w:p>
    <w:p>
      <w:pPr>
        <w:pStyle w:val="FirstParagraph"/>
      </w:pPr>
      <w:r>
        <w:t xml:space="preserve">The following uses are acceptable:</w:t>
      </w:r>
    </w:p>
    <w:p>
      <w:pPr>
        <w:numPr>
          <w:ilvl w:val="0"/>
          <w:numId w:val="1001"/>
        </w:numPr>
        <w:pStyle w:val="Compact"/>
      </w:pPr>
      <w:r>
        <w:t xml:space="preserve">Performing your job responsibilities.</w:t>
      </w:r>
    </w:p>
    <w:p>
      <w:pPr>
        <w:numPr>
          <w:ilvl w:val="0"/>
          <w:numId w:val="1001"/>
        </w:numPr>
        <w:pStyle w:val="Compact"/>
      </w:pPr>
      <w:r>
        <w:t xml:space="preserve">Reasonable, limited personal use (e.g. checking personal email during a break) that does not interfere with work, consume excessive bandwidth, or compromise security.</w:t>
      </w:r>
    </w:p>
    <w:p>
      <w:pPr>
        <w:numPr>
          <w:ilvl w:val="0"/>
          <w:numId w:val="1001"/>
        </w:numPr>
        <w:pStyle w:val="Compact"/>
      </w:pPr>
      <w:r>
        <w:t xml:space="preserve">Professional development directly related to your role.</w:t>
      </w:r>
    </w:p>
    <w:p>
      <w:pPr>
        <w:numPr>
          <w:ilvl w:val="0"/>
          <w:numId w:val="1001"/>
        </w:numPr>
        <w:pStyle w:val="Compact"/>
      </w:pPr>
      <w:r>
        <w:t xml:space="preserve">Approved internal communications.</w:t>
      </w:r>
    </w:p>
    <w:bookmarkEnd w:id="22"/>
    <w:bookmarkStart w:id="23" w:name="prohibited-use"/>
    <w:p>
      <w:pPr>
        <w:pStyle w:val="Heading2"/>
      </w:pPr>
      <w:r>
        <w:t xml:space="preserve">4. Prohibited Use</w:t>
      </w:r>
    </w:p>
    <w:p>
      <w:pPr>
        <w:pStyle w:val="FirstParagraph"/>
      </w:pPr>
      <w:r>
        <w:t xml:space="preserve">The following are prohibited:</w:t>
      </w:r>
    </w:p>
    <w:p>
      <w:pPr>
        <w:numPr>
          <w:ilvl w:val="0"/>
          <w:numId w:val="1002"/>
        </w:numPr>
        <w:pStyle w:val="Compact"/>
      </w:pPr>
      <w:r>
        <w:t xml:space="preserve">Accessing, downloading, storing, or distributing pornography, hate speech, or other illegal content.</w:t>
      </w:r>
    </w:p>
    <w:p>
      <w:pPr>
        <w:numPr>
          <w:ilvl w:val="0"/>
          <w:numId w:val="1002"/>
        </w:numPr>
        <w:pStyle w:val="Compact"/>
      </w:pPr>
      <w:r>
        <w:t xml:space="preserve">Conducting personal businesses or freelance work on company time or systems.</w:t>
      </w:r>
    </w:p>
    <w:p>
      <w:pPr>
        <w:numPr>
          <w:ilvl w:val="0"/>
          <w:numId w:val="1002"/>
        </w:numPr>
        <w:pStyle w:val="Compact"/>
      </w:pPr>
      <w:r>
        <w:t xml:space="preserve">Installing pirated software or breaching software licenses.</w:t>
      </w:r>
    </w:p>
    <w:p>
      <w:pPr>
        <w:numPr>
          <w:ilvl w:val="0"/>
          <w:numId w:val="1002"/>
        </w:numPr>
        <w:pStyle w:val="Compact"/>
      </w:pPr>
      <w:r>
        <w:t xml:space="preserve">Bypassing security controls (e.g. disabling endpoint protection, using personal VPNs to evade monitoring).</w:t>
      </w:r>
    </w:p>
    <w:p>
      <w:pPr>
        <w:numPr>
          <w:ilvl w:val="0"/>
          <w:numId w:val="1002"/>
        </w:numPr>
        <w:pStyle w:val="Compact"/>
      </w:pPr>
      <w:r>
        <w:t xml:space="preserve">Sharing your account credentials with anyone, including colleagues and managers.</w:t>
      </w:r>
    </w:p>
    <w:p>
      <w:pPr>
        <w:numPr>
          <w:ilvl w:val="0"/>
          <w:numId w:val="1002"/>
        </w:numPr>
        <w:pStyle w:val="Compact"/>
      </w:pPr>
      <w:r>
        <w:t xml:space="preserve">Connecting personal storage devices (USB drives, external hard disks) to company laptops, except devices issued by IT.</w:t>
      </w:r>
    </w:p>
    <w:p>
      <w:pPr>
        <w:numPr>
          <w:ilvl w:val="0"/>
          <w:numId w:val="1002"/>
        </w:numPr>
        <w:pStyle w:val="Compact"/>
      </w:pPr>
      <w:r>
        <w:t xml:space="preserve">Sending company confidential information to personal email or personal cloud storage.</w:t>
      </w:r>
    </w:p>
    <w:p>
      <w:pPr>
        <w:numPr>
          <w:ilvl w:val="0"/>
          <w:numId w:val="1002"/>
        </w:numPr>
        <w:pStyle w:val="Compact"/>
      </w:pPr>
      <w:r>
        <w:t xml:space="preserve">Using corporate accounts for sign-up to personal services unrelated to work.</w:t>
      </w:r>
    </w:p>
    <w:bookmarkEnd w:id="23"/>
    <w:bookmarkStart w:id="24" w:name="personal-use-limits"/>
    <w:p>
      <w:pPr>
        <w:pStyle w:val="Heading2"/>
      </w:pPr>
      <w:r>
        <w:t xml:space="preserve">5. Personal Use Limits</w:t>
      </w:r>
    </w:p>
    <w:p>
      <w:pPr>
        <w:numPr>
          <w:ilvl w:val="0"/>
          <w:numId w:val="1003"/>
        </w:numPr>
        <w:pStyle w:val="Compact"/>
      </w:pPr>
      <w:r>
        <w:t xml:space="preserve">Personal use must not exceed</w:t>
      </w:r>
      <w:r>
        <w:t xml:space="preserve"> </w:t>
      </w:r>
      <w:r>
        <w:rPr>
          <w:bCs/>
          <w:b/>
        </w:rPr>
        <w:t xml:space="preserve">30 minutes per working day</w:t>
      </w:r>
      <w:r>
        <w:t xml:space="preserve"> </w:t>
      </w:r>
      <w:r>
        <w:t xml:space="preserve">in aggregate.</w:t>
      </w:r>
    </w:p>
    <w:p>
      <w:pPr>
        <w:numPr>
          <w:ilvl w:val="0"/>
          <w:numId w:val="1003"/>
        </w:numPr>
        <w:pStyle w:val="Compact"/>
      </w:pPr>
      <w:r>
        <w:t xml:space="preserve">Streaming non-work video on the corporate network during working hours is discouraged due to bandwidth.</w:t>
      </w:r>
    </w:p>
    <w:p>
      <w:pPr>
        <w:numPr>
          <w:ilvl w:val="0"/>
          <w:numId w:val="1003"/>
        </w:numPr>
        <w:pStyle w:val="Compact"/>
      </w:pPr>
      <w:r>
        <w:t xml:space="preserve">Personal email and social media should be checked during breaks, not during meetings or focus time.</w:t>
      </w:r>
    </w:p>
    <w:bookmarkEnd w:id="24"/>
    <w:bookmarkStart w:id="25" w:name="monitoring"/>
    <w:p>
      <w:pPr>
        <w:pStyle w:val="Heading2"/>
      </w:pPr>
      <w:r>
        <w:t xml:space="preserve">6. Monitoring</w:t>
      </w:r>
    </w:p>
    <w:p>
      <w:pPr>
        <w:pStyle w:val="FirstParagraph"/>
      </w:pPr>
      <w:r>
        <w:t xml:space="preserve">Atlas Industries reserves the right to monitor:</w:t>
      </w:r>
    </w:p>
    <w:p>
      <w:pPr>
        <w:numPr>
          <w:ilvl w:val="0"/>
          <w:numId w:val="1004"/>
        </w:numPr>
        <w:pStyle w:val="Compact"/>
      </w:pPr>
      <w:r>
        <w:t xml:space="preserve">Internet browsing patterns (aggregated and anonymized for routine reporting, identifiable for investigations).</w:t>
      </w:r>
    </w:p>
    <w:p>
      <w:pPr>
        <w:numPr>
          <w:ilvl w:val="0"/>
          <w:numId w:val="1004"/>
        </w:numPr>
        <w:pStyle w:val="Compact"/>
      </w:pPr>
      <w:r>
        <w:t xml:space="preserve">Email content, where required for security or legal investigations and approved by Legal.</w:t>
      </w:r>
    </w:p>
    <w:p>
      <w:pPr>
        <w:numPr>
          <w:ilvl w:val="0"/>
          <w:numId w:val="1004"/>
        </w:numPr>
        <w:pStyle w:val="Compact"/>
      </w:pPr>
      <w:r>
        <w:t xml:space="preserve">Endpoint security telemetry (always on, captured by CrowdStrike).</w:t>
      </w:r>
    </w:p>
    <w:p>
      <w:pPr>
        <w:numPr>
          <w:ilvl w:val="0"/>
          <w:numId w:val="1004"/>
        </w:numPr>
        <w:pStyle w:val="Compact"/>
      </w:pPr>
      <w:r>
        <w:t xml:space="preserve">Application usage logs for licensed software.</w:t>
      </w:r>
    </w:p>
    <w:p>
      <w:pPr>
        <w:pStyle w:val="FirstParagraph"/>
      </w:pPr>
      <w:r>
        <w:t xml:space="preserve">Monitoring is conducted within applicable Egyptian labor law and the company’s published privacy notice. Employees do not have an expectation of privacy on company-owned systems.</w:t>
      </w:r>
    </w:p>
    <w:bookmarkEnd w:id="25"/>
    <w:bookmarkStart w:id="26" w:name="data-classification"/>
    <w:p>
      <w:pPr>
        <w:pStyle w:val="Heading2"/>
      </w:pPr>
      <w:r>
        <w:t xml:space="preserve">7. Data Classification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Examples</w:t>
            </w:r>
          </w:p>
        </w:tc>
        <w:tc>
          <w:tcPr/>
          <w:p>
            <w:pPr>
              <w:pStyle w:val="Compact"/>
              <w:jc w:val="left"/>
            </w:pPr>
            <w:r>
              <w:t xml:space="preserve">Sharing</w:t>
            </w:r>
          </w:p>
        </w:tc>
      </w:tr>
      <w:tr>
        <w:tc>
          <w:tcPr/>
          <w:p>
            <w:pPr>
              <w:pStyle w:val="Compact"/>
              <w:jc w:val="left"/>
            </w:pPr>
            <w:r>
              <w:rPr>
                <w:bCs/>
                <w:b/>
              </w:rPr>
              <w:t xml:space="preserve">Public</w:t>
            </w:r>
          </w:p>
        </w:tc>
        <w:tc>
          <w:tcPr/>
          <w:p>
            <w:pPr>
              <w:pStyle w:val="Compact"/>
              <w:jc w:val="left"/>
            </w:pPr>
            <w:r>
              <w:t xml:space="preserve">Marketing material, press releases</w:t>
            </w:r>
          </w:p>
        </w:tc>
        <w:tc>
          <w:tcPr/>
          <w:p>
            <w:pPr>
              <w:pStyle w:val="Compact"/>
              <w:jc w:val="left"/>
            </w:pPr>
            <w:r>
              <w:t xml:space="preserve">No restrictions</w:t>
            </w:r>
          </w:p>
        </w:tc>
      </w:tr>
      <w:tr>
        <w:tc>
          <w:tcPr/>
          <w:p>
            <w:pPr>
              <w:pStyle w:val="Compact"/>
              <w:jc w:val="left"/>
            </w:pPr>
            <w:r>
              <w:rPr>
                <w:bCs/>
                <w:b/>
              </w:rPr>
              <w:t xml:space="preserve">Internal</w:t>
            </w:r>
          </w:p>
        </w:tc>
        <w:tc>
          <w:tcPr/>
          <w:p>
            <w:pPr>
              <w:pStyle w:val="Compact"/>
              <w:jc w:val="left"/>
            </w:pPr>
            <w:r>
              <w:t xml:space="preserve">Org charts, internal announcements</w:t>
            </w:r>
          </w:p>
        </w:tc>
        <w:tc>
          <w:tcPr/>
          <w:p>
            <w:pPr>
              <w:pStyle w:val="Compact"/>
              <w:jc w:val="left"/>
            </w:pPr>
            <w:r>
              <w:t xml:space="preserve">Within Atlas only</w:t>
            </w:r>
          </w:p>
        </w:tc>
      </w:tr>
      <w:tr>
        <w:tc>
          <w:tcPr/>
          <w:p>
            <w:pPr>
              <w:pStyle w:val="Compact"/>
              <w:jc w:val="left"/>
            </w:pPr>
            <w:r>
              <w:rPr>
                <w:bCs/>
                <w:b/>
              </w:rPr>
              <w:t xml:space="preserve">Confidential</w:t>
            </w:r>
          </w:p>
        </w:tc>
        <w:tc>
          <w:tcPr/>
          <w:p>
            <w:pPr>
              <w:pStyle w:val="Compact"/>
              <w:jc w:val="left"/>
            </w:pPr>
            <w:r>
              <w:t xml:space="preserve">Customer data, financials, strategy docs</w:t>
            </w:r>
          </w:p>
        </w:tc>
        <w:tc>
          <w:tcPr/>
          <w:p>
            <w:pPr>
              <w:pStyle w:val="Compact"/>
              <w:jc w:val="left"/>
            </w:pPr>
            <w:r>
              <w:t xml:space="preserve">Need-to-know basis, NDA required</w:t>
            </w:r>
          </w:p>
        </w:tc>
      </w:tr>
      <w:tr>
        <w:tc>
          <w:tcPr/>
          <w:p>
            <w:pPr>
              <w:pStyle w:val="Compact"/>
              <w:jc w:val="left"/>
            </w:pPr>
            <w:r>
              <w:rPr>
                <w:bCs/>
                <w:b/>
              </w:rPr>
              <w:t xml:space="preserve">Restricted</w:t>
            </w:r>
          </w:p>
        </w:tc>
        <w:tc>
          <w:tcPr/>
          <w:p>
            <w:pPr>
              <w:pStyle w:val="Compact"/>
              <w:jc w:val="left"/>
            </w:pPr>
            <w:r>
              <w:t xml:space="preserve">Personal data of customers/employees, regulated data</w:t>
            </w:r>
          </w:p>
        </w:tc>
        <w:tc>
          <w:tcPr/>
          <w:p>
            <w:pPr>
              <w:pStyle w:val="Compact"/>
              <w:jc w:val="left"/>
            </w:pPr>
            <w:r>
              <w:t xml:space="preserve">Strictly controlled, encrypted in transit and at rest</w:t>
            </w:r>
          </w:p>
        </w:tc>
      </w:tr>
    </w:tbl>
    <w:bookmarkEnd w:id="26"/>
    <w:bookmarkStart w:id="27" w:name="reporting-violations"/>
    <w:p>
      <w:pPr>
        <w:pStyle w:val="Heading2"/>
      </w:pPr>
      <w:r>
        <w:t xml:space="preserve">8. Reporting Violations</w:t>
      </w:r>
    </w:p>
    <w:p>
      <w:pPr>
        <w:pStyle w:val="FirstParagraph"/>
      </w:pPr>
      <w:r>
        <w:t xml:space="preserve">Suspected violations should be reported to</w:t>
      </w:r>
      <w:r>
        <w:t xml:space="preserve"> </w:t>
      </w:r>
      <w:r>
        <w:rPr>
          <w:rStyle w:val="VerbatimChar"/>
        </w:rPr>
        <w:t xml:space="preserve">security@atlas-industries.com</w:t>
      </w:r>
      <w:r>
        <w:t xml:space="preserve"> </w:t>
      </w:r>
      <w:r>
        <w:t xml:space="preserve">or the IT Service Desk. Reports made in good faith are protected from retaliation.</w:t>
      </w:r>
    </w:p>
    <w:bookmarkEnd w:id="27"/>
    <w:bookmarkStart w:id="28" w:name="consequences"/>
    <w:p>
      <w:pPr>
        <w:pStyle w:val="Heading2"/>
      </w:pPr>
      <w:r>
        <w:t xml:space="preserve">9. Consequences</w:t>
      </w:r>
    </w:p>
    <w:p>
      <w:pPr>
        <w:pStyle w:val="FirstParagraph"/>
      </w:pPr>
      <w:r>
        <w:t xml:space="preserve">Violations are handled by HR in conjunction with IT Security. Outcomes range from verbal warning to termination, depending on severity. Some violations may also be reported to law enforcement.</w:t>
      </w:r>
    </w:p>
    <w:p>
      <w:r>
        <w:pict>
          <v:rect style="width:0;height:1.5pt" o:hralign="center" o:hrstd="t" o:hr="t"/>
        </w:pict>
      </w:r>
    </w:p>
    <w:p>
      <w:pPr>
        <w:pStyle w:val="FirstParagraph"/>
      </w:pPr>
      <w:r>
        <w:rPr>
          <w:iCs/>
          <w:i/>
        </w:rPr>
        <w:t xml:space="preserve">Related: IT-VPN-001, IT-MFA-010, IT-IR-005, HR-COC-004.</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2026-05-18T18:06:57Z</dcterms:created>
  <dcterms:modified xsi:type="dcterms:W3CDTF">2026-05-18T18:06:57Z</dcterms:modified>
</cp:coreProperties>
</file>

<file path=docProps/custom.xml><?xml version="1.0" encoding="utf-8"?>
<Properties xmlns="http://schemas.openxmlformats.org/officeDocument/2006/custom-properties" xmlns:vt="http://schemas.openxmlformats.org/officeDocument/2006/docPropsVTypes"/>
</file>