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3864"/>
          <w:sz w:val="30"/>
          <w:szCs w:val="30"/>
        </w:rPr>
        <w:t xml:space="preserve">The University of Jordan</w:t>
      </w:r>
    </w:p>
    <w:p>
      <w:pPr>
        <w:spacing w:after="50"/>
        <w:jc w:val="center"/>
      </w:pPr>
      <w:r>
        <w:rPr>
          <w:color w:val="404040"/>
          <w:sz w:val="21"/>
          <w:szCs w:val="21"/>
        </w:rPr>
        <w:t xml:space="preserve">King Abdullah II School for Information Technology</w:t>
      </w:r>
    </w:p>
    <w:p>
      <w:pPr>
        <w:spacing w:after="50"/>
        <w:jc w:val="center"/>
      </w:pPr>
      <w:r>
        <w:rPr>
          <w:color w:val="404040"/>
          <w:sz w:val="21"/>
          <w:szCs w:val="21"/>
        </w:rPr>
        <w:t xml:space="preserve">Department of Computer Science</w:t>
      </w:r>
    </w:p>
    <w:p>
      <w:pPr>
        <w:pBdr>
          <w:bottom w:val="single" w:color="2E75B6" w:sz="8" w:space="4"/>
        </w:pBdr>
        <w:spacing w:after="160" w:before="80"/>
      </w:pPr>
    </w:p>
    <w:p>
      <w:pPr>
        <w:spacing w:after="50"/>
        <w:jc w:val="center"/>
      </w:pPr>
      <w:r>
        <w:rPr>
          <w:b/>
          <w:bCs/>
          <w:color w:val="404040"/>
          <w:sz w:val="21"/>
          <w:szCs w:val="21"/>
        </w:rPr>
        <w:t xml:space="preserve">Risk Management</w:t>
      </w:r>
    </w:p>
    <w:p>
      <w:pPr>
        <w:spacing w:after="240"/>
        <w:jc w:val="center"/>
      </w:pPr>
      <w:r>
        <w:rPr>
          <w:color w:val="595959"/>
          <w:sz w:val="20"/>
          <w:szCs w:val="20"/>
        </w:rPr>
        <w:t xml:space="preserve">Project One   |   Fall Semester   |   Year 2023–2024</w:t>
      </w:r>
    </w:p>
    <w:p>
      <w:pPr>
        <w:shd w:fill="1F3864" w:color="auto" w:val="clear"/>
        <w:spacing w:after="60" w:before="60"/>
        <w:jc w:val="center"/>
      </w:pPr>
      <w:r>
        <w:rPr>
          <w:b/>
          <w:bCs/>
          <w:color w:val="FFFFFF"/>
          <w:sz w:val="26"/>
          <w:szCs w:val="26"/>
        </w:rPr>
        <w:t xml:space="preserve">  Security Risk Management and Ethics  </w:t>
      </w:r>
    </w:p>
    <w:p>
      <w:pPr>
        <w:shd w:fill="1F3864" w:color="auto" w:val="clear"/>
        <w:spacing w:after="260"/>
        <w:jc w:val="center"/>
      </w:pPr>
      <w:r>
        <w:rPr>
          <w:b/>
          <w:bCs/>
          <w:color w:val="FFFFFF"/>
          <w:sz w:val="26"/>
          <w:szCs w:val="26"/>
        </w:rPr>
        <w:t xml:space="preserve">Project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FCEDF" w:sz="2"/>
              <w:left w:val="single" w:color="BFCEDF" w:sz="2"/>
              <w:bottom w:val="single" w:color="BFCEDF" w:sz="2"/>
              <w:right w:val="single" w:color="BFCEDF" w:sz="2"/>
            </w:tcBorders>
            <w:shd w:fill="1F3864" w:color="auto" w:val="clear"/>
            <w:tcMar>
              <w:top w:type="dxa" w:w="100"/>
              <w:left w:type="dxa" w:w="130"/>
              <w:bottom w:type="dxa" w:w="100"/>
              <w:right w:type="dxa" w:w="130"/>
            </w:tcMar>
            <w:vAlign w:val="center"/>
          </w:tcPr>
          <w:p>
            <w:r>
              <w:rPr>
                <w:b/>
                <w:bCs/>
                <w:color w:val="FFFFFF"/>
                <w:sz w:val="21"/>
                <w:szCs w:val="21"/>
              </w:rPr>
              <w:t xml:space="preserve">Project Title</w:t>
            </w:r>
          </w:p>
        </w:tc>
        <w:tc>
          <w:tcPr>
            <w:tcW w:type="dxa" w:w="7210"/>
            <w:tcBorders>
              <w:top w:val="single" w:color="BFCEDF" w:sz="2"/>
              <w:left w:val="single" w:color="BFCEDF" w:sz="2"/>
              <w:bottom w:val="single" w:color="BFCEDF" w:sz="2"/>
              <w:right w:val="single" w:color="BFCEDF" w:sz="2"/>
            </w:tcBorders>
            <w:tcMar>
              <w:top w:type="dxa" w:w="100"/>
              <w:left w:type="dxa" w:w="140"/>
              <w:bottom w:type="dxa" w:w="100"/>
              <w:right w:type="dxa" w:w="140"/>
            </w:tcMar>
            <w:vAlign w:val="center"/>
          </w:tcPr>
          <w:p>
            <w:pPr>
              <w:spacing w:after="40"/>
            </w:pPr>
            <w:r>
              <w:rPr>
                <w:b/>
                <w:bCs/>
                <w:color w:val="1F3864"/>
                <w:sz w:val="26"/>
                <w:szCs w:val="26"/>
              </w:rPr>
              <w:t xml:space="preserve">SHIELD-CI</w:t>
            </w:r>
          </w:p>
          <w:p>
            <w:r>
              <w:rPr>
                <w:b/>
                <w:bCs/>
                <w:color w:val="404040"/>
                <w:sz w:val="21"/>
                <w:szCs w:val="21"/>
              </w:rPr>
              <w:t xml:space="preserve">Systematic Holistic Infrastructure Enhancement &amp; Layer Defense for Critical Infrastructure</w:t>
            </w:r>
          </w:p>
        </w:tc>
      </w:tr>
      <w:tr>
        <w:tc>
          <w:tcPr>
            <w:tcW w:type="dxa" w:w="2150"/>
            <w:tcBorders>
              <w:top w:val="single" w:color="BFCEDF" w:sz="2"/>
              <w:left w:val="single" w:color="BFCEDF" w:sz="2"/>
              <w:bottom w:val="single" w:color="BFCEDF" w:sz="2"/>
              <w:right w:val="single" w:color="BFCEDF" w:sz="2"/>
            </w:tcBorders>
            <w:shd w:fill="1F3864" w:color="auto" w:val="clear"/>
            <w:tcMar>
              <w:top w:type="dxa" w:w="100"/>
              <w:left w:type="dxa" w:w="130"/>
              <w:bottom w:type="dxa" w:w="100"/>
              <w:right w:type="dxa" w:w="130"/>
            </w:tcMar>
            <w:vAlign w:val="center"/>
          </w:tcPr>
          <w:p>
            <w:r>
              <w:rPr>
                <w:b/>
                <w:bCs/>
                <w:color w:val="FFFFFF"/>
                <w:sz w:val="21"/>
                <w:szCs w:val="21"/>
              </w:rPr>
              <w:t xml:space="preserve">Project Description</w:t>
            </w:r>
          </w:p>
        </w:tc>
        <w:tc>
          <w:tcPr>
            <w:tcW w:type="dxa" w:w="7210"/>
            <w:tcBorders>
              <w:top w:val="single" w:color="BFCEDF" w:sz="2"/>
              <w:left w:val="single" w:color="BFCEDF" w:sz="2"/>
              <w:bottom w:val="single" w:color="BFCEDF" w:sz="2"/>
              <w:right w:val="single" w:color="BFCEDF" w:sz="2"/>
            </w:tcBorders>
            <w:tcMar>
              <w:top w:type="dxa" w:w="100"/>
              <w:left w:type="dxa" w:w="140"/>
              <w:bottom w:type="dxa" w:w="100"/>
              <w:right w:type="dxa" w:w="140"/>
            </w:tcMar>
            <w:vAlign w:val="center"/>
          </w:tcPr>
          <w:p>
            <w:pPr>
              <w:spacing w:line="290"/>
              <w:jc w:val="both"/>
            </w:pPr>
            <w:r>
              <w:rPr>
                <w:sz w:val="21"/>
                <w:szCs w:val="21"/>
              </w:rPr>
              <w:t xml:space="preserve">This project focuses on the main security issues in critical infrastructure systems, with a special focus on smart cities. Systems such as power grids, hospitals, telecommunication networks, and municipal services are becoming more exposed to cyber threats because they are highly interconnected. These threats range from ransomware and data breaches to advanced cyber warfare, and dealing with them requires a strong understanding of system vulnerabilities and effective protective measures. Risk management and risk assessment are essential for identifying and prioritizing the risks that affect these vital systems. By evaluating these risks in a systematic way, organizations can apply targeted security strategies that protect the services society depends on. The main objective of the project is to explore and develop cybersecurity solutions for critical infrastructure, protecting these systems from evolving threats while making use of advanced technologies such as Artificial Intelligence and Big Data, strengthening personnel training programs, and addressing the human factor in cybersecurity.</w:t>
            </w:r>
          </w:p>
        </w:tc>
      </w:tr>
      <w:tr>
        <w:tc>
          <w:tcPr>
            <w:tcW w:type="dxa" w:w="2150"/>
            <w:tcBorders>
              <w:top w:val="single" w:color="BFCEDF" w:sz="2"/>
              <w:left w:val="single" w:color="BFCEDF" w:sz="2"/>
              <w:bottom w:val="single" w:color="BFCEDF" w:sz="2"/>
              <w:right w:val="single" w:color="BFCEDF" w:sz="2"/>
            </w:tcBorders>
            <w:shd w:fill="1F3864" w:color="auto" w:val="clear"/>
            <w:tcMar>
              <w:top w:type="dxa" w:w="100"/>
              <w:left w:type="dxa" w:w="130"/>
              <w:bottom w:type="dxa" w:w="100"/>
              <w:right w:type="dxa" w:w="130"/>
            </w:tcMar>
            <w:vAlign w:val="center"/>
          </w:tcPr>
          <w:p>
            <w:r>
              <w:rPr>
                <w:b/>
                <w:bCs/>
                <w:color w:val="FFFFFF"/>
                <w:sz w:val="21"/>
                <w:szCs w:val="21"/>
              </w:rPr>
              <w:t xml:space="preserve">List of Articles (10 Papers)</w:t>
            </w:r>
          </w:p>
        </w:tc>
        <w:tc>
          <w:tcPr>
            <w:tcW w:type="dxa" w:w="7210"/>
            <w:tcBorders>
              <w:top w:val="single" w:color="BFCEDF" w:sz="2"/>
              <w:left w:val="single" w:color="BFCEDF" w:sz="2"/>
              <w:bottom w:val="single" w:color="BFCEDF" w:sz="2"/>
              <w:right w:val="single" w:color="BFCEDF" w:sz="2"/>
            </w:tcBorders>
            <w:tcMar>
              <w:top w:type="dxa" w:w="100"/>
              <w:left w:type="dxa" w:w="140"/>
              <w:bottom w:type="dxa" w:w="100"/>
              <w:right w:type="dxa" w:w="140"/>
            </w:tcMar>
            <w:vAlign w:val="center"/>
          </w:tcPr>
          <w:p>
            <w:pPr>
              <w:spacing w:after="30" w:before="0"/>
            </w:pPr>
            <w:r>
              <w:rPr>
                <w:b/>
                <w:bCs/>
                <w:color w:val="1F3864"/>
                <w:sz w:val="20"/>
                <w:szCs w:val="20"/>
              </w:rPr>
              <w:t xml:space="preserve">1.  What is Infrastructure Security? (HPE)</w:t>
            </w:r>
          </w:p>
          <w:p>
            <w:pPr>
              <w:spacing w:after="30"/>
              <w:ind w:left="250"/>
            </w:pPr>
            <w:hyperlink w:history="1" r:id="rIdhangvawax3adlcocz94qe">
              <w:r>
                <w:rPr>
                  <w:color w:val="0563C1"/>
                  <w:sz w:val="17"/>
                  <w:szCs w:val="17"/>
                  <w:u w:val="single"/>
                </w:rPr>
                <w:t xml:space="preserve">https://www.hpe.com/emea_europe/en/what-is/infrastructure-security.html</w:t>
              </w:r>
            </w:hyperlink>
          </w:p>
          <w:p>
            <w:pPr>
              <w:spacing w:after="0" w:line="280"/>
              <w:ind w:left="250"/>
              <w:jc w:val="both"/>
            </w:pPr>
            <w:r>
              <w:rPr>
                <w:sz w:val="20"/>
                <w:szCs w:val="20"/>
              </w:rPr>
              <w:t xml:space="preserve">This source explains the basic idea of infrastructure security and the cybersecurity challenges found in telecommunication networks. It focuses on protecting networks, devices, and sensitive data in the era of technologies such as 5G, and it describes common threats like DDoS attacks, data breaches, ransomware, and man-in-the-middle attacks. It also shows how Artificial Intelligence tools, such as those by Darktrace, help telecom companies secure large infrastructures through automatic threat detection and response.</w:t>
            </w:r>
          </w:p>
          <w:p>
            <w:pPr>
              <w:spacing w:after="30" w:before="130"/>
            </w:pPr>
            <w:r>
              <w:rPr>
                <w:b/>
                <w:bCs/>
                <w:color w:val="1F3864"/>
                <w:sz w:val="20"/>
                <w:szCs w:val="20"/>
              </w:rPr>
              <w:t xml:space="preserve">2.  Cybersecurity Risk Assessment in Smart City Infrastructures</w:t>
            </w:r>
          </w:p>
          <w:p>
            <w:pPr>
              <w:spacing w:after="30"/>
              <w:ind w:left="250"/>
            </w:pPr>
            <w:hyperlink w:history="1" r:id="rIdckobfxrkzgn9qqkj4ecdl">
              <w:r>
                <w:rPr>
                  <w:color w:val="0563C1"/>
                  <w:sz w:val="17"/>
                  <w:szCs w:val="17"/>
                  <w:u w:val="single"/>
                </w:rPr>
                <w:t xml:space="preserve">https://www.mdpi.com/2075-1702/9/4/78</w:t>
              </w:r>
            </w:hyperlink>
          </w:p>
          <w:p>
            <w:pPr>
              <w:spacing w:after="0" w:line="280"/>
              <w:ind w:left="250"/>
              <w:jc w:val="both"/>
            </w:pPr>
            <w:r>
              <w:rPr>
                <w:sz w:val="20"/>
                <w:szCs w:val="20"/>
              </w:rPr>
              <w:t xml:space="preserve">This research focuses on cybersecurity risk assessment in smart city infrastructures. It highlights the special vulnerabilities and threats faced by interconnected systems such as IoT devices, and it emphasizes the importance of identifying and evaluating risks to keep these systems resilient and secure. It also suggests strategies and frameworks to strengthen the cybersecurity of smart city technologies.</w:t>
            </w:r>
          </w:p>
          <w:p>
            <w:pPr>
              <w:spacing w:after="30" w:before="130"/>
            </w:pPr>
            <w:r>
              <w:rPr>
                <w:b/>
                <w:bCs/>
                <w:color w:val="1F3864"/>
                <w:sz w:val="20"/>
                <w:szCs w:val="20"/>
              </w:rPr>
              <w:t xml:space="preserve">3.  Data Governance to Counter Hybrid Threats against Critical Infrastructures</w:t>
            </w:r>
          </w:p>
          <w:p>
            <w:pPr>
              <w:spacing w:after="30"/>
              <w:ind w:left="250"/>
            </w:pPr>
            <w:hyperlink w:history="1" r:id="rIdyliaslf2wncoeky9f3rer">
              <w:r>
                <w:rPr>
                  <w:color w:val="0563C1"/>
                  <w:sz w:val="17"/>
                  <w:szCs w:val="17"/>
                  <w:u w:val="single"/>
                </w:rPr>
                <w:t xml:space="preserve">https://www.mdpi.com/2624-6511/7/4/72</w:t>
              </w:r>
            </w:hyperlink>
          </w:p>
          <w:p>
            <w:pPr>
              <w:spacing w:after="0" w:line="280"/>
              <w:ind w:left="250"/>
              <w:jc w:val="both"/>
            </w:pPr>
            <w:r>
              <w:rPr>
                <w:sz w:val="20"/>
                <w:szCs w:val="20"/>
              </w:rPr>
              <w:t xml:space="preserve">This article presents data governance as a strategy to counter hybrid threats that target critical infrastructure. Hybrid threats combine cyberattacks, misinformation, and other tactics to disrupt systems. The paper explains how good governance and proper data management can help prevent or reduce these threats, and it stresses the importance of strong governance frameworks.</w:t>
            </w:r>
          </w:p>
          <w:p>
            <w:pPr>
              <w:spacing w:after="30" w:before="130"/>
            </w:pPr>
            <w:r>
              <w:rPr>
                <w:b/>
                <w:bCs/>
                <w:color w:val="1F3864"/>
                <w:sz w:val="20"/>
                <w:szCs w:val="20"/>
              </w:rPr>
              <w:t xml:space="preserve">4.  Internet of Things Meet Internet of Threats: Cyber Security Issues of Critical Cyber Infrastructure</w:t>
            </w:r>
          </w:p>
          <w:p>
            <w:pPr>
              <w:spacing w:after="30"/>
              <w:ind w:left="250"/>
            </w:pPr>
            <w:hyperlink w:history="1" r:id="rIdm5nafngsiffmpyrdu5i04">
              <w:r>
                <w:rPr>
                  <w:color w:val="0563C1"/>
                  <w:sz w:val="17"/>
                  <w:szCs w:val="17"/>
                  <w:u w:val="single"/>
                </w:rPr>
                <w:t xml:space="preserve">https://www.mdpi.com/2076-3417/11/10/4580</w:t>
              </w:r>
            </w:hyperlink>
          </w:p>
          <w:p>
            <w:pPr>
              <w:spacing w:after="0" w:line="280"/>
              <w:ind w:left="250"/>
              <w:jc w:val="both"/>
            </w:pPr>
            <w:r>
              <w:rPr>
                <w:sz w:val="20"/>
                <w:szCs w:val="20"/>
              </w:rPr>
              <w:t xml:space="preserve">This article discusses the growing cybersecurity risks created by the Internet of Things (IoT) and its impact on critical infrastructure. It explains how interconnected devices can be vulnerable to cyber threats and stresses the need for stronger security measures to protect sensitive systems.</w:t>
            </w:r>
          </w:p>
          <w:p>
            <w:pPr>
              <w:spacing w:after="30" w:before="130"/>
            </w:pPr>
            <w:r>
              <w:rPr>
                <w:b/>
                <w:bCs/>
                <w:color w:val="1F3864"/>
                <w:sz w:val="20"/>
                <w:szCs w:val="20"/>
              </w:rPr>
              <w:t xml:space="preserve">5.  Security Risk Modeling in Smart Grid Critical Infrastructures in the Era of Big Data and Artificial Intelligence</w:t>
            </w:r>
          </w:p>
          <w:p>
            <w:pPr>
              <w:spacing w:after="30"/>
              <w:ind w:left="250"/>
            </w:pPr>
            <w:hyperlink w:history="1" r:id="rIdwtxl7bnedztestq8bqyfd">
              <w:r>
                <w:rPr>
                  <w:color w:val="0563C1"/>
                  <w:sz w:val="17"/>
                  <w:szCs w:val="17"/>
                  <w:u w:val="single"/>
                </w:rPr>
                <w:t xml:space="preserve">https://www.mdpi.com/2071-1050/13/6/3196</w:t>
              </w:r>
            </w:hyperlink>
          </w:p>
          <w:p>
            <w:pPr>
              <w:spacing w:after="0" w:line="280"/>
              <w:ind w:left="250"/>
              <w:jc w:val="both"/>
            </w:pPr>
            <w:r>
              <w:rPr>
                <w:sz w:val="20"/>
                <w:szCs w:val="20"/>
              </w:rPr>
              <w:t xml:space="preserve">This study discusses the security risks in smart grid infrastructures, especially with the advances in Big Data and Artificial Intelligence. It explains how these technologies can introduce new vulnerabilities and make the smart grid more exposed to cyberattacks, and it focuses on modeling these risks to improve the safety and reliability of energy systems.</w:t>
            </w:r>
          </w:p>
          <w:p>
            <w:pPr>
              <w:spacing w:after="30" w:before="130"/>
            </w:pPr>
            <w:r>
              <w:rPr>
                <w:b/>
                <w:bCs/>
                <w:color w:val="1F3864"/>
                <w:sz w:val="20"/>
                <w:szCs w:val="20"/>
              </w:rPr>
              <w:t xml:space="preserve">6.  Predicting Cybersecurity Threats in Critical Infrastructure for Industry 4.0: A Proactive Approach Based on Attacker Motivations</w:t>
            </w:r>
          </w:p>
          <w:p>
            <w:pPr>
              <w:spacing w:after="30"/>
              <w:ind w:left="250"/>
            </w:pPr>
            <w:hyperlink w:history="1" r:id="rIdrfpgiinkd7ix5b6g5xe_k">
              <w:r>
                <w:rPr>
                  <w:color w:val="0563C1"/>
                  <w:sz w:val="17"/>
                  <w:szCs w:val="17"/>
                  <w:u w:val="single"/>
                </w:rPr>
                <w:t xml:space="preserve">https://www.mdpi.com/1424-8220/23/9/4539</w:t>
              </w:r>
            </w:hyperlink>
          </w:p>
          <w:p>
            <w:pPr>
              <w:spacing w:after="0" w:line="280"/>
              <w:ind w:left="250"/>
              <w:jc w:val="both"/>
            </w:pPr>
            <w:r>
              <w:rPr>
                <w:sz w:val="20"/>
                <w:szCs w:val="20"/>
              </w:rPr>
              <w:t xml:space="preserve">This article explores how to predict cybersecurity threats in critical infrastructure within Industry 4.0. It introduces a proactive approach based on understanding the motivations of attackers, which helps to predict and prevent attacks, and it highlights the need for security strategies designed around attacker behavior.</w:t>
            </w:r>
          </w:p>
          <w:p>
            <w:pPr>
              <w:spacing w:after="30" w:before="130"/>
            </w:pPr>
            <w:r>
              <w:rPr>
                <w:b/>
                <w:bCs/>
                <w:color w:val="1F3864"/>
                <w:sz w:val="20"/>
                <w:szCs w:val="20"/>
              </w:rPr>
              <w:t xml:space="preserve">7.  Key Competencies for Critical Infrastructure Cyber-Security: A Systematic Literature Review</w:t>
            </w:r>
          </w:p>
          <w:p>
            <w:pPr>
              <w:spacing w:after="30"/>
              <w:ind w:left="250"/>
            </w:pPr>
            <w:hyperlink w:history="1" r:id="rId0ggg1vtig1zyp1qrsut2r">
              <w:r>
                <w:rPr>
                  <w:color w:val="0563C1"/>
                  <w:sz w:val="17"/>
                  <w:szCs w:val="17"/>
                  <w:u w:val="single"/>
                </w:rPr>
                <w:t xml:space="preserve">https://www.emerald.com/insight/content/doi/10.1108/ics-07-2020-0121/full/html</w:t>
              </w:r>
            </w:hyperlink>
          </w:p>
          <w:p>
            <w:pPr>
              <w:spacing w:after="0" w:line="280"/>
              <w:ind w:left="250"/>
              <w:jc w:val="both"/>
            </w:pPr>
            <w:r>
              <w:rPr>
                <w:sz w:val="20"/>
                <w:szCs w:val="20"/>
              </w:rPr>
              <w:t xml:space="preserve">This systematic literature review identifies the key skills and competencies needed by the professionals who protect critical infrastructure. It explores how information and communication systems are evolving, their risks, and how they can be improved, providing useful insights into preparing a capable cybersecurity workforce.</w:t>
            </w:r>
          </w:p>
          <w:p>
            <w:pPr>
              <w:spacing w:after="30" w:before="130"/>
            </w:pPr>
            <w:r>
              <w:rPr>
                <w:b/>
                <w:bCs/>
                <w:color w:val="1F3864"/>
                <w:sz w:val="20"/>
                <w:szCs w:val="20"/>
              </w:rPr>
              <w:t xml:space="preserve">8.  Cyber Collateral: WannaCry &amp; the Impact of Cyberattacks on the Mental Health of Critical Infrastructure Defenders</w:t>
            </w:r>
          </w:p>
          <w:p>
            <w:pPr>
              <w:spacing w:after="30"/>
              <w:ind w:left="250"/>
            </w:pPr>
            <w:hyperlink w:history="1" r:id="rIdw5d8cncecrde5z5taqd_c">
              <w:r>
                <w:rPr>
                  <w:color w:val="0563C1"/>
                  <w:sz w:val="17"/>
                  <w:szCs w:val="17"/>
                  <w:u w:val="single"/>
                </w:rPr>
                <w:t xml:space="preserve">https://www.ccw.ox.ac.uk/blog/2022/10/5/cyber-collateral-wannacry-amp-the-impact-of-cyberattacks-on-the-mental-health-of-critical-infrastructure-defenders-by-tarah-wheeler-and-john-alderdice</w:t>
              </w:r>
            </w:hyperlink>
          </w:p>
          <w:p>
            <w:pPr>
              <w:spacing w:after="0" w:line="280"/>
              <w:ind w:left="250"/>
              <w:jc w:val="both"/>
            </w:pPr>
            <w:r>
              <w:rPr>
                <w:sz w:val="20"/>
                <w:szCs w:val="20"/>
              </w:rPr>
              <w:t xml:space="preserve">This study analyzes how IT responders in the UK’s NHS handled the 2017 WannaCry ransomware attack. Through interviews with responders and stakeholders, the researchers identified major challenges such as insufficient training, limited resources, and heavy psychological stress, and they highlight the need for better support, training, and incident reporting procedures.</w:t>
            </w:r>
          </w:p>
          <w:p>
            <w:pPr>
              <w:spacing w:after="30" w:before="130"/>
            </w:pPr>
            <w:r>
              <w:rPr>
                <w:b/>
                <w:bCs/>
                <w:color w:val="1F3864"/>
                <w:sz w:val="20"/>
                <w:szCs w:val="20"/>
              </w:rPr>
              <w:t xml:space="preserve">9.  Cybersecurity and Energy: The Case Study of Stuxnet</w:t>
            </w:r>
          </w:p>
          <w:p>
            <w:pPr>
              <w:spacing w:after="30"/>
              <w:ind w:left="250"/>
            </w:pPr>
            <w:hyperlink w:history="1" r:id="rIdo4extabltwkjcqgelmh6y">
              <w:r>
                <w:rPr>
                  <w:color w:val="0563C1"/>
                  <w:sz w:val="17"/>
                  <w:szCs w:val="17"/>
                  <w:u w:val="single"/>
                </w:rPr>
                <w:t xml:space="preserve">https://dione.lib.unipi.gr/xmlui/bitstream/handle/unipi/14572/Zampati_men20011.pdf</w:t>
              </w:r>
            </w:hyperlink>
          </w:p>
          <w:p>
            <w:pPr>
              <w:spacing w:after="0" w:line="280"/>
              <w:ind w:left="250"/>
              <w:jc w:val="both"/>
            </w:pPr>
            <w:r>
              <w:rPr>
                <w:sz w:val="20"/>
                <w:szCs w:val="20"/>
              </w:rPr>
              <w:t xml:space="preserve">This research examines the evolution and impact of cyberattacks on critical energy infrastructure, using the Stuxnet attack as a major example of cyber warfare. It points out vulnerabilities caused by digitalization and outdated systems, and it analyzes cases such as Stuxnet, Shamoon, Energetic Bear, and BlackEnergy to show the need for better security.</w:t>
            </w:r>
          </w:p>
          <w:p>
            <w:pPr>
              <w:spacing w:after="30" w:before="130"/>
            </w:pPr>
            <w:r>
              <w:rPr>
                <w:b/>
                <w:bCs/>
                <w:color w:val="1F3864"/>
                <w:sz w:val="20"/>
                <w:szCs w:val="20"/>
              </w:rPr>
              <w:t xml:space="preserve">10.  Securing Cloud Application Infrastructure: Penetration Testing Challenges of IaaS, PaaS, and SaaS Environments</w:t>
            </w:r>
          </w:p>
          <w:p>
            <w:pPr>
              <w:spacing w:after="30"/>
              <w:ind w:left="250"/>
            </w:pPr>
            <w:hyperlink w:history="1" r:id="rIditj09oa-g79bhfzrdi0g2">
              <w:r>
                <w:rPr>
                  <w:color w:val="0563C1"/>
                  <w:sz w:val="17"/>
                  <w:szCs w:val="17"/>
                  <w:u w:val="single"/>
                </w:rPr>
                <w:t xml:space="preserve">https://www.puirj.com/index.php/research/article/view/84</w:t>
              </w:r>
            </w:hyperlink>
          </w:p>
          <w:p>
            <w:pPr>
              <w:spacing w:after="0" w:line="280"/>
              <w:ind w:left="250"/>
              <w:jc w:val="both"/>
            </w:pPr>
            <w:r>
              <w:rPr>
                <w:sz w:val="20"/>
                <w:szCs w:val="20"/>
              </w:rPr>
              <w:t xml:space="preserve">This research examines how cloud application infrastructure can be secured against evolving cyber threats. It explains that, although cloud providers offer basic security, organizations must actively protect their own assets, especially in IaaS and PaaS environments, and it emphasizes the role of advanced techniques such as penetration testing.</w:t>
            </w:r>
          </w:p>
        </w:tc>
      </w:tr>
      <w:tr>
        <w:tc>
          <w:tcPr>
            <w:tcW w:type="dxa" w:w="2150"/>
            <w:tcBorders>
              <w:top w:val="single" w:color="BFCEDF" w:sz="2"/>
              <w:left w:val="single" w:color="BFCEDF" w:sz="2"/>
              <w:bottom w:val="single" w:color="BFCEDF" w:sz="2"/>
              <w:right w:val="single" w:color="BFCEDF" w:sz="2"/>
            </w:tcBorders>
            <w:shd w:fill="1F3864" w:color="auto" w:val="clear"/>
            <w:tcMar>
              <w:top w:type="dxa" w:w="100"/>
              <w:left w:type="dxa" w:w="130"/>
              <w:bottom w:type="dxa" w:w="100"/>
              <w:right w:type="dxa" w:w="130"/>
            </w:tcMar>
            <w:vAlign w:val="center"/>
          </w:tcPr>
          <w:p>
            <w:r>
              <w:rPr>
                <w:b/>
                <w:bCs/>
                <w:color w:val="FFFFFF"/>
                <w:sz w:val="21"/>
                <w:szCs w:val="21"/>
              </w:rPr>
              <w:t xml:space="preserve">Instructor Name</w:t>
            </w:r>
          </w:p>
        </w:tc>
        <w:tc>
          <w:tcPr>
            <w:tcW w:type="dxa" w:w="7210"/>
            <w:tcBorders>
              <w:top w:val="single" w:color="BFCEDF" w:sz="2"/>
              <w:left w:val="single" w:color="BFCEDF" w:sz="2"/>
              <w:bottom w:val="single" w:color="BFCEDF" w:sz="2"/>
              <w:right w:val="single" w:color="BFCEDF" w:sz="2"/>
            </w:tcBorders>
            <w:tcMar>
              <w:top w:type="dxa" w:w="100"/>
              <w:left w:type="dxa" w:w="140"/>
              <w:bottom w:type="dxa" w:w="100"/>
              <w:right w:type="dxa" w:w="140"/>
            </w:tcMar>
            <w:vAlign w:val="center"/>
          </w:tcPr>
          <w:p>
            <w:r>
              <w:rPr>
                <w:b/>
                <w:bCs/>
                <w:color w:val="1F3864"/>
                <w:sz w:val="22"/>
                <w:szCs w:val="22"/>
              </w:rPr>
              <w:t xml:space="preserve">Dr. Mohammad Almaiah</w:t>
            </w:r>
          </w:p>
        </w:tc>
      </w:tr>
    </w:tbl>
    <w:p>
      <w:pPr>
        <w:spacing w:after="80" w:before="280"/>
      </w:pPr>
      <w:r>
        <w:rPr>
          <w:b/>
          <w:bCs/>
          <w:color w:val="1F3864"/>
          <w:sz w:val="24"/>
          <w:szCs w:val="24"/>
        </w:rPr>
        <w:t xml:space="preserve">Names of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30"/>
        <w:gridCol w:w="1280"/>
        <w:gridCol w:w="900"/>
        <w:gridCol w:w="2630"/>
        <w:gridCol w:w="1600"/>
      </w:tblGrid>
      <w:tr>
        <w:trPr>
          <w:tblHeader/>
        </w:trPr>
        <w:tc>
          <w:tcPr>
            <w:tcW w:type="dxa" w:w="62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Sr</w:t>
            </w:r>
          </w:p>
        </w:tc>
        <w:tc>
          <w:tcPr>
            <w:tcW w:type="dxa" w:w="233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Student Name</w:t>
            </w:r>
          </w:p>
        </w:tc>
        <w:tc>
          <w:tcPr>
            <w:tcW w:type="dxa" w:w="128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Student ID</w:t>
            </w:r>
          </w:p>
        </w:tc>
        <w:tc>
          <w:tcPr>
            <w:tcW w:type="dxa" w:w="90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Dept.</w:t>
            </w:r>
          </w:p>
        </w:tc>
        <w:tc>
          <w:tcPr>
            <w:tcW w:type="dxa" w:w="263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Email</w:t>
            </w:r>
          </w:p>
        </w:tc>
        <w:tc>
          <w:tcPr>
            <w:tcW w:type="dxa" w:w="1600"/>
            <w:tcBorders>
              <w:top w:val="single" w:color="BFCEDF" w:sz="2"/>
              <w:left w:val="single" w:color="BFCEDF" w:sz="2"/>
              <w:bottom w:val="single" w:color="BFCEDF" w:sz="2"/>
              <w:right w:val="single" w:color="BFCEDF" w:sz="2"/>
            </w:tcBorders>
            <w:shd w:fill="1F3864" w:color="auto" w:val="clear"/>
            <w:tcMar>
              <w:top w:type="dxa" w:w="70"/>
              <w:left w:type="dxa" w:w="90"/>
              <w:bottom w:type="dxa" w:w="70"/>
              <w:right w:type="dxa" w:w="90"/>
            </w:tcMar>
            <w:vAlign w:val="center"/>
          </w:tcPr>
          <w:p>
            <w:pPr>
              <w:jc w:val="center"/>
            </w:pPr>
            <w:r>
              <w:rPr>
                <w:b/>
                <w:bCs/>
                <w:color w:val="FFFFFF"/>
                <w:sz w:val="19"/>
                <w:szCs w:val="19"/>
              </w:rPr>
              <w:t xml:space="preserve">Signature</w:t>
            </w:r>
          </w:p>
        </w:tc>
      </w:tr>
      <w:tr>
        <w:tc>
          <w:tcPr>
            <w:tcW w:type="dxa" w:w="62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1</w:t>
            </w:r>
          </w:p>
        </w:tc>
        <w:tc>
          <w:tcPr>
            <w:tcW w:type="dxa" w:w="233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Malek Al Zebn</w:t>
            </w:r>
          </w:p>
        </w:tc>
        <w:tc>
          <w:tcPr>
            <w:tcW w:type="dxa" w:w="128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2220767</w:t>
            </w:r>
          </w:p>
        </w:tc>
        <w:tc>
          <w:tcPr>
            <w:tcW w:type="dxa" w:w="90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CYS</w:t>
            </w:r>
          </w:p>
        </w:tc>
        <w:tc>
          <w:tcPr>
            <w:tcW w:type="dxa" w:w="263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Mal2220767@ju.edu.jo</w:t>
            </w:r>
          </w:p>
        </w:tc>
        <w:tc>
          <w:tcPr>
            <w:tcW w:type="dxa" w:w="160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
            </w:r>
          </w:p>
        </w:tc>
      </w:tr>
      <w:tr>
        <w:tc>
          <w:tcPr>
            <w:tcW w:type="dxa" w:w="62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center"/>
            </w:pPr>
            <w:r>
              <w:rPr>
                <w:sz w:val="19"/>
                <w:szCs w:val="19"/>
              </w:rPr>
              <w:t xml:space="preserve">2</w:t>
            </w:r>
          </w:p>
        </w:tc>
        <w:tc>
          <w:tcPr>
            <w:tcW w:type="dxa" w:w="233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left"/>
            </w:pPr>
            <w:r>
              <w:rPr>
                <w:sz w:val="19"/>
                <w:szCs w:val="19"/>
              </w:rPr>
              <w:t xml:space="preserve">Khaled Saadeh</w:t>
            </w:r>
          </w:p>
        </w:tc>
        <w:tc>
          <w:tcPr>
            <w:tcW w:type="dxa" w:w="128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center"/>
            </w:pPr>
            <w:r>
              <w:rPr>
                <w:sz w:val="19"/>
                <w:szCs w:val="19"/>
              </w:rPr>
              <w:t xml:space="preserve">0233786</w:t>
            </w:r>
          </w:p>
        </w:tc>
        <w:tc>
          <w:tcPr>
            <w:tcW w:type="dxa" w:w="90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center"/>
            </w:pPr>
            <w:r>
              <w:rPr>
                <w:sz w:val="19"/>
                <w:szCs w:val="19"/>
              </w:rPr>
              <w:t xml:space="preserve">CYS</w:t>
            </w:r>
          </w:p>
        </w:tc>
        <w:tc>
          <w:tcPr>
            <w:tcW w:type="dxa" w:w="263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left"/>
            </w:pPr>
            <w:r>
              <w:rPr>
                <w:sz w:val="19"/>
                <w:szCs w:val="19"/>
              </w:rPr>
              <w:t xml:space="preserve">kal0233786@ju.edu.jo</w:t>
            </w:r>
          </w:p>
        </w:tc>
        <w:tc>
          <w:tcPr>
            <w:tcW w:type="dxa" w:w="1600"/>
            <w:tcBorders>
              <w:top w:val="single" w:color="BFCEDF" w:sz="2"/>
              <w:left w:val="single" w:color="BFCEDF" w:sz="2"/>
              <w:bottom w:val="single" w:color="BFCEDF" w:sz="2"/>
              <w:right w:val="single" w:color="BFCEDF" w:sz="2"/>
            </w:tcBorders>
            <w:shd w:fill="EAF1F8" w:color="auto" w:val="clear"/>
            <w:tcMar>
              <w:top w:type="dxa" w:w="80"/>
              <w:left w:type="dxa" w:w="90"/>
              <w:bottom w:type="dxa" w:w="80"/>
              <w:right w:type="dxa" w:w="90"/>
            </w:tcMar>
            <w:vAlign w:val="center"/>
          </w:tcPr>
          <w:p>
            <w:pPr>
              <w:jc w:val="left"/>
            </w:pPr>
            <w:r>
              <w:rPr>
                <w:sz w:val="19"/>
                <w:szCs w:val="19"/>
              </w:rPr>
              <w:t xml:space="preserve"/>
            </w:r>
          </w:p>
        </w:tc>
      </w:tr>
      <w:tr>
        <w:tc>
          <w:tcPr>
            <w:tcW w:type="dxa" w:w="62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3</w:t>
            </w:r>
          </w:p>
        </w:tc>
        <w:tc>
          <w:tcPr>
            <w:tcW w:type="dxa" w:w="233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Mohannad Alzoubi</w:t>
            </w:r>
          </w:p>
        </w:tc>
        <w:tc>
          <w:tcPr>
            <w:tcW w:type="dxa" w:w="128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0235767</w:t>
            </w:r>
          </w:p>
        </w:tc>
        <w:tc>
          <w:tcPr>
            <w:tcW w:type="dxa" w:w="90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center"/>
            </w:pPr>
            <w:r>
              <w:rPr>
                <w:sz w:val="19"/>
                <w:szCs w:val="19"/>
              </w:rPr>
              <w:t xml:space="preserve">CYS</w:t>
            </w:r>
          </w:p>
        </w:tc>
        <w:tc>
          <w:tcPr>
            <w:tcW w:type="dxa" w:w="263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mhn0235767@ju.edu.jo</w:t>
            </w:r>
          </w:p>
        </w:tc>
        <w:tc>
          <w:tcPr>
            <w:tcW w:type="dxa" w:w="1600"/>
            <w:tcBorders>
              <w:top w:val="single" w:color="BFCEDF" w:sz="2"/>
              <w:left w:val="single" w:color="BFCEDF" w:sz="2"/>
              <w:bottom w:val="single" w:color="BFCEDF" w:sz="2"/>
              <w:right w:val="single" w:color="BFCEDF" w:sz="2"/>
            </w:tcBorders>
            <w:shd w:fill="FFFFFF" w:color="auto" w:val="clear"/>
            <w:tcMar>
              <w:top w:type="dxa" w:w="80"/>
              <w:left w:type="dxa" w:w="90"/>
              <w:bottom w:type="dxa" w:w="80"/>
              <w:right w:type="dxa" w:w="90"/>
            </w:tcMar>
            <w:vAlign w:val="center"/>
          </w:tcPr>
          <w:p>
            <w:pPr>
              <w:jc w:val="left"/>
            </w:pPr>
            <w:r>
              <w:rPr>
                <w:sz w:val="19"/>
                <w:szCs w:val="19"/>
              </w:rPr>
              <w:t xml:space="preserve"/>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EDF" w:sz="4" w:space="2"/>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EDF" w:sz="4" w:space="2"/>
      </w:pBdr>
      <w:tabs>
        <w:tab w:val="right" w:pos="9360"/>
      </w:tabs>
    </w:pPr>
    <w:r>
      <w:rPr>
        <w:b/>
        <w:bCs/>
        <w:color w:val="1F3864"/>
        <w:sz w:val="16"/>
        <w:szCs w:val="16"/>
      </w:rPr>
      <w:t xml:space="preserve">SHIELD-CI – Project Registration Form</w:t>
    </w:r>
    <w:r>
      <w:rPr>
        <w:color w:val="595959"/>
        <w:sz w:val="16"/>
        <w:szCs w:val="16"/>
      </w:rPr>
      <w:t xml:space="preserve">	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angvawax3adlcocz94qe" Type="http://schemas.openxmlformats.org/officeDocument/2006/relationships/hyperlink" Target="https://www.hpe.com/emea_europe/en/what-is/infrastructure-security.html" TargetMode="External"/><Relationship Id="rIdckobfxrkzgn9qqkj4ecdl" Type="http://schemas.openxmlformats.org/officeDocument/2006/relationships/hyperlink" Target="https://www.mdpi.com/2075-1702/9/4/78" TargetMode="External"/><Relationship Id="rIdyliaslf2wncoeky9f3rer" Type="http://schemas.openxmlformats.org/officeDocument/2006/relationships/hyperlink" Target="https://www.mdpi.com/2624-6511/7/4/72" TargetMode="External"/><Relationship Id="rIdm5nafngsiffmpyrdu5i04" Type="http://schemas.openxmlformats.org/officeDocument/2006/relationships/hyperlink" Target="https://www.mdpi.com/2076-3417/11/10/4580" TargetMode="External"/><Relationship Id="rIdwtxl7bnedztestq8bqyfd" Type="http://schemas.openxmlformats.org/officeDocument/2006/relationships/hyperlink" Target="https://www.mdpi.com/2071-1050/13/6/3196" TargetMode="External"/><Relationship Id="rIdrfpgiinkd7ix5b6g5xe_k" Type="http://schemas.openxmlformats.org/officeDocument/2006/relationships/hyperlink" Target="https://www.mdpi.com/1424-8220/23/9/4539" TargetMode="External"/><Relationship Id="rId0ggg1vtig1zyp1qrsut2r" Type="http://schemas.openxmlformats.org/officeDocument/2006/relationships/hyperlink" Target="https://www.emerald.com/insight/content/doi/10.1108/ics-07-2020-0121/full/html" TargetMode="External"/><Relationship Id="rIdw5d8cncecrde5z5taqd_c" Type="http://schemas.openxmlformats.org/officeDocument/2006/relationships/hyperlink" Target="https://www.ccw.ox.ac.uk/blog/2022/10/5/cyber-collateral-wannacry-amp-the-impact-of-cyberattacks-on-the-mental-health-of-critical-infrastructure-defenders-by-tarah-wheeler-and-john-alderdice" TargetMode="External"/><Relationship Id="rIdo4extabltwkjcqgelmh6y" Type="http://schemas.openxmlformats.org/officeDocument/2006/relationships/hyperlink" Target="https://dione.lib.unipi.gr/xmlui/bitstream/handle/unipi/14572/Zampati_men20011.pdf" TargetMode="External"/><Relationship Id="rIditj09oa-g79bhfzrdi0g2" Type="http://schemas.openxmlformats.org/officeDocument/2006/relationships/hyperlink" Target="https://www.puirj.com/index.php/research/article/view/84"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SHIELD-CI Project Registration Form</dc:title>
  <dc:creator>SHIELD-CI Project Team</dc:creator>
  <cp:lastModifiedBy>Un-named</cp:lastModifiedBy>
  <cp:revision>1</cp:revision>
  <dcterms:created xsi:type="dcterms:W3CDTF">2026-05-17T21:29:35.644Z</dcterms:created>
  <dcterms:modified xsi:type="dcterms:W3CDTF">2026-05-17T21:29:35.645Z</dcterms:modified>
</cp:coreProperties>
</file>

<file path=docProps/custom.xml><?xml version="1.0" encoding="utf-8"?>
<Properties xmlns="http://schemas.openxmlformats.org/officeDocument/2006/custom-properties" xmlns:vt="http://schemas.openxmlformats.org/officeDocument/2006/docPropsVTypes"/>
</file>