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color w:val="C6A15B"/>
          <w:sz w:val="72"/>
        </w:rPr>
        <w:t>♛</w:t>
      </w:r>
    </w:p>
    <w:p>
      <w:pPr>
        <w:jc w:val="center"/>
      </w:pPr>
      <w:r>
        <w:rPr>
          <w:rFonts w:ascii="Georgia" w:hAnsi="Georgia"/>
          <w:color w:val="5B321C"/>
          <w:sz w:val="76"/>
        </w:rPr>
        <w:t>AMANI</w:t>
      </w:r>
    </w:p>
    <w:p>
      <w:pPr>
        <w:jc w:val="center"/>
      </w:pPr>
      <w:r>
        <w:rPr>
          <w:b/>
          <w:color w:val="A67739"/>
          <w:sz w:val="28"/>
        </w:rPr>
        <w:t>COSMETICS</w:t>
      </w:r>
    </w:p>
    <w:p>
      <w:pPr>
        <w:jc w:val="center"/>
      </w:pPr>
      <w:r>
        <w:rPr>
          <w:b/>
          <w:color w:val="704622"/>
          <w:sz w:val="32"/>
        </w:rPr>
        <w:t>CAHIER DES CHARGES FONCTIONNEL, TECHNIQUE ET COMMERCIAL</w:t>
      </w:r>
    </w:p>
    <w:p>
      <w:pPr>
        <w:jc w:val="center"/>
      </w:pPr>
      <w:r>
        <w:rPr>
          <w:sz w:val="24"/>
        </w:rPr>
        <w:t>Conception et développement du site e-commerce</w:t>
      </w:r>
    </w:p>
    <w:p>
      <w:pPr>
        <w:spacing w:before="600"/>
        <w:jc w:val="center"/>
      </w:pPr>
      <w:r>
        <w:t>Version 1.0 — 17 octobre 2026</w:t>
        <w:br/>
      </w:r>
      <w:r>
        <w:t>Signature de marque : « Parce que vous méritez tous de briller. »</w:t>
      </w:r>
    </w:p>
    <w:p>
      <w:r>
        <w:br w:type="page"/>
      </w:r>
    </w:p>
    <w:p>
      <w:pPr>
        <w:pStyle w:val="Heading1"/>
      </w:pPr>
      <w:r>
        <w:t>1. Présentation du projet</w:t>
      </w:r>
    </w:p>
    <w:p>
      <w:r>
        <w:t>Le projet consiste à concevoir et développer le site e-commerce officiel d’AMANI Cosmetics, première marque beauté d’ALYA Group. Le site doit présenter les produits, permettre aux clientes de commander en ligne, payer via les moyens disponibles, choisir une livraison au Sénégal, suivre leurs commandes et accéder à un espace client. Il doit également fournir une interface professionnelle complète pour gérer l’activité.</w:t>
      </w:r>
    </w:p>
    <w:p>
      <w:r>
        <w:t>Le présent document formalise les décisions prises pendant la préparation du projet. Les éléments explicitement signalés comme « à valider » ne doivent pas être considérés comme des règles finales avant confirmation.</w:t>
      </w:r>
    </w:p>
    <w:p>
      <w:pPr>
        <w:pStyle w:val="Heading2"/>
      </w:pPr>
      <w:r>
        <w:t>1.1 Objectifs</w:t>
      </w:r>
    </w:p>
    <w:p>
      <w:pPr>
        <w:pStyle w:val="ListBullet"/>
        <w:spacing w:after="40"/>
      </w:pPr>
      <w:r>
        <w:t>Créer une boutique en ligne élégante, claire et rassurante, adaptée en priorité au mobile.</w:t>
      </w:r>
    </w:p>
    <w:p>
      <w:pPr>
        <w:pStyle w:val="ListBullet"/>
        <w:spacing w:after="40"/>
      </w:pPr>
      <w:r>
        <w:t>Présenter les catégories Gloss, Skincare et Maquillage, les collections, les éditions limitées et les coffrets cadeaux.</w:t>
      </w:r>
    </w:p>
    <w:p>
      <w:pPr>
        <w:pStyle w:val="ListBullet"/>
        <w:spacing w:after="40"/>
      </w:pPr>
      <w:r>
        <w:t>Permettre une commande suivie de bout en bout : panier, livraison, paiement, confirmation et suivi.</w:t>
      </w:r>
    </w:p>
    <w:p>
      <w:pPr>
        <w:pStyle w:val="ListBullet"/>
        <w:spacing w:after="40"/>
      </w:pPr>
      <w:r>
        <w:t>Automatiser la gestion du catalogue, du stock, des promotions, des commandes, des retours et des réclamations.</w:t>
      </w:r>
    </w:p>
    <w:p>
      <w:pPr>
        <w:pStyle w:val="ListBullet"/>
        <w:spacing w:after="40"/>
      </w:pPr>
      <w:r>
        <w:t>Fournir des espaces distincts et sécurisés pour les clientes, l’administration et les livreurs.</w:t>
      </w:r>
    </w:p>
    <w:p>
      <w:pPr>
        <w:pStyle w:val="ListBullet"/>
        <w:spacing w:after="40"/>
      </w:pPr>
      <w:r>
        <w:t>Préparer une architecture évolutive pouvant accueillir de nouvelles gammes et fonctionnalités.</w:t>
      </w:r>
    </w:p>
    <w:p>
      <w:pPr>
        <w:pStyle w:val="Heading2"/>
      </w:pPr>
      <w:r>
        <w:t>1.2 Périmètre de lancement</w:t>
      </w:r>
    </w:p>
    <w:p>
      <w:pPr>
        <w:pStyle w:val="ListBullet"/>
        <w:spacing w:after="40"/>
      </w:pPr>
      <w:r>
        <w:t>Marché initial : Sénégal uniquement.</w:t>
      </w:r>
    </w:p>
    <w:p>
      <w:pPr>
        <w:pStyle w:val="ListBullet"/>
        <w:spacing w:after="40"/>
      </w:pPr>
      <w:r>
        <w:t>Devise officielle de paiement : FCFA (XOF). D’autres devises peuvent éventuellement être affichées à titre indicatif, avec conversion clairement présentée.</w:t>
      </w:r>
    </w:p>
    <w:p>
      <w:pPr>
        <w:pStyle w:val="ListBullet"/>
        <w:spacing w:after="40"/>
      </w:pPr>
      <w:r>
        <w:t>Moyens de paiement prévus : Wave et Orange Money, sous réserve de l’intégration technique et de l’activation des comptes marchands.</w:t>
      </w:r>
    </w:p>
    <w:p>
      <w:pPr>
        <w:pStyle w:val="ListBullet"/>
        <w:spacing w:after="40"/>
      </w:pPr>
      <w:r>
        <w:t>Langue initiale du site : français. Une version anglaise n’est pas confirmée pour cette phase.</w:t>
      </w:r>
    </w:p>
    <w:p>
      <w:pPr>
        <w:pStyle w:val="ListBullet"/>
        <w:spacing w:after="40"/>
      </w:pPr>
      <w:r>
        <w:t>Livraison nationale par zones, avec tarifs et créneaux configurables dans l’administration.</w:t>
      </w:r>
    </w:p>
    <w:p>
      <w:pPr>
        <w:pStyle w:val="Heading1"/>
      </w:pPr>
      <w:r>
        <w:t>2. Identité de marque et direction artistique</w:t>
      </w:r>
    </w:p>
    <w:p>
      <w:pPr>
        <w:pStyle w:val="Heading2"/>
      </w:pPr>
      <w:r>
        <w:t>2.1 Identité</w:t>
      </w:r>
    </w:p>
    <w:tbl>
      <w:tblPr>
        <w:tblStyle w:val="LightShading-Accent1"/>
        <w:tblW w:type="auto" w:w="0"/>
        <w:tblLook w:firstColumn="1" w:firstRow="1" w:lastColumn="0" w:lastRow="0" w:noHBand="0" w:noVBand="1" w:val="04A0"/>
      </w:tblPr>
      <w:tblGrid>
        <w:gridCol w:w="4968"/>
        <w:gridCol w:w="4968"/>
      </w:tblGrid>
      <w:tr>
        <w:tc>
          <w:tcPr>
            <w:tcW w:type="dxa" w:w="4968"/>
          </w:tcPr>
          <w:p>
            <w:r>
              <w:rPr>
                <w:b/>
                <w:color w:val="704622"/>
              </w:rPr>
              <w:t>Élément</w:t>
            </w:r>
          </w:p>
        </w:tc>
        <w:tc>
          <w:tcPr>
            <w:tcW w:type="dxa" w:w="4968"/>
          </w:tcPr>
          <w:p>
            <w:r>
              <w:rPr>
                <w:b/>
                <w:color w:val="704622"/>
              </w:rPr>
              <w:t>Spécification</w:t>
            </w:r>
          </w:p>
        </w:tc>
      </w:tr>
      <w:tr>
        <w:tc>
          <w:tcPr>
            <w:tcW w:type="dxa" w:w="4968"/>
          </w:tcPr>
          <w:p>
            <w:r>
              <w:t>Nom de marque</w:t>
            </w:r>
          </w:p>
        </w:tc>
        <w:tc>
          <w:tcPr>
            <w:tcW w:type="dxa" w:w="4968"/>
          </w:tcPr>
          <w:p>
            <w:r>
              <w:t>AMANI Cosmetics</w:t>
            </w:r>
          </w:p>
        </w:tc>
      </w:tr>
      <w:tr>
        <w:tc>
          <w:tcPr>
            <w:tcW w:type="dxa" w:w="4968"/>
          </w:tcPr>
          <w:p>
            <w:r>
              <w:t>Signature</w:t>
            </w:r>
          </w:p>
        </w:tc>
        <w:tc>
          <w:tcPr>
            <w:tcW w:type="dxa" w:w="4968"/>
          </w:tcPr>
          <w:p>
            <w:r>
              <w:t>« Parce que vous méritez tous de briller. »</w:t>
            </w:r>
          </w:p>
        </w:tc>
      </w:tr>
      <w:tr>
        <w:tc>
          <w:tcPr>
            <w:tcW w:type="dxa" w:w="4968"/>
          </w:tcPr>
          <w:p>
            <w:r>
              <w:t>Emblème</w:t>
            </w:r>
          </w:p>
        </w:tc>
        <w:tc>
          <w:tcPr>
            <w:tcW w:type="dxa" w:w="4968"/>
          </w:tcPr>
          <w:p>
            <w:r>
              <w:t>Fleur de lotus dorée, avec une présentation typographique premium. Les maquettes utilisent également une couronne décorative : l’emblème final doit être confirmé.</w:t>
            </w:r>
          </w:p>
        </w:tc>
      </w:tr>
      <w:tr>
        <w:tc>
          <w:tcPr>
            <w:tcW w:type="dxa" w:w="4968"/>
          </w:tcPr>
          <w:p>
            <w:r>
              <w:t>Positionnement visuel</w:t>
            </w:r>
          </w:p>
        </w:tc>
        <w:tc>
          <w:tcPr>
            <w:tcW w:type="dxa" w:w="4968"/>
          </w:tcPr>
          <w:p>
            <w:r>
              <w:t>Beauté premium, élégante, chaleureuse et accessible</w:t>
            </w:r>
          </w:p>
        </w:tc>
      </w:tr>
      <w:tr>
        <w:tc>
          <w:tcPr>
            <w:tcW w:type="dxa" w:w="4968"/>
          </w:tcPr>
          <w:p>
            <w:r>
              <w:t>Ambiance</w:t>
            </w:r>
          </w:p>
        </w:tc>
        <w:tc>
          <w:tcPr>
            <w:tcW w:type="dxa" w:w="4968"/>
          </w:tcPr>
          <w:p>
            <w:r>
              <w:t>Nude enveloppant, lumineux, soigné, haut de gamme</w:t>
            </w:r>
          </w:p>
        </w:tc>
      </w:tr>
    </w:tbl>
    <w:p/>
    <w:p>
      <w:pPr>
        <w:pStyle w:val="Heading2"/>
      </w:pPr>
      <w:r>
        <w:t>2.2 Palette de couleurs proposée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color w:val="704622"/>
              </w:rPr>
              <w:t>Usage</w:t>
            </w:r>
          </w:p>
        </w:tc>
        <w:tc>
          <w:tcPr>
            <w:tcW w:type="dxa" w:w="3312"/>
          </w:tcPr>
          <w:p>
            <w:r>
              <w:rPr>
                <w:b/>
                <w:color w:val="704622"/>
              </w:rPr>
              <w:t>Couleur</w:t>
            </w:r>
          </w:p>
        </w:tc>
        <w:tc>
          <w:tcPr>
            <w:tcW w:type="dxa" w:w="3312"/>
          </w:tcPr>
          <w:p>
            <w:r>
              <w:rPr>
                <w:b/>
                <w:color w:val="704622"/>
              </w:rPr>
              <w:t>Code proposé</w:t>
            </w:r>
          </w:p>
        </w:tc>
      </w:tr>
      <w:tr>
        <w:tc>
          <w:tcPr>
            <w:tcW w:type="dxa" w:w="3312"/>
          </w:tcPr>
          <w:p>
            <w:r>
              <w:t>Fond principal</w:t>
            </w:r>
          </w:p>
        </w:tc>
        <w:tc>
          <w:tcPr>
            <w:tcW w:type="dxa" w:w="3312"/>
          </w:tcPr>
          <w:p>
            <w:r>
              <w:t>Beige nude</w:t>
            </w:r>
          </w:p>
        </w:tc>
        <w:tc>
          <w:tcPr>
            <w:tcW w:type="dxa" w:w="3312"/>
          </w:tcPr>
          <w:p>
            <w:r>
              <w:t>#E8D5BE</w:t>
            </w:r>
          </w:p>
        </w:tc>
      </w:tr>
      <w:tr>
        <w:tc>
          <w:tcPr>
            <w:tcW w:type="dxa" w:w="3312"/>
          </w:tcPr>
          <w:p>
            <w:r>
              <w:t>Accents et boutons</w:t>
            </w:r>
          </w:p>
        </w:tc>
        <w:tc>
          <w:tcPr>
            <w:tcW w:type="dxa" w:w="3312"/>
          </w:tcPr>
          <w:p>
            <w:r>
              <w:t>Or élégant</w:t>
            </w:r>
          </w:p>
        </w:tc>
        <w:tc>
          <w:tcPr>
            <w:tcW w:type="dxa" w:w="3312"/>
          </w:tcPr>
          <w:p>
            <w:r>
              <w:t>#C6A15B</w:t>
            </w:r>
          </w:p>
        </w:tc>
      </w:tr>
      <w:tr>
        <w:tc>
          <w:tcPr>
            <w:tcW w:type="dxa" w:w="3312"/>
          </w:tcPr>
          <w:p>
            <w:r>
              <w:t>Fond clair</w:t>
            </w:r>
          </w:p>
        </w:tc>
        <w:tc>
          <w:tcPr>
            <w:tcW w:type="dxa" w:w="3312"/>
          </w:tcPr>
          <w:p>
            <w:r>
              <w:t>Crème</w:t>
            </w:r>
          </w:p>
        </w:tc>
        <w:tc>
          <w:tcPr>
            <w:tcW w:type="dxa" w:w="3312"/>
          </w:tcPr>
          <w:p>
            <w:r>
              <w:t>#F8F3EC</w:t>
            </w:r>
          </w:p>
        </w:tc>
      </w:tr>
      <w:tr>
        <w:tc>
          <w:tcPr>
            <w:tcW w:type="dxa" w:w="3312"/>
          </w:tcPr>
          <w:p>
            <w:r>
              <w:t>Texte principal</w:t>
            </w:r>
          </w:p>
        </w:tc>
        <w:tc>
          <w:tcPr>
            <w:tcW w:type="dxa" w:w="3312"/>
          </w:tcPr>
          <w:p>
            <w:r>
              <w:t>Brun profond</w:t>
            </w:r>
          </w:p>
        </w:tc>
        <w:tc>
          <w:tcPr>
            <w:tcW w:type="dxa" w:w="3312"/>
          </w:tcPr>
          <w:p>
            <w:r>
              <w:t>#493729</w:t>
            </w:r>
          </w:p>
        </w:tc>
      </w:tr>
    </w:tbl>
    <w:p/>
    <w:p>
      <w:r>
        <w:t>Les codes sont une base de travail à valider sur les maquettes finales. Les boutons principaux sont dorés ; les boutons secondaires utilisent des contours nude ou bruns. La typographie associe une police à empattements élégante pour les titres et une police sans empattements très lisible pour le texte.</w:t>
      </w:r>
    </w:p>
    <w:p>
      <w:pPr>
        <w:pStyle w:val="Heading2"/>
      </w:pPr>
      <w:r>
        <w:t>2.3 Photographie et composants</w:t>
      </w:r>
    </w:p>
    <w:p>
      <w:pPr>
        <w:pStyle w:val="ListBullet"/>
        <w:spacing w:after="40"/>
      </w:pPr>
      <w:r>
        <w:t>Photographies produits de style studio : fond nude, lumière douce, reflets maîtrisés et ombres délicates.</w:t>
      </w:r>
    </w:p>
    <w:p>
      <w:pPr>
        <w:pStyle w:val="ListBullet"/>
        <w:spacing w:after="40"/>
      </w:pPr>
      <w:r>
        <w:t>Cartes produits cohérentes, coins légèrement arrondis, espaces généreux et détails dorés discrets.</w:t>
      </w:r>
    </w:p>
    <w:p>
      <w:pPr>
        <w:pStyle w:val="ListBullet"/>
        <w:spacing w:after="40"/>
      </w:pPr>
      <w:r>
        <w:t>Pas de musique lancée automatiquement.</w:t>
      </w:r>
    </w:p>
    <w:p>
      <w:pPr>
        <w:pStyle w:val="ListBullet"/>
        <w:spacing w:after="40"/>
      </w:pPr>
      <w:r>
        <w:t>Animations discrètes, non intrusives et compatibles avec les appareils mobiles.</w:t>
      </w:r>
    </w:p>
    <w:p>
      <w:pPr>
        <w:pStyle w:val="ListBullet"/>
        <w:spacing w:after="40"/>
      </w:pPr>
      <w:r>
        <w:t>Les maquettes générées sont des références visuelles, pas des pages fonctionnelles prêtes à publier.</w:t>
      </w:r>
    </w:p>
    <w:p>
      <w:pPr>
        <w:pStyle w:val="Heading1"/>
      </w:pPr>
      <w:r>
        <w:t>3. Arborescence du site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color w:val="704622"/>
              </w:rPr>
              <w:t>N°</w:t>
            </w:r>
          </w:p>
        </w:tc>
        <w:tc>
          <w:tcPr>
            <w:tcW w:type="dxa" w:w="3312"/>
          </w:tcPr>
          <w:p>
            <w:r>
              <w:rPr>
                <w:b/>
                <w:color w:val="704622"/>
              </w:rPr>
              <w:t>Page / espace</w:t>
            </w:r>
          </w:p>
        </w:tc>
        <w:tc>
          <w:tcPr>
            <w:tcW w:type="dxa" w:w="3312"/>
          </w:tcPr>
          <w:p>
            <w:r>
              <w:rPr>
                <w:b/>
                <w:color w:val="704622"/>
              </w:rPr>
              <w:t>Contenu principal</w:t>
            </w:r>
          </w:p>
        </w:tc>
      </w:tr>
      <w:tr>
        <w:tc>
          <w:tcPr>
            <w:tcW w:type="dxa" w:w="3312"/>
          </w:tcPr>
          <w:p>
            <w:r>
              <w:t>1</w:t>
            </w:r>
          </w:p>
        </w:tc>
        <w:tc>
          <w:tcPr>
            <w:tcW w:type="dxa" w:w="3312"/>
          </w:tcPr>
          <w:p>
            <w:r>
              <w:t>Accueil</w:t>
            </w:r>
          </w:p>
        </w:tc>
        <w:tc>
          <w:tcPr>
            <w:tcW w:type="dxa" w:w="3312"/>
          </w:tcPr>
          <w:p>
            <w:r>
              <w:t>Présentation de marque, catégories, nouveautés, meilleures ventes, promotions</w:t>
            </w:r>
          </w:p>
        </w:tc>
      </w:tr>
      <w:tr>
        <w:tc>
          <w:tcPr>
            <w:tcW w:type="dxa" w:w="3312"/>
          </w:tcPr>
          <w:p>
            <w:r>
              <w:t>2</w:t>
            </w:r>
          </w:p>
        </w:tc>
        <w:tc>
          <w:tcPr>
            <w:tcW w:type="dxa" w:w="3312"/>
          </w:tcPr>
          <w:p>
            <w:r>
              <w:t>Boutique</w:t>
            </w:r>
          </w:p>
        </w:tc>
        <w:tc>
          <w:tcPr>
            <w:tcW w:type="dxa" w:w="3312"/>
          </w:tcPr>
          <w:p>
            <w:r>
              <w:t>Catalogue, recherche, tri, filtres</w:t>
            </w:r>
          </w:p>
        </w:tc>
      </w:tr>
      <w:tr>
        <w:tc>
          <w:tcPr>
            <w:tcW w:type="dxa" w:w="3312"/>
          </w:tcPr>
          <w:p>
            <w:r>
              <w:t>3</w:t>
            </w:r>
          </w:p>
        </w:tc>
        <w:tc>
          <w:tcPr>
            <w:tcW w:type="dxa" w:w="3312"/>
          </w:tcPr>
          <w:p>
            <w:r>
              <w:t>Fiche produit</w:t>
            </w:r>
          </w:p>
        </w:tc>
        <w:tc>
          <w:tcPr>
            <w:tcW w:type="dxa" w:w="3312"/>
          </w:tcPr>
          <w:p>
            <w:r>
              <w:t>Galerie, prix, variantes, disponibilité, description, ingrédients, conseils, avis</w:t>
            </w:r>
          </w:p>
        </w:tc>
      </w:tr>
      <w:tr>
        <w:tc>
          <w:tcPr>
            <w:tcW w:type="dxa" w:w="3312"/>
          </w:tcPr>
          <w:p>
            <w:r>
              <w:t>4</w:t>
            </w:r>
          </w:p>
        </w:tc>
        <w:tc>
          <w:tcPr>
            <w:tcW w:type="dxa" w:w="3312"/>
          </w:tcPr>
          <w:p>
            <w:r>
              <w:t>Collections</w:t>
            </w:r>
          </w:p>
        </w:tc>
        <w:tc>
          <w:tcPr>
            <w:tcW w:type="dxa" w:w="3312"/>
          </w:tcPr>
          <w:p>
            <w:r>
              <w:t>Collections permanentes et saisonnières</w:t>
            </w:r>
          </w:p>
        </w:tc>
      </w:tr>
      <w:tr>
        <w:tc>
          <w:tcPr>
            <w:tcW w:type="dxa" w:w="3312"/>
          </w:tcPr>
          <w:p>
            <w:r>
              <w:t>5</w:t>
            </w:r>
          </w:p>
        </w:tc>
        <w:tc>
          <w:tcPr>
            <w:tcW w:type="dxa" w:w="3312"/>
          </w:tcPr>
          <w:p>
            <w:r>
              <w:t>Éditions limitées</w:t>
            </w:r>
          </w:p>
        </w:tc>
        <w:tc>
          <w:tcPr>
            <w:tcW w:type="dxa" w:w="3312"/>
          </w:tcPr>
          <w:p>
            <w:r>
              <w:t>Produits limités, périodes et stocks disponibles</w:t>
            </w:r>
          </w:p>
        </w:tc>
      </w:tr>
      <w:tr>
        <w:tc>
          <w:tcPr>
            <w:tcW w:type="dxa" w:w="3312"/>
          </w:tcPr>
          <w:p>
            <w:r>
              <w:t>6</w:t>
            </w:r>
          </w:p>
        </w:tc>
        <w:tc>
          <w:tcPr>
            <w:tcW w:type="dxa" w:w="3312"/>
          </w:tcPr>
          <w:p>
            <w:r>
              <w:t>Coffrets cadeaux</w:t>
            </w:r>
          </w:p>
        </w:tc>
        <w:tc>
          <w:tcPr>
            <w:tcW w:type="dxa" w:w="3312"/>
          </w:tcPr>
          <w:p>
            <w:r>
              <w:t>Coffrets prédéfinis, emballage cadeau payant et message personnalisé</w:t>
            </w:r>
          </w:p>
        </w:tc>
      </w:tr>
      <w:tr>
        <w:tc>
          <w:tcPr>
            <w:tcW w:type="dxa" w:w="3312"/>
          </w:tcPr>
          <w:p>
            <w:r>
              <w:t>7</w:t>
            </w:r>
          </w:p>
        </w:tc>
        <w:tc>
          <w:tcPr>
            <w:tcW w:type="dxa" w:w="3312"/>
          </w:tcPr>
          <w:p>
            <w:r>
              <w:t>Guide beauté</w:t>
            </w:r>
          </w:p>
        </w:tc>
        <w:tc>
          <w:tcPr>
            <w:tcW w:type="dxa" w:w="3312"/>
          </w:tcPr>
          <w:p>
            <w:r>
              <w:t>Routines complètes et recommandations de produits</w:t>
            </w:r>
          </w:p>
        </w:tc>
      </w:tr>
      <w:tr>
        <w:tc>
          <w:tcPr>
            <w:tcW w:type="dxa" w:w="3312"/>
          </w:tcPr>
          <w:p>
            <w:r>
              <w:t>8</w:t>
            </w:r>
          </w:p>
        </w:tc>
        <w:tc>
          <w:tcPr>
            <w:tcW w:type="dxa" w:w="3312"/>
          </w:tcPr>
          <w:p>
            <w:r>
              <w:t>Panier</w:t>
            </w:r>
          </w:p>
        </w:tc>
        <w:tc>
          <w:tcPr>
            <w:tcW w:type="dxa" w:w="3312"/>
          </w:tcPr>
          <w:p>
            <w:r>
              <w:t>Articles, quantités, codes promotionnels, sous-total et estimation de livraison</w:t>
            </w:r>
          </w:p>
        </w:tc>
      </w:tr>
      <w:tr>
        <w:tc>
          <w:tcPr>
            <w:tcW w:type="dxa" w:w="3312"/>
          </w:tcPr>
          <w:p>
            <w:r>
              <w:t>9</w:t>
            </w:r>
          </w:p>
        </w:tc>
        <w:tc>
          <w:tcPr>
            <w:tcW w:type="dxa" w:w="3312"/>
          </w:tcPr>
          <w:p>
            <w:r>
              <w:t>Connexion / création de compte</w:t>
            </w:r>
          </w:p>
        </w:tc>
        <w:tc>
          <w:tcPr>
            <w:tcW w:type="dxa" w:w="3312"/>
          </w:tcPr>
          <w:p>
            <w:r>
              <w:t>Accès client par téléphone et code OTP SMS</w:t>
            </w:r>
          </w:p>
        </w:tc>
      </w:tr>
      <w:tr>
        <w:tc>
          <w:tcPr>
            <w:tcW w:type="dxa" w:w="3312"/>
          </w:tcPr>
          <w:p>
            <w:r>
              <w:t>10</w:t>
            </w:r>
          </w:p>
        </w:tc>
        <w:tc>
          <w:tcPr>
            <w:tcW w:type="dxa" w:w="3312"/>
          </w:tcPr>
          <w:p>
            <w:r>
              <w:t>Livraison</w:t>
            </w:r>
          </w:p>
        </w:tc>
        <w:tc>
          <w:tcPr>
            <w:tcW w:type="dxa" w:w="3312"/>
          </w:tcPr>
          <w:p>
            <w:r>
              <w:t>Coordonnées, zone, adresse et créneau disponible</w:t>
            </w:r>
          </w:p>
        </w:tc>
      </w:tr>
      <w:tr>
        <w:tc>
          <w:tcPr>
            <w:tcW w:type="dxa" w:w="3312"/>
          </w:tcPr>
          <w:p>
            <w:r>
              <w:t>11</w:t>
            </w:r>
          </w:p>
        </w:tc>
        <w:tc>
          <w:tcPr>
            <w:tcW w:type="dxa" w:w="3312"/>
          </w:tcPr>
          <w:p>
            <w:r>
              <w:t>Paiement</w:t>
            </w:r>
          </w:p>
        </w:tc>
        <w:tc>
          <w:tcPr>
            <w:tcW w:type="dxa" w:w="3312"/>
          </w:tcPr>
          <w:p>
            <w:r>
              <w:t>Wave ou Orange Money</w:t>
            </w:r>
          </w:p>
        </w:tc>
      </w:tr>
      <w:tr>
        <w:tc>
          <w:tcPr>
            <w:tcW w:type="dxa" w:w="3312"/>
          </w:tcPr>
          <w:p>
            <w:r>
              <w:t>12</w:t>
            </w:r>
          </w:p>
        </w:tc>
        <w:tc>
          <w:tcPr>
            <w:tcW w:type="dxa" w:w="3312"/>
          </w:tcPr>
          <w:p>
            <w:r>
              <w:t>Confirmation</w:t>
            </w:r>
          </w:p>
        </w:tc>
        <w:tc>
          <w:tcPr>
            <w:tcW w:type="dxa" w:w="3312"/>
          </w:tcPr>
          <w:p>
            <w:r>
              <w:t>Numéro de commande et récapitulatif</w:t>
            </w:r>
          </w:p>
        </w:tc>
      </w:tr>
      <w:tr>
        <w:tc>
          <w:tcPr>
            <w:tcW w:type="dxa" w:w="3312"/>
          </w:tcPr>
          <w:p>
            <w:r>
              <w:t>13</w:t>
            </w:r>
          </w:p>
        </w:tc>
        <w:tc>
          <w:tcPr>
            <w:tcW w:type="dxa" w:w="3312"/>
          </w:tcPr>
          <w:p>
            <w:r>
              <w:t>Suivi de commande</w:t>
            </w:r>
          </w:p>
        </w:tc>
        <w:tc>
          <w:tcPr>
            <w:tcW w:type="dxa" w:w="3312"/>
          </w:tcPr>
          <w:p>
            <w:r>
              <w:t>Recherche par numéro et vérification d’identité appropriée</w:t>
            </w:r>
          </w:p>
        </w:tc>
      </w:tr>
      <w:tr>
        <w:tc>
          <w:tcPr>
            <w:tcW w:type="dxa" w:w="3312"/>
          </w:tcPr>
          <w:p>
            <w:r>
              <w:t>14</w:t>
            </w:r>
          </w:p>
        </w:tc>
        <w:tc>
          <w:tcPr>
            <w:tcW w:type="dxa" w:w="3312"/>
          </w:tcPr>
          <w:p>
            <w:r>
              <w:t>Précommandes</w:t>
            </w:r>
          </w:p>
        </w:tc>
        <w:tc>
          <w:tcPr>
            <w:tcW w:type="dxa" w:w="3312"/>
          </w:tcPr>
          <w:p>
            <w:r>
              <w:t>Produits permanents temporairement indisponibles et règles applicables</w:t>
            </w:r>
          </w:p>
        </w:tc>
      </w:tr>
      <w:tr>
        <w:tc>
          <w:tcPr>
            <w:tcW w:type="dxa" w:w="3312"/>
          </w:tcPr>
          <w:p>
            <w:r>
              <w:t>15</w:t>
            </w:r>
          </w:p>
        </w:tc>
        <w:tc>
          <w:tcPr>
            <w:tcW w:type="dxa" w:w="3312"/>
          </w:tcPr>
          <w:p>
            <w:r>
              <w:t>Tableau de bord client</w:t>
            </w:r>
          </w:p>
        </w:tc>
        <w:tc>
          <w:tcPr>
            <w:tcW w:type="dxa" w:w="3312"/>
          </w:tcPr>
          <w:p>
            <w:r>
              <w:t>Résumé des commandes, points, favoris et informations personnelles</w:t>
            </w:r>
          </w:p>
        </w:tc>
      </w:tr>
      <w:tr>
        <w:tc>
          <w:tcPr>
            <w:tcW w:type="dxa" w:w="3312"/>
          </w:tcPr>
          <w:p>
            <w:r>
              <w:t>16</w:t>
            </w:r>
          </w:p>
        </w:tc>
        <w:tc>
          <w:tcPr>
            <w:tcW w:type="dxa" w:w="3312"/>
          </w:tcPr>
          <w:p>
            <w:r>
              <w:t>Mes commandes</w:t>
            </w:r>
          </w:p>
        </w:tc>
        <w:tc>
          <w:tcPr>
            <w:tcW w:type="dxa" w:w="3312"/>
          </w:tcPr>
          <w:p>
            <w:r>
              <w:t>Historique et détails</w:t>
            </w:r>
          </w:p>
        </w:tc>
      </w:tr>
      <w:tr>
        <w:tc>
          <w:tcPr>
            <w:tcW w:type="dxa" w:w="3312"/>
          </w:tcPr>
          <w:p>
            <w:r>
              <w:t>17</w:t>
            </w:r>
          </w:p>
        </w:tc>
        <w:tc>
          <w:tcPr>
            <w:tcW w:type="dxa" w:w="3312"/>
          </w:tcPr>
          <w:p>
            <w:r>
              <w:t>Mes favoris</w:t>
            </w:r>
          </w:p>
        </w:tc>
        <w:tc>
          <w:tcPr>
            <w:tcW w:type="dxa" w:w="3312"/>
          </w:tcPr>
          <w:p>
            <w:r>
              <w:t>Produits sauvegardés</w:t>
            </w:r>
          </w:p>
        </w:tc>
      </w:tr>
      <w:tr>
        <w:tc>
          <w:tcPr>
            <w:tcW w:type="dxa" w:w="3312"/>
          </w:tcPr>
          <w:p>
            <w:r>
              <w:t>18</w:t>
            </w:r>
          </w:p>
        </w:tc>
        <w:tc>
          <w:tcPr>
            <w:tcW w:type="dxa" w:w="3312"/>
          </w:tcPr>
          <w:p>
            <w:r>
              <w:t>Mes points fidélité</w:t>
            </w:r>
          </w:p>
        </w:tc>
        <w:tc>
          <w:tcPr>
            <w:tcW w:type="dxa" w:w="3312"/>
          </w:tcPr>
          <w:p>
            <w:r>
              <w:t>Solde, historique, expiration et récompenses</w:t>
            </w:r>
          </w:p>
        </w:tc>
      </w:tr>
      <w:tr>
        <w:tc>
          <w:tcPr>
            <w:tcW w:type="dxa" w:w="3312"/>
          </w:tcPr>
          <w:p>
            <w:r>
              <w:t>19</w:t>
            </w:r>
          </w:p>
        </w:tc>
        <w:tc>
          <w:tcPr>
            <w:tcW w:type="dxa" w:w="3312"/>
          </w:tcPr>
          <w:p>
            <w:r>
              <w:t>Mes retours et réclamations</w:t>
            </w:r>
          </w:p>
        </w:tc>
        <w:tc>
          <w:tcPr>
            <w:tcW w:type="dxa" w:w="3312"/>
          </w:tcPr>
          <w:p>
            <w:r>
              <w:t>Formulaires, pièces jointes et suivi de statut</w:t>
            </w:r>
          </w:p>
        </w:tc>
      </w:tr>
      <w:tr>
        <w:tc>
          <w:tcPr>
            <w:tcW w:type="dxa" w:w="3312"/>
          </w:tcPr>
          <w:p>
            <w:r>
              <w:t>20</w:t>
            </w:r>
          </w:p>
        </w:tc>
        <w:tc>
          <w:tcPr>
            <w:tcW w:type="dxa" w:w="3312"/>
          </w:tcPr>
          <w:p>
            <w:r>
              <w:t>Mes avis</w:t>
            </w:r>
          </w:p>
        </w:tc>
        <w:tc>
          <w:tcPr>
            <w:tcW w:type="dxa" w:w="3312"/>
          </w:tcPr>
          <w:p>
            <w:r>
              <w:t>Avis déposés après réception d’une commande</w:t>
            </w:r>
          </w:p>
        </w:tc>
      </w:tr>
      <w:tr>
        <w:tc>
          <w:tcPr>
            <w:tcW w:type="dxa" w:w="3312"/>
          </w:tcPr>
          <w:p>
            <w:r>
              <w:t>21</w:t>
            </w:r>
          </w:p>
        </w:tc>
        <w:tc>
          <w:tcPr>
            <w:tcW w:type="dxa" w:w="3312"/>
          </w:tcPr>
          <w:p>
            <w:r>
              <w:t>Mon profil</w:t>
            </w:r>
          </w:p>
        </w:tc>
        <w:tc>
          <w:tcPr>
            <w:tcW w:type="dxa" w:w="3312"/>
          </w:tcPr>
          <w:p>
            <w:r>
              <w:t>Téléphone, coordonnées et adresses</w:t>
            </w:r>
          </w:p>
        </w:tc>
      </w:tr>
      <w:tr>
        <w:tc>
          <w:tcPr>
            <w:tcW w:type="dxa" w:w="3312"/>
          </w:tcPr>
          <w:p>
            <w:r>
              <w:t>22</w:t>
            </w:r>
          </w:p>
        </w:tc>
        <w:tc>
          <w:tcPr>
            <w:tcW w:type="dxa" w:w="3312"/>
          </w:tcPr>
          <w:p>
            <w:r>
              <w:t>À propos</w:t>
            </w:r>
          </w:p>
        </w:tc>
        <w:tc>
          <w:tcPr>
            <w:tcW w:type="dxa" w:w="3312"/>
          </w:tcPr>
          <w:p>
            <w:r>
              <w:t>Histoire, vision, mission et valeurs</w:t>
            </w:r>
          </w:p>
        </w:tc>
      </w:tr>
      <w:tr>
        <w:tc>
          <w:tcPr>
            <w:tcW w:type="dxa" w:w="3312"/>
          </w:tcPr>
          <w:p>
            <w:r>
              <w:t>23</w:t>
            </w:r>
          </w:p>
        </w:tc>
        <w:tc>
          <w:tcPr>
            <w:tcW w:type="dxa" w:w="3312"/>
          </w:tcPr>
          <w:p>
            <w:r>
              <w:t>FAQ</w:t>
            </w:r>
          </w:p>
        </w:tc>
        <w:tc>
          <w:tcPr>
            <w:tcW w:type="dxa" w:w="3312"/>
          </w:tcPr>
          <w:p>
            <w:r>
              <w:t>Questions classées par thème et recherche si retenue</w:t>
            </w:r>
          </w:p>
        </w:tc>
      </w:tr>
      <w:tr>
        <w:tc>
          <w:tcPr>
            <w:tcW w:type="dxa" w:w="3312"/>
          </w:tcPr>
          <w:p>
            <w:r>
              <w:t>24</w:t>
            </w:r>
          </w:p>
        </w:tc>
        <w:tc>
          <w:tcPr>
            <w:tcW w:type="dxa" w:w="3312"/>
          </w:tcPr>
          <w:p>
            <w:r>
              <w:t>Contact</w:t>
            </w:r>
          </w:p>
        </w:tc>
        <w:tc>
          <w:tcPr>
            <w:tcW w:type="dxa" w:w="3312"/>
          </w:tcPr>
          <w:p>
            <w:r>
              <w:t>Formulaire, WhatsApp et coordonnées officielles</w:t>
            </w:r>
          </w:p>
        </w:tc>
      </w:tr>
      <w:tr>
        <w:tc>
          <w:tcPr>
            <w:tcW w:type="dxa" w:w="3312"/>
          </w:tcPr>
          <w:p>
            <w:r>
              <w:t>25</w:t>
            </w:r>
          </w:p>
        </w:tc>
        <w:tc>
          <w:tcPr>
            <w:tcW w:type="dxa" w:w="3312"/>
          </w:tcPr>
          <w:p>
            <w:r>
              <w:t>Collaborations</w:t>
            </w:r>
          </w:p>
        </w:tc>
        <w:tc>
          <w:tcPr>
            <w:tcW w:type="dxa" w:w="3312"/>
          </w:tcPr>
          <w:p>
            <w:r>
              <w:t>Formulaire de demande de partenariat</w:t>
            </w:r>
          </w:p>
        </w:tc>
      </w:tr>
      <w:tr>
        <w:tc>
          <w:tcPr>
            <w:tcW w:type="dxa" w:w="3312"/>
          </w:tcPr>
          <w:p>
            <w:r>
              <w:t>26</w:t>
            </w:r>
          </w:p>
        </w:tc>
        <w:tc>
          <w:tcPr>
            <w:tcW w:type="dxa" w:w="3312"/>
          </w:tcPr>
          <w:p>
            <w:r>
              <w:t>Politique de livraison</w:t>
            </w:r>
          </w:p>
        </w:tc>
        <w:tc>
          <w:tcPr>
            <w:tcW w:type="dxa" w:w="3312"/>
          </w:tcPr>
          <w:p>
            <w:r>
              <w:t>Zones, créneaux, frais, livraison impossible</w:t>
            </w:r>
          </w:p>
        </w:tc>
      </w:tr>
      <w:tr>
        <w:tc>
          <w:tcPr>
            <w:tcW w:type="dxa" w:w="3312"/>
          </w:tcPr>
          <w:p>
            <w:r>
              <w:t>27</w:t>
            </w:r>
          </w:p>
        </w:tc>
        <w:tc>
          <w:tcPr>
            <w:tcW w:type="dxa" w:w="3312"/>
          </w:tcPr>
          <w:p>
            <w:r>
              <w:t>Retours, échanges, remboursements et réclamations</w:t>
            </w:r>
          </w:p>
        </w:tc>
        <w:tc>
          <w:tcPr>
            <w:tcW w:type="dxa" w:w="3312"/>
          </w:tcPr>
          <w:p>
            <w:r>
              <w:t>Conditions, délais, preuves et traitement</w:t>
            </w:r>
          </w:p>
        </w:tc>
      </w:tr>
      <w:tr>
        <w:tc>
          <w:tcPr>
            <w:tcW w:type="dxa" w:w="3312"/>
          </w:tcPr>
          <w:p>
            <w:r>
              <w:t>28</w:t>
            </w:r>
          </w:p>
        </w:tc>
        <w:tc>
          <w:tcPr>
            <w:tcW w:type="dxa" w:w="3312"/>
          </w:tcPr>
          <w:p>
            <w:r>
              <w:t>Conditions générales</w:t>
            </w:r>
          </w:p>
        </w:tc>
        <w:tc>
          <w:tcPr>
            <w:tcW w:type="dxa" w:w="3312"/>
          </w:tcPr>
          <w:p>
            <w:r>
              <w:t>Utilisation du site et règles générales</w:t>
            </w:r>
          </w:p>
        </w:tc>
      </w:tr>
      <w:tr>
        <w:tc>
          <w:tcPr>
            <w:tcW w:type="dxa" w:w="3312"/>
          </w:tcPr>
          <w:p>
            <w:r>
              <w:t>29</w:t>
            </w:r>
          </w:p>
        </w:tc>
        <w:tc>
          <w:tcPr>
            <w:tcW w:type="dxa" w:w="3312"/>
          </w:tcPr>
          <w:p>
            <w:r>
              <w:t>Confidentialité</w:t>
            </w:r>
          </w:p>
        </w:tc>
        <w:tc>
          <w:tcPr>
            <w:tcW w:type="dxa" w:w="3312"/>
          </w:tcPr>
          <w:p>
            <w:r>
              <w:t>Données personnelles, finalités, sécurité et droits</w:t>
            </w:r>
          </w:p>
        </w:tc>
      </w:tr>
      <w:tr>
        <w:tc>
          <w:tcPr>
            <w:tcW w:type="dxa" w:w="3312"/>
          </w:tcPr>
          <w:p>
            <w:r>
              <w:t>30</w:t>
            </w:r>
          </w:p>
        </w:tc>
        <w:tc>
          <w:tcPr>
            <w:tcW w:type="dxa" w:w="3312"/>
          </w:tcPr>
          <w:p>
            <w:r>
              <w:t>Commande, paiement et annulation</w:t>
            </w:r>
          </w:p>
        </w:tc>
        <w:tc>
          <w:tcPr>
            <w:tcW w:type="dxa" w:w="3312"/>
          </w:tcPr>
          <w:p>
            <w:r>
              <w:t>Validation, moyens de paiement, annulation, précommandes</w:t>
            </w:r>
          </w:p>
        </w:tc>
      </w:tr>
      <w:tr>
        <w:tc>
          <w:tcPr>
            <w:tcW w:type="dxa" w:w="3312"/>
          </w:tcPr>
          <w:p>
            <w:r>
              <w:t>31</w:t>
            </w:r>
          </w:p>
        </w:tc>
        <w:tc>
          <w:tcPr>
            <w:tcW w:type="dxa" w:w="3312"/>
          </w:tcPr>
          <w:p>
            <w:r>
              <w:t>Administration</w:t>
            </w:r>
          </w:p>
        </w:tc>
        <w:tc>
          <w:tcPr>
            <w:tcW w:type="dxa" w:w="3312"/>
          </w:tcPr>
          <w:p>
            <w:r>
              <w:t>Gestion commerciale et technique du site</w:t>
            </w:r>
          </w:p>
        </w:tc>
      </w:tr>
      <w:tr>
        <w:tc>
          <w:tcPr>
            <w:tcW w:type="dxa" w:w="3312"/>
          </w:tcPr>
          <w:p>
            <w:r>
              <w:t>32</w:t>
            </w:r>
          </w:p>
        </w:tc>
        <w:tc>
          <w:tcPr>
            <w:tcW w:type="dxa" w:w="3312"/>
          </w:tcPr>
          <w:p>
            <w:r>
              <w:t>Espace livreur</w:t>
            </w:r>
          </w:p>
        </w:tc>
        <w:tc>
          <w:tcPr>
            <w:tcW w:type="dxa" w:w="3312"/>
          </w:tcPr>
          <w:p>
            <w:r>
              <w:t>Livraisons attribuées et mise à jour des statuts</w:t>
            </w:r>
          </w:p>
        </w:tc>
      </w:tr>
    </w:tbl>
    <w:p/>
    <w:p>
      <w:r>
        <w:t>Les 32 éléments représentent des pages ou espaces fonctionnels. Certaines pages peuvent partager un même modèle technique.</w:t>
      </w:r>
    </w:p>
    <w:p>
      <w:pPr>
        <w:pStyle w:val="Heading1"/>
      </w:pPr>
      <w:r>
        <w:t>4. En-tête, navigation et pied de page</w:t>
      </w:r>
    </w:p>
    <w:p>
      <w:pPr>
        <w:pStyle w:val="Heading2"/>
      </w:pPr>
      <w:r>
        <w:t>4.1 En-tête</w:t>
      </w:r>
    </w:p>
    <w:p>
      <w:pPr>
        <w:pStyle w:val="ListBullet"/>
        <w:spacing w:after="40"/>
      </w:pPr>
      <w:r>
        <w:t>Bandeau de service : livraison au Sénégal, paiement sécurisé et liens FAQ, Contact, Suivi de commande.</w:t>
      </w:r>
    </w:p>
    <w:p>
      <w:pPr>
        <w:pStyle w:val="ListBullet"/>
        <w:spacing w:after="40"/>
      </w:pPr>
      <w:r>
        <w:t>Logo AMANI Cosmetics.</w:t>
      </w:r>
    </w:p>
    <w:p>
      <w:pPr>
        <w:pStyle w:val="ListBullet"/>
        <w:spacing w:after="40"/>
      </w:pPr>
      <w:r>
        <w:t>Menu principal : Accueil, Boutique, Collections, Éditions limitées, Coffrets cadeaux, Guide beauté, À propos.</w:t>
      </w:r>
    </w:p>
    <w:p>
      <w:pPr>
        <w:pStyle w:val="ListBullet"/>
        <w:spacing w:after="40"/>
      </w:pPr>
      <w:r>
        <w:t>Icônes : recherche, compte client, favoris et panier avec compteur d’articles.</w:t>
      </w:r>
    </w:p>
    <w:p>
      <w:pPr>
        <w:pStyle w:val="ListBullet"/>
        <w:spacing w:after="40"/>
      </w:pPr>
      <w:r>
        <w:t>Devise affichée : FCFA. Toute conversion éventuelle est indicative ; le paiement reste en FCFA.</w:t>
      </w:r>
    </w:p>
    <w:p>
      <w:pPr>
        <w:pStyle w:val="Heading2"/>
      </w:pPr>
      <w:r>
        <w:t>4.2 Pied de page</w:t>
      </w:r>
    </w:p>
    <w:p>
      <w:pPr>
        <w:pStyle w:val="ListBullet"/>
        <w:spacing w:after="40"/>
      </w:pPr>
      <w:r>
        <w:t>Signature de marque et liens vers les principales catégories.</w:t>
      </w:r>
    </w:p>
    <w:p>
      <w:pPr>
        <w:pStyle w:val="ListBullet"/>
        <w:spacing w:after="40"/>
      </w:pPr>
      <w:r>
        <w:t>Liens d’aide : FAQ, livraison, retours et remboursements, conditions générales, confidentialité et mentions légales.</w:t>
      </w:r>
    </w:p>
    <w:p>
      <w:pPr>
        <w:pStyle w:val="ListBullet"/>
        <w:spacing w:after="40"/>
      </w:pPr>
      <w:r>
        <w:t>Contact et liens vers WhatsApp, Instagram et TikTok.</w:t>
      </w:r>
    </w:p>
    <w:p>
      <w:pPr>
        <w:pStyle w:val="ListBullet"/>
        <w:spacing w:after="40"/>
      </w:pPr>
      <w:r>
        <w:t>Inscription newsletter uniquement après définition du consentement et du processus de désinscription.</w:t>
      </w:r>
    </w:p>
    <w:p>
      <w:pPr>
        <w:pStyle w:val="Heading1"/>
      </w:pPr>
      <w:r>
        <w:t>5. Accueil et catalogue</w:t>
      </w:r>
    </w:p>
    <w:p>
      <w:pPr>
        <w:pStyle w:val="Heading2"/>
      </w:pPr>
      <w:r>
        <w:t>5.1 Page d’accueil</w:t>
      </w:r>
    </w:p>
    <w:p>
      <w:pPr>
        <w:pStyle w:val="ListBullet"/>
        <w:spacing w:after="40"/>
      </w:pPr>
      <w:r>
        <w:t>Bannière principale axée sur la marque, le lotus/logo, la signature et un bouton vers la collection.</w:t>
      </w:r>
    </w:p>
    <w:p>
      <w:pPr>
        <w:pStyle w:val="ListBullet"/>
        <w:spacing w:after="40"/>
      </w:pPr>
      <w:r>
        <w:t>Accès rapide aux catégories Gloss, Skincare et Maquillage.</w:t>
      </w:r>
    </w:p>
    <w:p>
      <w:pPr>
        <w:pStyle w:val="ListBullet"/>
        <w:spacing w:after="40"/>
      </w:pPr>
      <w:r>
        <w:t>Bandeau promotionnel élégant unique en haut de page, sans pop-up.</w:t>
      </w:r>
    </w:p>
    <w:p>
      <w:pPr>
        <w:pStyle w:val="ListBullet"/>
        <w:spacing w:after="40"/>
      </w:pPr>
      <w:r>
        <w:t>Meilleures ventes calculées automatiquement à partir des ventes réelles.</w:t>
      </w:r>
    </w:p>
    <w:p>
      <w:pPr>
        <w:pStyle w:val="ListBullet"/>
        <w:spacing w:after="40"/>
      </w:pPr>
      <w:r>
        <w:t>Section nouveautés alimentée automatiquement, avec possibilité d’ajustement manuel dans l’administration.</w:t>
      </w:r>
    </w:p>
    <w:p>
      <w:pPr>
        <w:pStyle w:val="ListBullet"/>
        <w:spacing w:after="40"/>
      </w:pPr>
      <w:r>
        <w:t>Collections, coffrets et promotions actives.</w:t>
      </w:r>
    </w:p>
    <w:p>
      <w:pPr>
        <w:pStyle w:val="ListBullet"/>
        <w:spacing w:after="40"/>
      </w:pPr>
      <w:r>
        <w:t>Les promotions avec compte à rebours ne sont affichées que pour des offres réellement limitées dans le temps.</w:t>
      </w:r>
    </w:p>
    <w:p>
      <w:pPr>
        <w:pStyle w:val="Heading2"/>
      </w:pPr>
      <w:r>
        <w:t>5.2 Boutique et filtres</w:t>
      </w:r>
    </w:p>
    <w:p>
      <w:pPr>
        <w:pStyle w:val="ListBullet"/>
        <w:spacing w:after="40"/>
      </w:pPr>
      <w:r>
        <w:t>Grille de quatre produits par ligne sur grand écran, adaptée aux tablettes et mobiles.</w:t>
      </w:r>
    </w:p>
    <w:p>
      <w:pPr>
        <w:pStyle w:val="ListBullet"/>
        <w:spacing w:after="40"/>
      </w:pPr>
      <w:r>
        <w:t>Recherche par nom et mots-clés.</w:t>
      </w:r>
    </w:p>
    <w:p>
      <w:pPr>
        <w:pStyle w:val="ListBullet"/>
        <w:spacing w:after="40"/>
      </w:pPr>
      <w:r>
        <w:t>Tri : nouveautés, prix croissant/décroissant et popularité, selon données disponibles.</w:t>
      </w:r>
    </w:p>
    <w:p>
      <w:pPr>
        <w:pStyle w:val="ListBullet"/>
        <w:spacing w:after="40"/>
      </w:pPr>
      <w:r>
        <w:t>Filtres personnalisés par catégorie : prix, disponibilité, permanent/édition limitée, effet/besoin et ingrédients pertinents.</w:t>
      </w:r>
    </w:p>
    <w:p>
      <w:pPr>
        <w:pStyle w:val="ListBullet"/>
        <w:spacing w:after="40"/>
      </w:pPr>
      <w:r>
        <w:t>Pas de fonctionnalité de comparaison de produits au lancement.</w:t>
      </w:r>
    </w:p>
    <w:p>
      <w:pPr>
        <w:pStyle w:val="Heading2"/>
      </w:pPr>
      <w:r>
        <w:t>5.3 Fiche produit</w:t>
      </w:r>
    </w:p>
    <w:p>
      <w:pPr>
        <w:pStyle w:val="ListBullet"/>
        <w:spacing w:after="40"/>
      </w:pPr>
      <w:r>
        <w:t>Photos multiples et, si prévu, courte vidéo du produit.</w:t>
      </w:r>
    </w:p>
    <w:p>
      <w:pPr>
        <w:pStyle w:val="ListBullet"/>
        <w:spacing w:after="40"/>
      </w:pPr>
      <w:r>
        <w:t>Nom, prix FCFA, statut de stock, variantes et quantité.</w:t>
      </w:r>
    </w:p>
    <w:p>
      <w:pPr>
        <w:pStyle w:val="ListBullet"/>
        <w:spacing w:after="40"/>
      </w:pPr>
      <w:r>
        <w:t>Description, bénéfices, ingrédients, conseils d’utilisation et informations de livraison.</w:t>
      </w:r>
    </w:p>
    <w:p>
      <w:pPr>
        <w:pStyle w:val="ListBullet"/>
        <w:spacing w:after="40"/>
      </w:pPr>
      <w:r>
        <w:t>Avis vérifiés après achat livré.</w:t>
      </w:r>
    </w:p>
    <w:p>
      <w:pPr>
        <w:pStyle w:val="ListBullet"/>
        <w:spacing w:after="40"/>
      </w:pPr>
      <w:r>
        <w:t>Produits similaires ou complémentaires.</w:t>
      </w:r>
    </w:p>
    <w:p>
      <w:pPr>
        <w:pStyle w:val="ListBullet"/>
        <w:spacing w:after="40"/>
      </w:pPr>
      <w:r>
        <w:t>Boutons Ajouter au panier et Acheter maintenant.</w:t>
      </w:r>
    </w:p>
    <w:p>
      <w:pPr>
        <w:pStyle w:val="Heading2"/>
      </w:pPr>
      <w:r>
        <w:t>5.4 Produits et données</w:t>
      </w:r>
    </w:p>
    <w:p>
      <w:r>
        <w:t>Le catalogue initial et les quantités définitives doivent être fournis par AMANI. Chaque fiche produit doit pouvoir contenir : identifiant, nom, catégorie, description, prix, coût interne facultatif, photos, variantes, ingrédients, conseils, stock, seuil d’alerte, statut permanent/édition limitée, dates de campagne éventuelles et statut de publication.</w:t>
      </w:r>
    </w:p>
    <w:p>
      <w:pPr>
        <w:pStyle w:val="Heading1"/>
      </w:pPr>
      <w:r>
        <w:t>6. Panier, commande et paiement</w:t>
      </w:r>
    </w:p>
    <w:p>
      <w:pPr>
        <w:pStyle w:val="Heading2"/>
      </w:pPr>
      <w:r>
        <w:t>6.1 Panier</w:t>
      </w:r>
    </w:p>
    <w:p>
      <w:pPr>
        <w:pStyle w:val="ListBullet"/>
        <w:spacing w:after="40"/>
      </w:pPr>
      <w:r>
        <w:t>Modifier les quantités, retirer un article et enregistrer un favori.</w:t>
      </w:r>
    </w:p>
    <w:p>
      <w:pPr>
        <w:pStyle w:val="ListBullet"/>
        <w:spacing w:after="40"/>
      </w:pPr>
      <w:r>
        <w:t>Afficher sous-total, réduction, frais de livraison et total final séparément.</w:t>
      </w:r>
    </w:p>
    <w:p>
      <w:pPr>
        <w:pStyle w:val="ListBullet"/>
        <w:spacing w:after="40"/>
      </w:pPr>
      <w:r>
        <w:t>Champ de code promotionnel et messages d’erreur explicites.</w:t>
      </w:r>
    </w:p>
    <w:p>
      <w:pPr>
        <w:pStyle w:val="ListBullet"/>
        <w:spacing w:after="40"/>
      </w:pPr>
      <w:r>
        <w:t>Estimation des frais de livraison selon la zone lorsqu’elle est renseignée.</w:t>
      </w:r>
    </w:p>
    <w:p>
      <w:pPr>
        <w:pStyle w:val="ListBullet"/>
        <w:spacing w:after="40"/>
      </w:pPr>
      <w:r>
        <w:t>Un article placé au panier ne réserve pas automatiquement le stock.</w:t>
      </w:r>
    </w:p>
    <w:p>
      <w:pPr>
        <w:pStyle w:val="Heading2"/>
      </w:pPr>
      <w:r>
        <w:t>6.2 Compte et identification</w:t>
      </w:r>
    </w:p>
    <w:p>
      <w:r>
        <w:t>Décision retenue dans les échanges récents : le compte client est obligatoire pour commander. L’accès prévu utilise le numéro de téléphone et un code à usage unique (OTP) envoyé par SMS. Cette fonction exige un prestataire SMS, une gestion de l’expiration et des limites de tentatives. La récupération d’accès doit être sécurisée.</w:t>
      </w:r>
    </w:p>
    <w:p>
      <w:pPr>
        <w:pStyle w:val="Heading2"/>
      </w:pPr>
      <w:r>
        <w:t>6.3 Parcours de commande</w:t>
      </w:r>
    </w:p>
    <w:p>
      <w:pPr>
        <w:pStyle w:val="ListNumber"/>
        <w:spacing w:after="40"/>
      </w:pPr>
      <w:r>
        <w:t>La cliente consulte son panier et confirme les quantités.</w:t>
      </w:r>
    </w:p>
    <w:p>
      <w:pPr>
        <w:pStyle w:val="ListNumber"/>
        <w:spacing w:after="40"/>
      </w:pPr>
      <w:r>
        <w:t>Elle renseigne ses coordonnées, son adresse, sa zone et un créneau disponible.</w:t>
      </w:r>
    </w:p>
    <w:p>
      <w:pPr>
        <w:pStyle w:val="ListNumber"/>
        <w:spacing w:after="40"/>
      </w:pPr>
      <w:r>
        <w:t>Le site calcule les frais de livraison et affiche le récapitulatif complet avant paiement.</w:t>
      </w:r>
    </w:p>
    <w:p>
      <w:pPr>
        <w:pStyle w:val="ListNumber"/>
        <w:spacing w:after="40"/>
      </w:pPr>
      <w:r>
        <w:t>La cliente choisit Wave ou Orange Money et suit le parcours sécurisé du prestataire.</w:t>
      </w:r>
    </w:p>
    <w:p>
      <w:pPr>
        <w:pStyle w:val="ListNumber"/>
        <w:spacing w:after="40"/>
      </w:pPr>
      <w:r>
        <w:t>Le serveur vérifie la confirmation réelle du paiement, idéalement via notification serveur/webhook signé et vérification auprès du prestataire.</w:t>
      </w:r>
    </w:p>
    <w:p>
      <w:pPr>
        <w:pStyle w:val="ListNumber"/>
        <w:spacing w:after="40"/>
      </w:pPr>
      <w:r>
        <w:t>Uniquement après confirmation du paiement, le système crée la commande définitive, attribue le numéro, applique les règles de stock, enregistre les avantages et affiche la confirmation.</w:t>
      </w:r>
    </w:p>
    <w:p>
      <w:r>
        <w:t>Un paiement échoué, interrompu, annulé ou non confirmé ne doit pas créer une commande payée ni provoquer une décrémentation définitive du stock. Les éventuelles réservations temporaires doivent expirer automatiquement.</w:t>
      </w:r>
    </w:p>
    <w:p>
      <w:pPr>
        <w:pStyle w:val="Heading2"/>
      </w:pPr>
      <w:r>
        <w:t>6.4 Numéro de commande et statuts</w:t>
      </w:r>
    </w:p>
    <w:p>
      <w:pPr>
        <w:pStyle w:val="ListBullet"/>
        <w:spacing w:after="40"/>
      </w:pPr>
      <w:r>
        <w:t>Numéro unique créé après confirmation du paiement. La forme exacte est à définir : les documents évoquent à la fois une séquence 001, 002… et des références de type #AMN10234.</w:t>
      </w:r>
    </w:p>
    <w:p>
      <w:pPr>
        <w:pStyle w:val="ListBullet"/>
        <w:spacing w:after="40"/>
      </w:pPr>
      <w:r>
        <w:t>Les commandes restent dans l’historique, y compris lorsqu’elles sont annulées.</w:t>
      </w:r>
    </w:p>
    <w:p>
      <w:pPr>
        <w:pStyle w:val="ListBullet"/>
        <w:spacing w:after="40"/>
      </w:pPr>
      <w:r>
        <w:t>Statuts de livraison de base : Reçu → En attente de livraison → Livrée.</w:t>
      </w:r>
    </w:p>
    <w:p>
      <w:pPr>
        <w:pStyle w:val="ListBullet"/>
        <w:spacing w:after="40"/>
      </w:pPr>
      <w:r>
        <w:t>Des statuts internes supplémentaires sont nécessaires pour préparation, paiement, annulation, retour et remboursement.</w:t>
      </w:r>
    </w:p>
    <w:p>
      <w:pPr>
        <w:pStyle w:val="Heading2"/>
      </w:pPr>
      <w:r>
        <w:t>6.5 Modifications et annulations</w:t>
      </w:r>
    </w:p>
    <w:p>
      <w:pPr>
        <w:pStyle w:val="ListBullet"/>
        <w:spacing w:after="40"/>
      </w:pPr>
      <w:r>
        <w:t>Une commande payée ne peut pas être modifiée directement par la cliente : elle contacte le service client, qui vérifie si la préparation permet encore un changement.</w:t>
      </w:r>
    </w:p>
    <w:p>
      <w:pPr>
        <w:pStyle w:val="ListBullet"/>
        <w:spacing w:after="40"/>
      </w:pPr>
      <w:r>
        <w:t>Annulation en ligne autorisée depuis le compte avant le début de la préparation ; après préparation, la cliente contacte le service client.</w:t>
      </w:r>
    </w:p>
    <w:p>
      <w:pPr>
        <w:pStyle w:val="ListBullet"/>
        <w:spacing w:after="40"/>
      </w:pPr>
      <w:r>
        <w:t>Le document commercial proposé prévoit une retenue de 10 % en cas d’annulation après paiement. Cette règle reste à confirmer par la propriétaire et doit être vérifiée juridiquement avant publication.</w:t>
      </w:r>
    </w:p>
    <w:p>
      <w:pPr>
        <w:pStyle w:val="ListBullet"/>
        <w:spacing w:after="40"/>
      </w:pPr>
      <w:r>
        <w:t>Lorsqu’une annulation est acceptée, la commande garde son historique et le stock est réintégré selon des règles contrôlées.</w:t>
      </w:r>
    </w:p>
    <w:p>
      <w:pPr>
        <w:pStyle w:val="Heading1"/>
      </w:pPr>
      <w:r>
        <w:t>7. Paiements, prix, promotions et précommandes</w:t>
      </w:r>
    </w:p>
    <w:p>
      <w:pPr>
        <w:pStyle w:val="Heading2"/>
      </w:pPr>
      <w:r>
        <w:t>7.1 Paiements</w:t>
      </w:r>
    </w:p>
    <w:p>
      <w:pPr>
        <w:pStyle w:val="ListBullet"/>
        <w:spacing w:after="40"/>
      </w:pPr>
      <w:r>
        <w:t>Moyens prévus : Wave et Orange Money.</w:t>
      </w:r>
    </w:p>
    <w:p>
      <w:pPr>
        <w:pStyle w:val="ListBullet"/>
        <w:spacing w:after="40"/>
      </w:pPr>
      <w:r>
        <w:t>Devise de paiement : FCFA.</w:t>
      </w:r>
    </w:p>
    <w:p>
      <w:pPr>
        <w:pStyle w:val="ListBullet"/>
        <w:spacing w:after="40"/>
      </w:pPr>
      <w:r>
        <w:t>Les identifiants marchands, les environnements de test, les clés API, les notifications et les procédures de remboursement doivent être configurés avec les prestataires.</w:t>
      </w:r>
    </w:p>
    <w:p>
      <w:pPr>
        <w:pStyle w:val="ListBullet"/>
        <w:spacing w:after="40"/>
      </w:pPr>
      <w:r>
        <w:t>Aucune commande ne doit être marquée payée sur la seule base d’une capture d’écran ou d’une redirection navigateur.</w:t>
      </w:r>
    </w:p>
    <w:p>
      <w:pPr>
        <w:pStyle w:val="Heading2"/>
      </w:pPr>
      <w:r>
        <w:t>7.2 Promotions</w:t>
      </w:r>
    </w:p>
    <w:p>
      <w:pPr>
        <w:pStyle w:val="ListBullet"/>
        <w:spacing w:after="40"/>
      </w:pPr>
      <w:r>
        <w:t>Codes promotionnels, offres à durée limitée, bundles, cadeaux au-dessus d’un seuil et campagnes par catégorie.</w:t>
      </w:r>
    </w:p>
    <w:p>
      <w:pPr>
        <w:pStyle w:val="ListBullet"/>
        <w:spacing w:after="40"/>
      </w:pPr>
      <w:r>
        <w:t>L’administration définit dates, produits éligibles, limites d’utilisation, conditions de cumul et stock des cadeaux.</w:t>
      </w:r>
    </w:p>
    <w:p>
      <w:pPr>
        <w:pStyle w:val="ListBullet"/>
        <w:spacing w:after="40"/>
      </w:pPr>
      <w:r>
        <w:t>Règle du document commercial : une seule réduction/offre par commande, sauf exception explicitement paramétrée.</w:t>
      </w:r>
    </w:p>
    <w:p>
      <w:pPr>
        <w:pStyle w:val="ListBullet"/>
        <w:spacing w:after="40"/>
      </w:pPr>
      <w:r>
        <w:t>Les frais de livraison ne sont pas réduits par les promotions, sauf décision contraire affichée clairement.</w:t>
      </w:r>
    </w:p>
    <w:p>
      <w:pPr>
        <w:pStyle w:val="Heading2"/>
      </w:pPr>
      <w:r>
        <w:t>7.3 Précommandes</w:t>
      </w:r>
    </w:p>
    <w:p>
      <w:pPr>
        <w:pStyle w:val="ListBullet"/>
        <w:spacing w:after="40"/>
      </w:pPr>
      <w:r>
        <w:t>Disponibles uniquement pour les produits permanents temporairement en rupture de stock.</w:t>
      </w:r>
    </w:p>
    <w:p>
      <w:pPr>
        <w:pStyle w:val="ListBullet"/>
        <w:spacing w:after="40"/>
      </w:pPr>
      <w:r>
        <w:t>Réduction prévue de 10 % sur les précommandes.</w:t>
      </w:r>
    </w:p>
    <w:p>
      <w:pPr>
        <w:pStyle w:val="ListBullet"/>
        <w:spacing w:after="40"/>
      </w:pPr>
      <w:r>
        <w:t>Précommandes enregistrées séparément et prioritaires lors du réapprovisionnement.</w:t>
      </w:r>
    </w:p>
    <w:p>
      <w:pPr>
        <w:pStyle w:val="ListBullet"/>
        <w:spacing w:after="40"/>
      </w:pPr>
      <w:r>
        <w:t>À la réception du stock, les quantités nécessaires aux précommandes sont réservées avant la remise en vente du reliquat.</w:t>
      </w:r>
    </w:p>
    <w:p>
      <w:pPr>
        <w:pStyle w:val="ListBullet"/>
        <w:spacing w:after="40"/>
      </w:pPr>
      <w:r>
        <w:t>Les éditions limitées en rupture ne sont pas nécessairement précommandables.</w:t>
      </w:r>
    </w:p>
    <w:p>
      <w:pPr>
        <w:pStyle w:val="ListBullet"/>
        <w:spacing w:after="40"/>
      </w:pPr>
      <w:r>
        <w:t>Les délais estimés, conditions d’annulation et modalités de remboursement des précommandes doivent être affichés avant paiement.</w:t>
      </w:r>
    </w:p>
    <w:p>
      <w:pPr>
        <w:pStyle w:val="Heading1"/>
      </w:pPr>
      <w:r>
        <w:t>8. Programme VIP et fidélité</w:t>
      </w:r>
    </w:p>
    <w:p>
      <w:pPr>
        <w:pStyle w:val="Heading2"/>
      </w:pPr>
      <w:r>
        <w:t>8.1 Cadeaux VIP</w:t>
      </w:r>
    </w:p>
    <w:tbl>
      <w:tblPr>
        <w:tblStyle w:val="LightShading-Accent1"/>
        <w:tblW w:type="auto" w:w="0"/>
        <w:tblLook w:firstColumn="1" w:firstRow="1" w:lastColumn="0" w:lastRow="0" w:noHBand="0" w:noVBand="1" w:val="04A0"/>
      </w:tblPr>
      <w:tblGrid>
        <w:gridCol w:w="4968"/>
        <w:gridCol w:w="4968"/>
      </w:tblGrid>
      <w:tr>
        <w:tc>
          <w:tcPr>
            <w:tcW w:type="dxa" w:w="4968"/>
          </w:tcPr>
          <w:p>
            <w:r>
              <w:rPr>
                <w:b/>
                <w:color w:val="704622"/>
              </w:rPr>
              <w:t>Montant de commande prévu</w:t>
            </w:r>
          </w:p>
        </w:tc>
        <w:tc>
          <w:tcPr>
            <w:tcW w:type="dxa" w:w="4968"/>
          </w:tcPr>
          <w:p>
            <w:r>
              <w:rPr>
                <w:b/>
                <w:color w:val="704622"/>
              </w:rPr>
              <w:t>Avantage annoncé dans la politique</w:t>
            </w:r>
          </w:p>
        </w:tc>
      </w:tr>
      <w:tr>
        <w:tc>
          <w:tcPr>
            <w:tcW w:type="dxa" w:w="4968"/>
          </w:tcPr>
          <w:p>
            <w:r>
              <w:t>50 000 à moins de 75 000 FCFA</w:t>
            </w:r>
          </w:p>
        </w:tc>
        <w:tc>
          <w:tcPr>
            <w:tcW w:type="dxa" w:w="4968"/>
          </w:tcPr>
          <w:p>
            <w:r>
              <w:t>1 gloss VIP</w:t>
            </w:r>
          </w:p>
        </w:tc>
      </w:tr>
      <w:tr>
        <w:tc>
          <w:tcPr>
            <w:tcW w:type="dxa" w:w="4968"/>
          </w:tcPr>
          <w:p>
            <w:r>
              <w:t>75 000 à moins de 100 000 FCFA</w:t>
            </w:r>
          </w:p>
        </w:tc>
        <w:tc>
          <w:tcPr>
            <w:tcW w:type="dxa" w:w="4968"/>
          </w:tcPr>
          <w:p>
            <w:r>
              <w:t>2 gloss VIP</w:t>
            </w:r>
          </w:p>
        </w:tc>
      </w:tr>
      <w:tr>
        <w:tc>
          <w:tcPr>
            <w:tcW w:type="dxa" w:w="4968"/>
          </w:tcPr>
          <w:p>
            <w:r>
              <w:t>100 000 FCFA et plus</w:t>
            </w:r>
          </w:p>
        </w:tc>
        <w:tc>
          <w:tcPr>
            <w:tcW w:type="dxa" w:w="4968"/>
          </w:tcPr>
          <w:p>
            <w:r>
              <w:t>3 gloss VIP ou davantage selon les paliers définis</w:t>
            </w:r>
          </w:p>
        </w:tc>
      </w:tr>
    </w:tbl>
    <w:p/>
    <w:p>
      <w:r>
        <w:t>Les cadeaux VIP ne sont pas vendus et dépendent du stock. Le document fourni indique que le montant pris en compte comprend la livraison et qu’un choix de cadeau peut être proposé, avec sélection automatique possible si aucun choix n’est fait. Cette règle doit être confirmée.</w:t>
      </w:r>
    </w:p>
    <w:p>
      <w:pPr>
        <w:pStyle w:val="Heading2"/>
      </w:pPr>
      <w:r>
        <w:t>8.2 Programme de fidélité par points</w:t>
      </w:r>
    </w:p>
    <w:tbl>
      <w:tblPr>
        <w:tblStyle w:val="LightShading-Accent1"/>
        <w:tblW w:type="auto" w:w="0"/>
        <w:tblLook w:firstColumn="1" w:firstRow="1" w:lastColumn="0" w:lastRow="0" w:noHBand="0" w:noVBand="1" w:val="04A0"/>
      </w:tblPr>
      <w:tblGrid>
        <w:gridCol w:w="4968"/>
        <w:gridCol w:w="4968"/>
      </w:tblGrid>
      <w:tr>
        <w:tc>
          <w:tcPr>
            <w:tcW w:type="dxa" w:w="4968"/>
          </w:tcPr>
          <w:p>
            <w:r>
              <w:rPr>
                <w:b/>
                <w:color w:val="704622"/>
              </w:rPr>
              <w:t>Règle</w:t>
            </w:r>
          </w:p>
        </w:tc>
        <w:tc>
          <w:tcPr>
            <w:tcW w:type="dxa" w:w="4968"/>
          </w:tcPr>
          <w:p>
            <w:r>
              <w:rPr>
                <w:b/>
                <w:color w:val="704622"/>
              </w:rPr>
              <w:t>Décision actuelle</w:t>
            </w:r>
          </w:p>
        </w:tc>
      </w:tr>
      <w:tr>
        <w:tc>
          <w:tcPr>
            <w:tcW w:type="dxa" w:w="4968"/>
          </w:tcPr>
          <w:p>
            <w:r>
              <w:t>Acquisition</w:t>
            </w:r>
          </w:p>
        </w:tc>
        <w:tc>
          <w:tcPr>
            <w:tcW w:type="dxa" w:w="4968"/>
          </w:tcPr>
          <w:p>
            <w:r>
              <w:t>1 point par tranche de 1 000 FCFA dépensés</w:t>
            </w:r>
          </w:p>
        </w:tc>
      </w:tr>
      <w:tr>
        <w:tc>
          <w:tcPr>
            <w:tcW w:type="dxa" w:w="4968"/>
          </w:tcPr>
          <w:p>
            <w:r>
              <w:t>Base de calcul</w:t>
            </w:r>
          </w:p>
        </w:tc>
        <w:tc>
          <w:tcPr>
            <w:tcW w:type="dxa" w:w="4968"/>
          </w:tcPr>
          <w:p>
            <w:r>
              <w:t>Montant des produits réellement payé après réductions, hors frais de livraison</w:t>
            </w:r>
          </w:p>
        </w:tc>
      </w:tr>
      <w:tr>
        <w:tc>
          <w:tcPr>
            <w:tcW w:type="dxa" w:w="4968"/>
          </w:tcPr>
          <w:p>
            <w:r>
              <w:t>Crédit des points</w:t>
            </w:r>
          </w:p>
        </w:tc>
        <w:tc>
          <w:tcPr>
            <w:tcW w:type="dxa" w:w="4968"/>
          </w:tcPr>
          <w:p>
            <w:r>
              <w:t>Après livraison de la commande</w:t>
            </w:r>
          </w:p>
        </w:tc>
      </w:tr>
      <w:tr>
        <w:tc>
          <w:tcPr>
            <w:tcW w:type="dxa" w:w="4968"/>
          </w:tcPr>
          <w:p>
            <w:r>
              <w:t>Premier seuil</w:t>
            </w:r>
          </w:p>
        </w:tc>
        <w:tc>
          <w:tcPr>
            <w:tcW w:type="dxa" w:w="4968"/>
          </w:tcPr>
          <w:p>
            <w:r>
              <w:t>50 points, soit environ 50 000 FCFA de dépenses éligibles</w:t>
            </w:r>
          </w:p>
        </w:tc>
      </w:tr>
      <w:tr>
        <w:tc>
          <w:tcPr>
            <w:tcW w:type="dxa" w:w="4968"/>
          </w:tcPr>
          <w:p>
            <w:r>
              <w:t>Récompense</w:t>
            </w:r>
          </w:p>
        </w:tc>
        <w:tc>
          <w:tcPr>
            <w:tcW w:type="dxa" w:w="4968"/>
          </w:tcPr>
          <w:p>
            <w:r>
              <w:t>La cliente choisit entre une réduction et un produit offert</w:t>
            </w:r>
          </w:p>
        </w:tc>
      </w:tr>
      <w:tr>
        <w:tc>
          <w:tcPr>
            <w:tcW w:type="dxa" w:w="4968"/>
          </w:tcPr>
          <w:p>
            <w:r>
              <w:t>Expiration</w:t>
            </w:r>
          </w:p>
        </w:tc>
        <w:tc>
          <w:tcPr>
            <w:tcW w:type="dxa" w:w="4968"/>
          </w:tcPr>
          <w:p>
            <w:r>
              <w:t>Après 12 mois d’inactivité</w:t>
            </w:r>
          </w:p>
        </w:tc>
      </w:tr>
      <w:tr>
        <w:tc>
          <w:tcPr>
            <w:tcW w:type="dxa" w:w="4968"/>
          </w:tcPr>
          <w:p>
            <w:r>
              <w:t>Annulation/remboursement</w:t>
            </w:r>
          </w:p>
        </w:tc>
        <w:tc>
          <w:tcPr>
            <w:tcW w:type="dxa" w:w="4968"/>
          </w:tcPr>
          <w:p>
            <w:r>
              <w:t>Les points liés à la commande annulée ou remboursée sont retirés</w:t>
            </w:r>
          </w:p>
        </w:tc>
      </w:tr>
      <w:tr>
        <w:tc>
          <w:tcPr>
            <w:tcW w:type="dxa" w:w="4968"/>
          </w:tcPr>
          <w:p>
            <w:r>
              <w:t>Utilisation</w:t>
            </w:r>
          </w:p>
        </w:tc>
        <w:tc>
          <w:tcPr>
            <w:tcW w:type="dxa" w:w="4968"/>
          </w:tcPr>
          <w:p>
            <w:r>
              <w:t>Choix manuel au paiement, pas de conversion automatique</w:t>
            </w:r>
          </w:p>
        </w:tc>
      </w:tr>
      <w:tr>
        <w:tc>
          <w:tcPr>
            <w:tcW w:type="dxa" w:w="4968"/>
          </w:tcPr>
          <w:p>
            <w:r>
              <w:t>Historique</w:t>
            </w:r>
          </w:p>
        </w:tc>
        <w:tc>
          <w:tcPr>
            <w:tcW w:type="dxa" w:w="4968"/>
          </w:tcPr>
          <w:p>
            <w:r>
              <w:t>Points gagnés par commande, utilisés, corrections et expirations visibles dans le compte</w:t>
            </w:r>
          </w:p>
        </w:tc>
      </w:tr>
      <w:tr>
        <w:tc>
          <w:tcPr>
            <w:tcW w:type="dxa" w:w="4968"/>
          </w:tcPr>
          <w:p>
            <w:r>
              <w:t>Cumul</w:t>
            </w:r>
          </w:p>
        </w:tc>
        <w:tc>
          <w:tcPr>
            <w:tcW w:type="dxa" w:w="4968"/>
          </w:tcPr>
          <w:p>
            <w:r>
              <w:t>Points et promotions cumulables selon la décision actuelle ; calcul sur le montant payé éligible</w:t>
            </w:r>
          </w:p>
        </w:tc>
      </w:tr>
    </w:tbl>
    <w:p/>
    <w:p>
      <w:r>
        <w:t>À définir avant développement : valeur FCFA de la récompense en réduction, liste et valeur des produits offerts, règles en cas de remboursement partiel et articulation entre cadeaux VIP et points de fidélité.</w:t>
      </w:r>
    </w:p>
    <w:p>
      <w:pPr>
        <w:pStyle w:val="Heading1"/>
      </w:pPr>
      <w:r>
        <w:t>9. Livraison au Sénégal</w:t>
      </w:r>
    </w:p>
    <w:p>
      <w:pPr>
        <w:pStyle w:val="Heading2"/>
      </w:pPr>
      <w:r>
        <w:t>9.1 Zones et créneaux</w:t>
      </w:r>
    </w:p>
    <w:p>
      <w:pPr>
        <w:pStyle w:val="ListBullet"/>
        <w:spacing w:after="40"/>
      </w:pPr>
      <w:r>
        <w:t>Livraison au Sénégal uniquement au lancement.</w:t>
      </w:r>
    </w:p>
    <w:p>
      <w:pPr>
        <w:pStyle w:val="ListBullet"/>
        <w:spacing w:after="40"/>
      </w:pPr>
      <w:r>
        <w:t>Les zones, frais et créneaux sont administrables par zone.</w:t>
      </w:r>
    </w:p>
    <w:p>
      <w:pPr>
        <w:pStyle w:val="ListBullet"/>
        <w:spacing w:after="40"/>
      </w:pPr>
      <w:r>
        <w:t>La cliente choisit une zone et un créneau disponible pendant la commande.</w:t>
      </w:r>
    </w:p>
    <w:p>
      <w:pPr>
        <w:pStyle w:val="ListBullet"/>
        <w:spacing w:after="40"/>
      </w:pPr>
      <w:r>
        <w:t>Le samedi est autorisé selon les disponibilités configurées.</w:t>
      </w:r>
    </w:p>
    <w:p>
      <w:pPr>
        <w:pStyle w:val="ListBullet"/>
        <w:spacing w:after="40"/>
      </w:pPr>
      <w:r>
        <w:t>Le dimanche, l’activité de livraison est fermée.</w:t>
      </w:r>
    </w:p>
    <w:p>
      <w:pPr>
        <w:pStyle w:val="ListBullet"/>
        <w:spacing w:after="40"/>
      </w:pPr>
      <w:r>
        <w:t>Les créneaux affichés doivent tenir compte du planning, de la zone et de la capacité des livreurs.</w:t>
      </w:r>
    </w:p>
    <w:p>
      <w:pPr>
        <w:pStyle w:val="Heading2"/>
      </w:pPr>
      <w:r>
        <w:t>9.2 Livraison impossible et retard</w:t>
      </w:r>
    </w:p>
    <w:p>
      <w:pPr>
        <w:pStyle w:val="ListBullet"/>
        <w:spacing w:after="40"/>
      </w:pPr>
      <w:r>
        <w:t>La cliente doit fournir un numéro joignable et une adresse avec des indications suffisantes.</w:t>
      </w:r>
    </w:p>
    <w:p>
      <w:pPr>
        <w:pStyle w:val="ListBullet"/>
        <w:spacing w:after="40"/>
      </w:pPr>
      <w:r>
        <w:t>En cas d’absence, de cliente injoignable ou d’impossibilité de livraison, la commande peut être reprogrammée au lendemain selon les disponibilités.</w:t>
      </w:r>
    </w:p>
    <w:p>
      <w:pPr>
        <w:pStyle w:val="ListBullet"/>
        <w:spacing w:after="40"/>
      </w:pPr>
      <w:r>
        <w:t>Aucun nouveau frais de livraison n’est appliqué pour une reprogrammation relevant de la procédure prévue.</w:t>
      </w:r>
    </w:p>
    <w:p>
      <w:pPr>
        <w:pStyle w:val="ListBullet"/>
        <w:spacing w:after="40"/>
      </w:pPr>
      <w:r>
        <w:t>En cas de retard important, l’équipe peut informer la cliente et proposer un nouveau délai.</w:t>
      </w:r>
    </w:p>
    <w:p>
      <w:pPr>
        <w:pStyle w:val="ListBullet"/>
        <w:spacing w:after="40"/>
      </w:pPr>
      <w:r>
        <w:t>La date et l’heure de livraison sont enregistrées lorsque la commande est marquée Livrée.</w:t>
      </w:r>
    </w:p>
    <w:p>
      <w:pPr>
        <w:pStyle w:val="Heading2"/>
      </w:pPr>
      <w:r>
        <w:t>9.3 Espace livreur</w:t>
      </w:r>
    </w:p>
    <w:p>
      <w:pPr>
        <w:pStyle w:val="ListBullet"/>
        <w:spacing w:after="40"/>
      </w:pPr>
      <w:r>
        <w:t>Connexion individuelle et accès uniquement aux livraisons attribuées.</w:t>
      </w:r>
    </w:p>
    <w:p>
      <w:pPr>
        <w:pStyle w:val="ListBullet"/>
        <w:spacing w:after="40"/>
      </w:pPr>
      <w:r>
        <w:t>Affichage des informations nécessaires à la livraison, sans accès à l’ensemble des données commerciales.</w:t>
      </w:r>
    </w:p>
    <w:p>
      <w:pPr>
        <w:pStyle w:val="ListBullet"/>
        <w:spacing w:after="40"/>
      </w:pPr>
      <w:r>
        <w:t>Consultation de l’adresse, du téléphone, du créneau et des consignes utiles.</w:t>
      </w:r>
    </w:p>
    <w:p>
      <w:pPr>
        <w:pStyle w:val="ListBullet"/>
        <w:spacing w:after="40"/>
      </w:pPr>
      <w:r>
        <w:t>Mise à jour des statuts et enregistrement du résultat de la livraison.</w:t>
      </w:r>
    </w:p>
    <w:p>
      <w:pPr>
        <w:pStyle w:val="ListBullet"/>
        <w:spacing w:after="40"/>
      </w:pPr>
      <w:r>
        <w:t>Gestion d’un échec de livraison avec motif et proposition de reprogrammation.</w:t>
      </w:r>
    </w:p>
    <w:p>
      <w:pPr>
        <w:pStyle w:val="Heading1"/>
      </w:pPr>
      <w:r>
        <w:t>10. Retours, échanges, remboursements et réclamations</w:t>
      </w:r>
    </w:p>
    <w:p>
      <w:pPr>
        <w:pStyle w:val="Heading2"/>
      </w:pPr>
      <w:r>
        <w:t>10.1 Délais définis dans la politique fournie</w:t>
      </w:r>
    </w:p>
    <w:tbl>
      <w:tblPr>
        <w:tblStyle w:val="LightShading-Accent1"/>
        <w:tblW w:type="auto" w:w="0"/>
        <w:tblLook w:firstColumn="1" w:firstRow="1" w:lastColumn="0" w:lastRow="0" w:noHBand="0" w:noVBand="1" w:val="04A0"/>
      </w:tblPr>
      <w:tblGrid>
        <w:gridCol w:w="4968"/>
        <w:gridCol w:w="4968"/>
      </w:tblGrid>
      <w:tr>
        <w:tc>
          <w:tcPr>
            <w:tcW w:type="dxa" w:w="4968"/>
          </w:tcPr>
          <w:p>
            <w:r>
              <w:rPr>
                <w:b/>
                <w:color w:val="704622"/>
              </w:rPr>
              <w:t>Procédure</w:t>
            </w:r>
          </w:p>
        </w:tc>
        <w:tc>
          <w:tcPr>
            <w:tcW w:type="dxa" w:w="4968"/>
          </w:tcPr>
          <w:p>
            <w:r>
              <w:rPr>
                <w:b/>
                <w:color w:val="704622"/>
              </w:rPr>
              <w:t>Délai de la politique</w:t>
            </w:r>
          </w:p>
        </w:tc>
      </w:tr>
      <w:tr>
        <w:tc>
          <w:tcPr>
            <w:tcW w:type="dxa" w:w="4968"/>
          </w:tcPr>
          <w:p>
            <w:r>
              <w:t>Demande de retour</w:t>
            </w:r>
          </w:p>
        </w:tc>
        <w:tc>
          <w:tcPr>
            <w:tcW w:type="dxa" w:w="4968"/>
          </w:tcPr>
          <w:p>
            <w:r>
              <w:t>24 heures après que la commande est officiellement marquée LIVRÉE</w:t>
            </w:r>
          </w:p>
        </w:tc>
      </w:tr>
      <w:tr>
        <w:tc>
          <w:tcPr>
            <w:tcW w:type="dxa" w:w="4968"/>
          </w:tcPr>
          <w:p>
            <w:r>
              <w:t>Réclamation</w:t>
            </w:r>
          </w:p>
        </w:tc>
        <w:tc>
          <w:tcPr>
            <w:tcW w:type="dxa" w:w="4968"/>
          </w:tcPr>
          <w:p>
            <w:r>
              <w:t>7 jours après que la commande est officiellement marquée LIVRÉE</w:t>
            </w:r>
          </w:p>
        </w:tc>
      </w:tr>
    </w:tbl>
    <w:p/>
    <w:p>
      <w:pPr>
        <w:pStyle w:val="Heading2"/>
      </w:pPr>
      <w:r>
        <w:t>10.2 Formulaires</w:t>
      </w:r>
    </w:p>
    <w:p>
      <w:pPr>
        <w:pStyle w:val="ListBullet"/>
        <w:spacing w:after="40"/>
      </w:pPr>
      <w:r>
        <w:t>Le compte client contient un formulaire rattaché à la commande concernée.</w:t>
      </w:r>
    </w:p>
    <w:p>
      <w:pPr>
        <w:pStyle w:val="ListBullet"/>
        <w:spacing w:after="40"/>
      </w:pPr>
      <w:r>
        <w:t>Champs de réclamation : nom, prénom, téléphone, numéro de commande, type, description et pièces jointes.</w:t>
      </w:r>
    </w:p>
    <w:p>
      <w:pPr>
        <w:pStyle w:val="ListBullet"/>
        <w:spacing w:after="40"/>
      </w:pPr>
      <w:r>
        <w:t>Motifs de retour : produit défectueux, mauvais produit, produit endommagé ou autre motif.</w:t>
      </w:r>
    </w:p>
    <w:p>
      <w:pPr>
        <w:pStyle w:val="ListBullet"/>
        <w:spacing w:after="40"/>
      </w:pPr>
      <w:r>
        <w:t>Types de réclamation : produit, remboursement, échange ou autre.</w:t>
      </w:r>
    </w:p>
    <w:p>
      <w:pPr>
        <w:pStyle w:val="ListBullet"/>
        <w:spacing w:after="40"/>
      </w:pPr>
      <w:r>
        <w:t>Possibilité de joindre photos et vidéos. Les fichiers doivent être limités en taille/type, contrôlés et stockés de manière sécurisée.</w:t>
      </w:r>
    </w:p>
    <w:p>
      <w:pPr>
        <w:pStyle w:val="Heading2"/>
      </w:pPr>
      <w:r>
        <w:t>10.3 Traitement administratif</w:t>
      </w:r>
    </w:p>
    <w:p>
      <w:pPr>
        <w:pStyle w:val="ListBullet"/>
        <w:spacing w:after="40"/>
      </w:pPr>
      <w:r>
        <w:t>À l’envoi, confirmation automatique à la cliente et création d’un dossier visible par l’administration.</w:t>
      </w:r>
    </w:p>
    <w:p>
      <w:pPr>
        <w:pStyle w:val="ListBullet"/>
        <w:spacing w:after="40"/>
      </w:pPr>
      <w:r>
        <w:t>Statuts de retour : En attente, Accepté, Refusé, Retour reçu.</w:t>
      </w:r>
    </w:p>
    <w:p>
      <w:pPr>
        <w:pStyle w:val="ListBullet"/>
        <w:spacing w:after="40"/>
      </w:pPr>
      <w:r>
        <w:t>Statuts de réclamation : Réclamation reçue, En cours, Résolue.</w:t>
      </w:r>
    </w:p>
    <w:p>
      <w:pPr>
        <w:pStyle w:val="ListBullet"/>
        <w:spacing w:after="40"/>
      </w:pPr>
      <w:r>
        <w:t>La cliente reçoit une notification lors des changements importants. Le canal exact (site, e-mail ou autre) doit être arrêté et configuré.</w:t>
      </w:r>
    </w:p>
    <w:p>
      <w:pPr>
        <w:pStyle w:val="ListBullet"/>
        <w:spacing w:after="40"/>
      </w:pPr>
      <w:r>
        <w:t>Le retour accepté doit être récupéré et vérifié avant tout remboursement lié à ce retour.</w:t>
      </w:r>
    </w:p>
    <w:p>
      <w:pPr>
        <w:pStyle w:val="ListBullet"/>
        <w:spacing w:after="40"/>
      </w:pPr>
      <w:r>
        <w:t>Après vérification, l’équipe consigne la décision et les motifs dans le dossier.</w:t>
      </w:r>
    </w:p>
    <w:p>
      <w:pPr>
        <w:pStyle w:val="Heading2"/>
      </w:pPr>
      <w:r>
        <w:t>10.4 Solutions possibles et frais</w:t>
      </w:r>
    </w:p>
    <w:p>
      <w:pPr>
        <w:pStyle w:val="ListBullet"/>
        <w:spacing w:after="40"/>
      </w:pPr>
      <w:r>
        <w:t>Solutions envisagées : remplacement, remboursement total ou partiel, ou refus motivé lorsque légalement justifié.</w:t>
      </w:r>
    </w:p>
    <w:p>
      <w:pPr>
        <w:pStyle w:val="ListBullet"/>
        <w:spacing w:after="40"/>
      </w:pPr>
      <w:r>
        <w:t>La préférence exprimée dans les échanges est de laisser la cliente choisir entre remplacement et remboursement pour une réclamation acceptée, selon les conditions applicables et la disponibilité. La politique écrite permet aussi une décision au cas par cas : cette articulation doit être harmonisée.</w:t>
      </w:r>
    </w:p>
    <w:p>
      <w:pPr>
        <w:pStyle w:val="ListBullet"/>
        <w:spacing w:after="40"/>
      </w:pPr>
      <w:r>
        <w:t>Les frais de retour et de réexpédition sont déterminés selon la situation et consignés dans le dossier.</w:t>
      </w:r>
    </w:p>
    <w:p>
      <w:pPr>
        <w:pStyle w:val="ListBullet"/>
        <w:spacing w:after="40"/>
      </w:pPr>
      <w:r>
        <w:t>Un produit retourné n’est pas automatiquement remis en stock.</w:t>
      </w:r>
    </w:p>
    <w:p>
      <w:pPr>
        <w:pStyle w:val="ListBullet"/>
        <w:spacing w:after="40"/>
      </w:pPr>
      <w:r>
        <w:t>Les remboursements sont réalisés sur le moyen de paiement d’origine lorsque techniquement possible.</w:t>
      </w:r>
    </w:p>
    <w:p>
      <w:r>
        <w:t>Important : les délais, exclusions, refus, retenues et règles de remboursement doivent être vérifiés par rapport aux obligations légales applicables au Sénégal. Une politique interne ne peut pas supprimer les droits légaux des clientes.</w:t>
      </w:r>
    </w:p>
    <w:p>
      <w:pPr>
        <w:pStyle w:val="Heading1"/>
      </w:pPr>
      <w:r>
        <w:t>11. Espace client</w:t>
      </w:r>
    </w:p>
    <w:p>
      <w:pPr>
        <w:pStyle w:val="ListBullet"/>
        <w:spacing w:after="40"/>
      </w:pPr>
      <w:r>
        <w:t>Tableau de bord avec commandes récentes, statuts et accès rapide aux fonctions principales.</w:t>
      </w:r>
    </w:p>
    <w:p>
      <w:pPr>
        <w:pStyle w:val="ListBullet"/>
        <w:spacing w:after="40"/>
      </w:pPr>
      <w:r>
        <w:t>Historique de commandes, détails, montants, dates et numéros.</w:t>
      </w:r>
    </w:p>
    <w:p>
      <w:pPr>
        <w:pStyle w:val="ListBullet"/>
        <w:spacing w:after="40"/>
      </w:pPr>
      <w:r>
        <w:t>Suivi de commande depuis le compte et page de suivi séparée avec numéro de commande et vérification d’identité appropriée.</w:t>
      </w:r>
    </w:p>
    <w:p>
      <w:pPr>
        <w:pStyle w:val="ListBullet"/>
        <w:spacing w:after="40"/>
      </w:pPr>
      <w:r>
        <w:t>Favoris synchronisés avec le compte.</w:t>
      </w:r>
    </w:p>
    <w:p>
      <w:pPr>
        <w:pStyle w:val="ListBullet"/>
        <w:spacing w:after="40"/>
      </w:pPr>
      <w:r>
        <w:t>Points fidélité : solde, historique, expiration et récompenses disponibles.</w:t>
      </w:r>
    </w:p>
    <w:p>
      <w:pPr>
        <w:pStyle w:val="ListBullet"/>
        <w:spacing w:after="40"/>
      </w:pPr>
      <w:r>
        <w:t>Formulaires et historique des retours/réclamations.</w:t>
      </w:r>
    </w:p>
    <w:p>
      <w:pPr>
        <w:pStyle w:val="ListBullet"/>
        <w:spacing w:after="40"/>
      </w:pPr>
      <w:r>
        <w:t>Avis publiables uniquement après une commande livrée, soumis à modération.</w:t>
      </w:r>
    </w:p>
    <w:p>
      <w:pPr>
        <w:pStyle w:val="ListBullet"/>
        <w:spacing w:after="40"/>
      </w:pPr>
      <w:r>
        <w:t>Gestion des coordonnées et adresses.</w:t>
      </w:r>
    </w:p>
    <w:p>
      <w:pPr>
        <w:pStyle w:val="ListBullet"/>
        <w:spacing w:after="40"/>
      </w:pPr>
      <w:r>
        <w:t>Possibilité de contacter le service client.</w:t>
      </w:r>
    </w:p>
    <w:p>
      <w:r>
        <w:t>Les notifications prévues dans les décisions récentes sont principalement affichées sur le site et dans le compte. Les notifications automatiques par SMS ou WhatsApp ne sont pas prévues pour l’instant, sauf confirmation ultérieure.</w:t>
      </w:r>
    </w:p>
    <w:p>
      <w:pPr>
        <w:pStyle w:val="Heading1"/>
      </w:pPr>
      <w:r>
        <w:t>12. Administration</w:t>
      </w:r>
    </w:p>
    <w:p>
      <w:pPr>
        <w:pStyle w:val="Heading2"/>
      </w:pPr>
      <w:r>
        <w:t>12.1 Tableau de bord</w:t>
      </w:r>
    </w:p>
    <w:p>
      <w:pPr>
        <w:pStyle w:val="ListBullet"/>
        <w:spacing w:after="40"/>
      </w:pPr>
      <w:r>
        <w:t>Chiffre d’affaires, commandes, clients, produits vendus et évolution sur une période sélectionnable.</w:t>
      </w:r>
    </w:p>
    <w:p>
      <w:pPr>
        <w:pStyle w:val="ListBullet"/>
        <w:spacing w:after="40"/>
      </w:pPr>
      <w:r>
        <w:t>Commandes récentes et alertes de stock faible.</w:t>
      </w:r>
    </w:p>
    <w:p>
      <w:pPr>
        <w:pStyle w:val="ListBullet"/>
        <w:spacing w:after="40"/>
      </w:pPr>
      <w:r>
        <w:t>Produits les plus vendus, répartition des ventes et nouveaux clients.</w:t>
      </w:r>
    </w:p>
    <w:p>
      <w:pPr>
        <w:pStyle w:val="ListBullet"/>
        <w:spacing w:after="40"/>
      </w:pPr>
      <w:r>
        <w:t>Messages clients, avis récents et retours/réclamations à traiter.</w:t>
      </w:r>
    </w:p>
    <w:p>
      <w:pPr>
        <w:pStyle w:val="ListBullet"/>
        <w:spacing w:after="40"/>
      </w:pPr>
      <w:r>
        <w:t>Actions rapides : ajouter un produit, créer une collection, créer une promotion et préparer une campagne.</w:t>
      </w:r>
    </w:p>
    <w:p>
      <w:pPr>
        <w:pStyle w:val="Heading2"/>
      </w:pPr>
      <w:r>
        <w:t>12.2 Gestion fonctionnelle</w:t>
      </w:r>
    </w:p>
    <w:tbl>
      <w:tblPr>
        <w:tblStyle w:val="LightShading-Accent1"/>
        <w:tblW w:type="auto" w:w="0"/>
        <w:tblLook w:firstColumn="1" w:firstRow="1" w:lastColumn="0" w:lastRow="0" w:noHBand="0" w:noVBand="1" w:val="04A0"/>
      </w:tblPr>
      <w:tblGrid>
        <w:gridCol w:w="4968"/>
        <w:gridCol w:w="4968"/>
      </w:tblGrid>
      <w:tr>
        <w:tc>
          <w:tcPr>
            <w:tcW w:type="dxa" w:w="4968"/>
          </w:tcPr>
          <w:p>
            <w:r>
              <w:rPr>
                <w:b/>
                <w:color w:val="704622"/>
              </w:rPr>
              <w:t>Module</w:t>
            </w:r>
          </w:p>
        </w:tc>
        <w:tc>
          <w:tcPr>
            <w:tcW w:type="dxa" w:w="4968"/>
          </w:tcPr>
          <w:p>
            <w:r>
              <w:rPr>
                <w:b/>
                <w:color w:val="704622"/>
              </w:rPr>
              <w:t>Fonctions attendues</w:t>
            </w:r>
          </w:p>
        </w:tc>
      </w:tr>
      <w:tr>
        <w:tc>
          <w:tcPr>
            <w:tcW w:type="dxa" w:w="4968"/>
          </w:tcPr>
          <w:p>
            <w:r>
              <w:t>Commandes</w:t>
            </w:r>
          </w:p>
        </w:tc>
        <w:tc>
          <w:tcPr>
            <w:tcW w:type="dxa" w:w="4968"/>
          </w:tcPr>
          <w:p>
            <w:r>
              <w:t>Recherche, détail, statut, paiement, annulation, historique, livraison et remboursement</w:t>
            </w:r>
          </w:p>
        </w:tc>
      </w:tr>
      <w:tr>
        <w:tc>
          <w:tcPr>
            <w:tcW w:type="dxa" w:w="4968"/>
          </w:tcPr>
          <w:p>
            <w:r>
              <w:t>Produits</w:t>
            </w:r>
          </w:p>
        </w:tc>
        <w:tc>
          <w:tcPr>
            <w:tcW w:type="dxa" w:w="4968"/>
          </w:tcPr>
          <w:p>
            <w:r>
              <w:t>Création, édition, variantes, photos, prix, catégories, stock et visibilité</w:t>
            </w:r>
          </w:p>
        </w:tc>
      </w:tr>
      <w:tr>
        <w:tc>
          <w:tcPr>
            <w:tcW w:type="dxa" w:w="4968"/>
          </w:tcPr>
          <w:p>
            <w:r>
              <w:t>Collections</w:t>
            </w:r>
          </w:p>
        </w:tc>
        <w:tc>
          <w:tcPr>
            <w:tcW w:type="dxa" w:w="4968"/>
          </w:tcPr>
          <w:p>
            <w:r>
              <w:t>Collections permanentes, éditions limitées, ordre et dates d’affichage</w:t>
            </w:r>
          </w:p>
        </w:tc>
      </w:tr>
      <w:tr>
        <w:tc>
          <w:tcPr>
            <w:tcW w:type="dxa" w:w="4968"/>
          </w:tcPr>
          <w:p>
            <w:r>
              <w:t>Stock</w:t>
            </w:r>
          </w:p>
        </w:tc>
        <w:tc>
          <w:tcPr>
            <w:tcW w:type="dxa" w:w="4968"/>
          </w:tcPr>
          <w:p>
            <w:r>
              <w:t>Décrémentation après confirmation de paiement selon la règle choisie, seuils d’alerte, blocage de vente à zéro et journal des mouvements</w:t>
            </w:r>
          </w:p>
        </w:tc>
      </w:tr>
      <w:tr>
        <w:tc>
          <w:tcPr>
            <w:tcW w:type="dxa" w:w="4968"/>
          </w:tcPr>
          <w:p>
            <w:r>
              <w:t>Clients</w:t>
            </w:r>
          </w:p>
        </w:tc>
        <w:tc>
          <w:tcPr>
            <w:tcW w:type="dxa" w:w="4968"/>
          </w:tcPr>
          <w:p>
            <w:r>
              <w:t>Profil, historique d’achat, points et demandes, accès limité selon rôle</w:t>
            </w:r>
          </w:p>
        </w:tc>
      </w:tr>
      <w:tr>
        <w:tc>
          <w:tcPr>
            <w:tcW w:type="dxa" w:w="4968"/>
          </w:tcPr>
          <w:p>
            <w:r>
              <w:t>Promotions</w:t>
            </w:r>
          </w:p>
        </w:tc>
        <w:tc>
          <w:tcPr>
            <w:tcW w:type="dxa" w:w="4968"/>
          </w:tcPr>
          <w:p>
            <w:r>
              <w:t>Codes, dates, réductions, cadeaux, bundles, limites, cumul et éligibilité</w:t>
            </w:r>
          </w:p>
        </w:tc>
      </w:tr>
      <w:tr>
        <w:tc>
          <w:tcPr>
            <w:tcW w:type="dxa" w:w="4968"/>
          </w:tcPr>
          <w:p>
            <w:r>
              <w:t>VIP/fidélité</w:t>
            </w:r>
          </w:p>
        </w:tc>
        <w:tc>
          <w:tcPr>
            <w:tcW w:type="dxa" w:w="4968"/>
          </w:tcPr>
          <w:p>
            <w:r>
              <w:t>Seuils, récompenses, mouvements de points et historique</w:t>
            </w:r>
          </w:p>
        </w:tc>
      </w:tr>
      <w:tr>
        <w:tc>
          <w:tcPr>
            <w:tcW w:type="dxa" w:w="4968"/>
          </w:tcPr>
          <w:p>
            <w:r>
              <w:t>Livraison</w:t>
            </w:r>
          </w:p>
        </w:tc>
        <w:tc>
          <w:tcPr>
            <w:tcW w:type="dxa" w:w="4968"/>
          </w:tcPr>
          <w:p>
            <w:r>
              <w:t>Zones, tarifs, créneaux, capacité, affectation et incidents</w:t>
            </w:r>
          </w:p>
        </w:tc>
      </w:tr>
      <w:tr>
        <w:tc>
          <w:tcPr>
            <w:tcW w:type="dxa" w:w="4968"/>
          </w:tcPr>
          <w:p>
            <w:r>
              <w:t>Retours/réclamations</w:t>
            </w:r>
          </w:p>
        </w:tc>
        <w:tc>
          <w:tcPr>
            <w:tcW w:type="dxa" w:w="4968"/>
          </w:tcPr>
          <w:p>
            <w:r>
              <w:t>Dossiers, pièces jointes, décision, frais et historique</w:t>
            </w:r>
          </w:p>
        </w:tc>
      </w:tr>
      <w:tr>
        <w:tc>
          <w:tcPr>
            <w:tcW w:type="dxa" w:w="4968"/>
          </w:tcPr>
          <w:p>
            <w:r>
              <w:t>Avis</w:t>
            </w:r>
          </w:p>
        </w:tc>
        <w:tc>
          <w:tcPr>
            <w:tcW w:type="dxa" w:w="4968"/>
          </w:tcPr>
          <w:p>
            <w:r>
              <w:t>Validation, refus motivé et publication</w:t>
            </w:r>
          </w:p>
        </w:tc>
      </w:tr>
      <w:tr>
        <w:tc>
          <w:tcPr>
            <w:tcW w:type="dxa" w:w="4968"/>
          </w:tcPr>
          <w:p>
            <w:r>
              <w:t>Messages/FAQ</w:t>
            </w:r>
          </w:p>
        </w:tc>
        <w:tc>
          <w:tcPr>
            <w:tcW w:type="dxa" w:w="4968"/>
          </w:tcPr>
          <w:p>
            <w:r>
              <w:t>Messages de contact, questions et réponses</w:t>
            </w:r>
          </w:p>
        </w:tc>
      </w:tr>
      <w:tr>
        <w:tc>
          <w:tcPr>
            <w:tcW w:type="dxa" w:w="4968"/>
          </w:tcPr>
          <w:p>
            <w:r>
              <w:t>Paramètres</w:t>
            </w:r>
          </w:p>
        </w:tc>
        <w:tc>
          <w:tcPr>
            <w:tcW w:type="dxa" w:w="4968"/>
          </w:tcPr>
          <w:p>
            <w:r>
              <w:t>Comptes administrateurs, rôles, paiements, SMS, coordonnées, politiques et configuration du site</w:t>
            </w:r>
          </w:p>
        </w:tc>
      </w:tr>
    </w:tbl>
    <w:p/>
    <w:p>
      <w:pPr>
        <w:pStyle w:val="Heading2"/>
      </w:pPr>
      <w:r>
        <w:t>12.3 Rôles et accès</w:t>
      </w:r>
    </w:p>
    <w:p>
      <w:pPr>
        <w:pStyle w:val="ListBullet"/>
        <w:spacing w:after="40"/>
      </w:pPr>
      <w:r>
        <w:t>Administrateur principal avec droits étendus et double authentification obligatoire.</w:t>
      </w:r>
    </w:p>
    <w:p>
      <w:pPr>
        <w:pStyle w:val="ListBullet"/>
        <w:spacing w:after="40"/>
      </w:pPr>
      <w:r>
        <w:t>Comptes professionnels nominatifs, avec droits limités au besoin.</w:t>
      </w:r>
    </w:p>
    <w:p>
      <w:pPr>
        <w:pStyle w:val="ListBullet"/>
        <w:spacing w:after="40"/>
      </w:pPr>
      <w:r>
        <w:t>Livreur séparé de l’administration et limité aux commandes qui lui sont attribuées.</w:t>
      </w:r>
    </w:p>
    <w:p>
      <w:pPr>
        <w:pStyle w:val="ListBullet"/>
        <w:spacing w:after="40"/>
      </w:pPr>
      <w:r>
        <w:t>Journal des actions sensibles : modification de prix, stock, remboursements, changements de statut et gestion des comptes.</w:t>
      </w:r>
    </w:p>
    <w:p>
      <w:pPr>
        <w:pStyle w:val="Heading1"/>
      </w:pPr>
      <w:r>
        <w:t>13. Contact, FAQ, avis et collaborations</w:t>
      </w:r>
    </w:p>
    <w:p>
      <w:pPr>
        <w:pStyle w:val="ListBullet"/>
        <w:spacing w:after="40"/>
      </w:pPr>
      <w:r>
        <w:t>Formulaire de contact avec nom, adresse e-mail ou téléphone, sujet et message.</w:t>
      </w:r>
    </w:p>
    <w:p>
      <w:pPr>
        <w:pStyle w:val="ListBullet"/>
        <w:spacing w:after="40"/>
      </w:pPr>
      <w:r>
        <w:t>Coordonnées réelles, horaires et liens officiels à fournir avant publication ; aucune coordonnée de démonstration ne doit rester en production.</w:t>
      </w:r>
    </w:p>
    <w:p>
      <w:pPr>
        <w:pStyle w:val="ListBullet"/>
        <w:spacing w:after="40"/>
      </w:pPr>
      <w:r>
        <w:t>WhatsApp comme canal de contact, sans promettre de notifications automatiques si elles ne sont pas intégrées.</w:t>
      </w:r>
    </w:p>
    <w:p>
      <w:pPr>
        <w:pStyle w:val="ListBullet"/>
        <w:spacing w:after="40"/>
      </w:pPr>
      <w:r>
        <w:t>FAQ complète : commandes, paiement, livraison, produits, retours, remboursements, fidélité et compte client.</w:t>
      </w:r>
    </w:p>
    <w:p>
      <w:pPr>
        <w:pStyle w:val="ListBullet"/>
        <w:spacing w:after="40"/>
      </w:pPr>
      <w:r>
        <w:t>Avis vérifiés après commande livrée, avec note, commentaire et éventuellement photo/vidéo si la fonctionnalité est activée.</w:t>
      </w:r>
    </w:p>
    <w:p>
      <w:pPr>
        <w:pStyle w:val="ListBullet"/>
        <w:spacing w:after="40"/>
      </w:pPr>
      <w:r>
        <w:t>Le formulaire de collaboration envoie une demande sans garantir son acceptation.</w:t>
      </w:r>
    </w:p>
    <w:p>
      <w:pPr>
        <w:pStyle w:val="ListBullet"/>
        <w:spacing w:after="40"/>
      </w:pPr>
      <w:r>
        <w:t>Pas de programme de parrainage au lancement.</w:t>
      </w:r>
    </w:p>
    <w:p>
      <w:pPr>
        <w:pStyle w:val="Heading1"/>
      </w:pPr>
      <w:r>
        <w:t>14. Coffrets et options cadeaux</w:t>
      </w:r>
    </w:p>
    <w:p>
      <w:pPr>
        <w:pStyle w:val="ListBullet"/>
        <w:spacing w:after="40"/>
      </w:pPr>
      <w:r>
        <w:t>Coffrets cadeaux prédéfinis disponibles dans une page dédiée.</w:t>
      </w:r>
    </w:p>
    <w:p>
      <w:pPr>
        <w:pStyle w:val="ListBullet"/>
        <w:spacing w:after="40"/>
      </w:pPr>
      <w:r>
        <w:t>Emballage cadeau premium proposé comme option payante.</w:t>
      </w:r>
    </w:p>
    <w:p>
      <w:pPr>
        <w:pStyle w:val="ListBullet"/>
        <w:spacing w:after="40"/>
      </w:pPr>
      <w:r>
        <w:t>Message cadeau personnalisé saisi par la cliente, sans supplément prévu pour le message.</w:t>
      </w:r>
    </w:p>
    <w:p>
      <w:pPr>
        <w:pStyle w:val="ListBullet"/>
        <w:spacing w:after="40"/>
      </w:pPr>
      <w:r>
        <w:t>Les cartes cadeaux sont reportées à une phase ultérieure.</w:t>
      </w:r>
    </w:p>
    <w:p>
      <w:pPr>
        <w:pStyle w:val="Heading1"/>
      </w:pPr>
      <w:r>
        <w:t>15. Données personnelles et sécurité</w:t>
      </w:r>
    </w:p>
    <w:p>
      <w:pPr>
        <w:pStyle w:val="ListBullet"/>
        <w:spacing w:after="40"/>
      </w:pPr>
      <w:r>
        <w:t>Collecter uniquement les données nécessaires au compte, au paiement, à la livraison, aux avis et aux demandes de support.</w:t>
      </w:r>
    </w:p>
    <w:p>
      <w:pPr>
        <w:pStyle w:val="ListBullet"/>
        <w:spacing w:after="40"/>
      </w:pPr>
      <w:r>
        <w:t>Limiter les accès aux données selon le rôle et le besoin opérationnel.</w:t>
      </w:r>
    </w:p>
    <w:p>
      <w:pPr>
        <w:pStyle w:val="ListBullet"/>
        <w:spacing w:after="40"/>
      </w:pPr>
      <w:r>
        <w:t>Sécuriser les mots de passe/jetons, les sessions, les pièces jointes et les échanges réseau.</w:t>
      </w:r>
    </w:p>
    <w:p>
      <w:pPr>
        <w:pStyle w:val="ListBullet"/>
        <w:spacing w:after="40"/>
      </w:pPr>
      <w:r>
        <w:t>OTP : durée d’expiration, limitation des tentatives, protection contre les abus et journalisation adaptée.</w:t>
      </w:r>
    </w:p>
    <w:p>
      <w:pPr>
        <w:pStyle w:val="ListBullet"/>
        <w:spacing w:after="40"/>
      </w:pPr>
      <w:r>
        <w:t>Administration : double authentification du compte principal, comptes nominatifs et journal des actions.</w:t>
      </w:r>
    </w:p>
    <w:p>
      <w:pPr>
        <w:pStyle w:val="ListBullet"/>
        <w:spacing w:after="40"/>
      </w:pPr>
      <w:r>
        <w:t>Paiements : ne jamais stocker les données sensibles de paiement si le prestataire peut les gérer directement.</w:t>
      </w:r>
    </w:p>
    <w:p>
      <w:pPr>
        <w:pStyle w:val="ListBullet"/>
        <w:spacing w:after="40"/>
      </w:pPr>
      <w:r>
        <w:t>Sauvegardes régulières, procédure de restauration, mises à jour de sécurité et plan de gestion des incidents.</w:t>
      </w:r>
    </w:p>
    <w:p>
      <w:pPr>
        <w:pStyle w:val="ListBullet"/>
        <w:spacing w:after="40"/>
      </w:pPr>
      <w:r>
        <w:t>Politique de confidentialité précisant finalités, durées de conservation, prestataires, droits des personnes et contacts.</w:t>
      </w:r>
    </w:p>
    <w:p>
      <w:pPr>
        <w:pStyle w:val="ListBullet"/>
        <w:spacing w:after="40"/>
      </w:pPr>
      <w:r>
        <w:t>Vérification juridique des mentions légales, conditions générales et obligations de protection des données au Sénégal.</w:t>
      </w:r>
    </w:p>
    <w:p>
      <w:pPr>
        <w:pStyle w:val="Heading1"/>
      </w:pPr>
      <w:r>
        <w:t>16. Exigences techniques et qualité</w:t>
      </w:r>
    </w:p>
    <w:p>
      <w:pPr>
        <w:pStyle w:val="ListBullet"/>
        <w:spacing w:after="40"/>
      </w:pPr>
      <w:r>
        <w:t>Site responsive et mobile-first, compatible avec les navigateurs modernes sur téléphone, tablette et ordinateur.</w:t>
      </w:r>
    </w:p>
    <w:p>
      <w:pPr>
        <w:pStyle w:val="ListBullet"/>
        <w:spacing w:after="40"/>
      </w:pPr>
      <w:r>
        <w:t>Pages optimisées pour le chargement : images compressées, formats adaptés, chargement différé et limitation des scripts inutiles.</w:t>
      </w:r>
    </w:p>
    <w:p>
      <w:pPr>
        <w:pStyle w:val="ListBullet"/>
        <w:spacing w:after="40"/>
      </w:pPr>
      <w:r>
        <w:t>Architecture permettant de faire évoluer les produits, catégories, zones et règles commerciales sans réécrire le site.</w:t>
      </w:r>
    </w:p>
    <w:p>
      <w:pPr>
        <w:pStyle w:val="ListBullet"/>
        <w:spacing w:after="40"/>
      </w:pPr>
      <w:r>
        <w:t>Moteur de recherche, navigation claire et URL compréhensibles.</w:t>
      </w:r>
    </w:p>
    <w:p>
      <w:pPr>
        <w:pStyle w:val="ListBullet"/>
        <w:spacing w:after="40"/>
      </w:pPr>
      <w:r>
        <w:t>Gestion des erreurs, pages 404, états de chargement et confirmations explicites.</w:t>
      </w:r>
    </w:p>
    <w:p>
      <w:pPr>
        <w:pStyle w:val="ListBullet"/>
        <w:spacing w:after="40"/>
      </w:pPr>
      <w:r>
        <w:t>Référencement de base : titres, descriptions, URLs, textes alternatifs des images, sitemap et métadonnées.</w:t>
      </w:r>
    </w:p>
    <w:p>
      <w:pPr>
        <w:pStyle w:val="ListBullet"/>
        <w:spacing w:after="40"/>
      </w:pPr>
      <w:r>
        <w:t>Accessibilité : contraste suffisant, champs étiquetés, navigation clavier et messages d’erreur compréhensibles.</w:t>
      </w:r>
    </w:p>
    <w:p>
      <w:pPr>
        <w:pStyle w:val="ListBullet"/>
        <w:spacing w:after="40"/>
      </w:pPr>
      <w:r>
        <w:t>Environnement de test distinct de la production, déploiement contrôlé et documentation technique.</w:t>
      </w:r>
    </w:p>
    <w:p>
      <w:r>
        <w:t>La technologie, l’hébergement, le nom de domaine, le CMS/framework et les outils de mesure restent à choisir par accord avec le développeur. Les choix doivent être documentés et tenir compte du coût de maintenance.</w:t>
      </w:r>
    </w:p>
    <w:p>
      <w:pPr>
        <w:pStyle w:val="Heading1"/>
      </w:pPr>
      <w:r>
        <w:t>17. Intégrations externes nécessaires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color w:val="704622"/>
              </w:rPr>
              <w:t>Intégration</w:t>
            </w:r>
          </w:p>
        </w:tc>
        <w:tc>
          <w:tcPr>
            <w:tcW w:type="dxa" w:w="3312"/>
          </w:tcPr>
          <w:p>
            <w:r>
              <w:rPr>
                <w:b/>
                <w:color w:val="704622"/>
              </w:rPr>
              <w:t>Utilité</w:t>
            </w:r>
          </w:p>
        </w:tc>
        <w:tc>
          <w:tcPr>
            <w:tcW w:type="dxa" w:w="3312"/>
          </w:tcPr>
          <w:p>
            <w:r>
              <w:rPr>
                <w:b/>
                <w:color w:val="704622"/>
              </w:rPr>
              <w:t>À prévoir</w:t>
            </w:r>
          </w:p>
        </w:tc>
      </w:tr>
      <w:tr>
        <w:tc>
          <w:tcPr>
            <w:tcW w:type="dxa" w:w="3312"/>
          </w:tcPr>
          <w:p>
            <w:r>
              <w:t>Wave</w:t>
            </w:r>
          </w:p>
        </w:tc>
        <w:tc>
          <w:tcPr>
            <w:tcW w:type="dxa" w:w="3312"/>
          </w:tcPr>
          <w:p>
            <w:r>
              <w:t>Paiement et, si disponible, remboursement</w:t>
            </w:r>
          </w:p>
        </w:tc>
        <w:tc>
          <w:tcPr>
            <w:tcW w:type="dxa" w:w="3312"/>
          </w:tcPr>
          <w:p>
            <w:r>
              <w:t>Compte marchand, API, tests, webhooks et rapprochement</w:t>
            </w:r>
          </w:p>
        </w:tc>
      </w:tr>
      <w:tr>
        <w:tc>
          <w:tcPr>
            <w:tcW w:type="dxa" w:w="3312"/>
          </w:tcPr>
          <w:p>
            <w:r>
              <w:t>Orange Money</w:t>
            </w:r>
          </w:p>
        </w:tc>
        <w:tc>
          <w:tcPr>
            <w:tcW w:type="dxa" w:w="3312"/>
          </w:tcPr>
          <w:p>
            <w:r>
              <w:t>Paiement et, si disponible, remboursement</w:t>
            </w:r>
          </w:p>
        </w:tc>
        <w:tc>
          <w:tcPr>
            <w:tcW w:type="dxa" w:w="3312"/>
          </w:tcPr>
          <w:p>
            <w:r>
              <w:t>Compte marchand, API, tests, webhooks et rapprochement</w:t>
            </w:r>
          </w:p>
        </w:tc>
      </w:tr>
      <w:tr>
        <w:tc>
          <w:tcPr>
            <w:tcW w:type="dxa" w:w="3312"/>
          </w:tcPr>
          <w:p>
            <w:r>
              <w:t>SMS/OTP</w:t>
            </w:r>
          </w:p>
        </w:tc>
        <w:tc>
          <w:tcPr>
            <w:tcW w:type="dxa" w:w="3312"/>
          </w:tcPr>
          <w:p>
            <w:r>
              <w:t>Connexion par téléphone</w:t>
            </w:r>
          </w:p>
        </w:tc>
        <w:tc>
          <w:tcPr>
            <w:tcW w:type="dxa" w:w="3312"/>
          </w:tcPr>
          <w:p>
            <w:r>
              <w:t>Prestataire, coûts, délivrabilité et protection contre les abus</w:t>
            </w:r>
          </w:p>
        </w:tc>
      </w:tr>
      <w:tr>
        <w:tc>
          <w:tcPr>
            <w:tcW w:type="dxa" w:w="3312"/>
          </w:tcPr>
          <w:p>
            <w:r>
              <w:t>E-mail</w:t>
            </w:r>
          </w:p>
        </w:tc>
        <w:tc>
          <w:tcPr>
            <w:tcW w:type="dxa" w:w="3312"/>
          </w:tcPr>
          <w:p>
            <w:r>
              <w:t>Confirmation et messages de service si retenus</w:t>
            </w:r>
          </w:p>
        </w:tc>
        <w:tc>
          <w:tcPr>
            <w:tcW w:type="dxa" w:w="3312"/>
          </w:tcPr>
          <w:p>
            <w:r>
              <w:t>Service d’envoi, authentification du domaine et modèles</w:t>
            </w:r>
          </w:p>
        </w:tc>
      </w:tr>
      <w:tr>
        <w:tc>
          <w:tcPr>
            <w:tcW w:type="dxa" w:w="3312"/>
          </w:tcPr>
          <w:p>
            <w:r>
              <w:t>WhatsApp</w:t>
            </w:r>
          </w:p>
        </w:tc>
        <w:tc>
          <w:tcPr>
            <w:tcW w:type="dxa" w:w="3312"/>
          </w:tcPr>
          <w:p>
            <w:r>
              <w:t>Contact client</w:t>
            </w:r>
          </w:p>
        </w:tc>
        <w:tc>
          <w:tcPr>
            <w:tcW w:type="dxa" w:w="3312"/>
          </w:tcPr>
          <w:p>
            <w:r>
              <w:t>Lien officiel et numéro validé ; automatisation non incluse sans intégration distincte</w:t>
            </w:r>
          </w:p>
        </w:tc>
      </w:tr>
      <w:tr>
        <w:tc>
          <w:tcPr>
            <w:tcW w:type="dxa" w:w="3312"/>
          </w:tcPr>
          <w:p>
            <w:r>
              <w:t>Analytique</w:t>
            </w:r>
          </w:p>
        </w:tc>
        <w:tc>
          <w:tcPr>
            <w:tcW w:type="dxa" w:w="3312"/>
          </w:tcPr>
          <w:p>
            <w:r>
              <w:t>Mesure de fréquentation et de conversion</w:t>
            </w:r>
          </w:p>
        </w:tc>
        <w:tc>
          <w:tcPr>
            <w:tcW w:type="dxa" w:w="3312"/>
          </w:tcPr>
          <w:p>
            <w:r>
              <w:t>Outil à sélectionner, consentement si nécessaire et minimisation des données</w:t>
            </w:r>
          </w:p>
        </w:tc>
      </w:tr>
    </w:tbl>
    <w:p/>
    <w:p>
      <w:r>
        <w:t>La présence d’un bouton ou d’une maquette ne signifie pas que l’intégration est active. Chaque service doit être configuré, testé et validé avant la mise en ligne.</w:t>
      </w:r>
    </w:p>
    <w:p>
      <w:pPr>
        <w:pStyle w:val="Heading1"/>
      </w:pPr>
      <w:r>
        <w:t>18. Politiques commerciales à publier</w:t>
      </w:r>
    </w:p>
    <w:p>
      <w:pPr>
        <w:pStyle w:val="ListBullet"/>
        <w:spacing w:after="40"/>
      </w:pPr>
      <w:r>
        <w:t>Politique de livraison : Sénégal, tarifs par zone, créneaux disponibles, samedi selon disponibilités, dimanche fermé, reprogrammation et suivi.</w:t>
      </w:r>
    </w:p>
    <w:p>
      <w:pPr>
        <w:pStyle w:val="ListBullet"/>
        <w:spacing w:after="40"/>
      </w:pPr>
      <w:r>
        <w:t>Politique de retours, échanges, remboursements et réclamations : retour sous 24 heures, réclamation sous 7 jours à partir du statut Livrée, justificatifs et étapes de traitement.</w:t>
      </w:r>
    </w:p>
    <w:p>
      <w:pPr>
        <w:pStyle w:val="ListBullet"/>
        <w:spacing w:after="40"/>
      </w:pPr>
      <w:r>
        <w:t>Politique de commande, paiement et annulation : commande définitive après confirmation réelle du paiement, moyens de paiement, promotions, précommandes et annulations.</w:t>
      </w:r>
    </w:p>
    <w:p>
      <w:pPr>
        <w:pStyle w:val="ListBullet"/>
        <w:spacing w:after="40"/>
      </w:pPr>
      <w:r>
        <w:t>Conditions générales d’utilisation/vente selon le périmètre juridique validé.</w:t>
      </w:r>
    </w:p>
    <w:p>
      <w:pPr>
        <w:pStyle w:val="ListBullet"/>
        <w:spacing w:after="40"/>
      </w:pPr>
      <w:r>
        <w:t>Politique de confidentialité et traitement des données.</w:t>
      </w:r>
    </w:p>
    <w:p>
      <w:pPr>
        <w:pStyle w:val="ListBullet"/>
        <w:spacing w:after="40"/>
      </w:pPr>
      <w:r>
        <w:t>Mentions légales avec identité et coordonnées officielles de l’entreprise.</w:t>
      </w:r>
    </w:p>
    <w:p>
      <w:r>
        <w:t>Les textes commerciaux transmis sous le nom ALYA Cosmetic doivent être adaptés à AMANI Cosmetics avant publication. Les éléments juridiques doivent être vérifiés par une personne compétente au regard du droit sénégalais.</w:t>
      </w:r>
    </w:p>
    <w:p>
      <w:pPr>
        <w:pStyle w:val="Heading1"/>
      </w:pPr>
      <w:r>
        <w:t>19. Critères de recette et d’acceptation</w:t>
      </w:r>
    </w:p>
    <w:p>
      <w:pPr>
        <w:pStyle w:val="ListNumber"/>
        <w:spacing w:after="40"/>
      </w:pPr>
      <w:r>
        <w:t>Le site s’affiche correctement sur mobile, tablette et ordinateur.</w:t>
      </w:r>
    </w:p>
    <w:p>
      <w:pPr>
        <w:pStyle w:val="ListNumber"/>
        <w:spacing w:after="40"/>
      </w:pPr>
      <w:r>
        <w:t>Les pages et menus de l’arborescence sont accessibles et cohérents.</w:t>
      </w:r>
    </w:p>
    <w:p>
      <w:pPr>
        <w:pStyle w:val="ListNumber"/>
        <w:spacing w:after="40"/>
      </w:pPr>
      <w:r>
        <w:t>Les filtres, recherches, variantes, favoris et panier fonctionnent comme prévu.</w:t>
      </w:r>
    </w:p>
    <w:p>
      <w:pPr>
        <w:pStyle w:val="ListNumber"/>
        <w:spacing w:after="40"/>
      </w:pPr>
      <w:r>
        <w:t>Une commande n’est créée comme définitive qu’après confirmation vérifiée du paiement.</w:t>
      </w:r>
    </w:p>
    <w:p>
      <w:pPr>
        <w:pStyle w:val="ListNumber"/>
        <w:spacing w:after="40"/>
      </w:pPr>
      <w:r>
        <w:t>Un paiement échoué ou non confirmé ne déclenche pas une vente définitive ni une décrémentation définitive du stock.</w:t>
      </w:r>
    </w:p>
    <w:p>
      <w:pPr>
        <w:pStyle w:val="ListNumber"/>
        <w:spacing w:after="40"/>
      </w:pPr>
      <w:r>
        <w:t>Les frais de livraison correspondent à la zone et au créneau sélectionnés.</w:t>
      </w:r>
    </w:p>
    <w:p>
      <w:pPr>
        <w:pStyle w:val="ListNumber"/>
        <w:spacing w:after="40"/>
      </w:pPr>
      <w:r>
        <w:t>Les stocks, alertes et blocages de rupture suivent les règles configurées.</w:t>
      </w:r>
    </w:p>
    <w:p>
      <w:pPr>
        <w:pStyle w:val="ListNumber"/>
        <w:spacing w:after="40"/>
      </w:pPr>
      <w:r>
        <w:t>Les promotions respectent les conditions de cumul et les dates définies.</w:t>
      </w:r>
    </w:p>
    <w:p>
      <w:pPr>
        <w:pStyle w:val="ListNumber"/>
        <w:spacing w:after="40"/>
      </w:pPr>
      <w:r>
        <w:t>Les points de fidélité sont calculés, crédités après livraison et corrigés en cas d’annulation/remboursement selon les règles validées.</w:t>
      </w:r>
    </w:p>
    <w:p>
      <w:pPr>
        <w:pStyle w:val="ListNumber"/>
        <w:spacing w:after="40"/>
      </w:pPr>
      <w:r>
        <w:t>Les clientes peuvent suivre leurs commandes et déposer des retours/réclamations dans les délais configurés.</w:t>
      </w:r>
    </w:p>
    <w:p>
      <w:pPr>
        <w:pStyle w:val="ListNumber"/>
        <w:spacing w:after="40"/>
      </w:pPr>
      <w:r>
        <w:t>L’administration peut traiter commandes, stocks, produits, clients, promotions, avis et dossiers de support.</w:t>
      </w:r>
    </w:p>
    <w:p>
      <w:pPr>
        <w:pStyle w:val="ListNumber"/>
        <w:spacing w:after="40"/>
      </w:pPr>
      <w:r>
        <w:t>Un livreur ne voit que les livraisons qui lui sont attribuées.</w:t>
      </w:r>
    </w:p>
    <w:p>
      <w:pPr>
        <w:pStyle w:val="ListNumber"/>
        <w:spacing w:after="40"/>
      </w:pPr>
      <w:r>
        <w:t>La double authentification de l’administrateur principal est active.</w:t>
      </w:r>
    </w:p>
    <w:p>
      <w:pPr>
        <w:pStyle w:val="ListNumber"/>
        <w:spacing w:after="40"/>
      </w:pPr>
      <w:r>
        <w:t>Les notifications, confirmations, e-mails/SMS retenus et erreurs sont testés.</w:t>
      </w:r>
    </w:p>
    <w:p>
      <w:pPr>
        <w:pStyle w:val="ListNumber"/>
        <w:spacing w:after="40"/>
      </w:pPr>
      <w:r>
        <w:t>Les pages légales, contacts, prix, frais, conditions et mentions de paiement sont corrects avant mise en production.</w:t>
      </w:r>
    </w:p>
    <w:p>
      <w:pPr>
        <w:pStyle w:val="Heading1"/>
      </w:pPr>
      <w:r>
        <w:t>20. Livrables attendus du prestataire</w:t>
      </w:r>
    </w:p>
    <w:p>
      <w:pPr>
        <w:pStyle w:val="ListBullet"/>
        <w:spacing w:after="40"/>
      </w:pPr>
      <w:r>
        <w:t>Maquettes validées des principales pages desktop et mobile.</w:t>
      </w:r>
    </w:p>
    <w:p>
      <w:pPr>
        <w:pStyle w:val="ListBullet"/>
        <w:spacing w:after="40"/>
      </w:pPr>
      <w:r>
        <w:t>Site développé et configuré sur un environnement de test.</w:t>
      </w:r>
    </w:p>
    <w:p>
      <w:pPr>
        <w:pStyle w:val="ListBullet"/>
        <w:spacing w:after="40"/>
      </w:pPr>
      <w:r>
        <w:t>Intégrations de paiement, OTP et notifications prévues dans le périmètre.</w:t>
      </w:r>
    </w:p>
    <w:p>
      <w:pPr>
        <w:pStyle w:val="ListBullet"/>
        <w:spacing w:after="40"/>
      </w:pPr>
      <w:r>
        <w:t>Interface d’administration et espace livreur.</w:t>
      </w:r>
    </w:p>
    <w:p>
      <w:pPr>
        <w:pStyle w:val="ListBullet"/>
        <w:spacing w:after="40"/>
      </w:pPr>
      <w:r>
        <w:t>Tests fonctionnels, sécurité de base et corrections de recette.</w:t>
      </w:r>
    </w:p>
    <w:p>
      <w:pPr>
        <w:pStyle w:val="ListBullet"/>
        <w:spacing w:after="40"/>
      </w:pPr>
      <w:r>
        <w:t>Documentation d’utilisation pour l’administration et les livreurs.</w:t>
      </w:r>
    </w:p>
    <w:p>
      <w:pPr>
        <w:pStyle w:val="ListBullet"/>
        <w:spacing w:after="40"/>
      </w:pPr>
      <w:r>
        <w:t>Documentation technique et inventaire des services tiers utilisés.</w:t>
      </w:r>
    </w:p>
    <w:p>
      <w:pPr>
        <w:pStyle w:val="ListBullet"/>
        <w:spacing w:after="40"/>
      </w:pPr>
      <w:r>
        <w:t>Accès propriétaire au nom de domaine, hébergement, comptes marchands, comptes d’envoi et dépôt de code si applicable.</w:t>
      </w:r>
    </w:p>
    <w:p>
      <w:pPr>
        <w:pStyle w:val="ListBullet"/>
        <w:spacing w:after="40"/>
      </w:pPr>
      <w:r>
        <w:t>Procédure de sauvegarde, restauration, maintenance et gestion des incidents.</w:t>
      </w:r>
    </w:p>
    <w:p>
      <w:pPr>
        <w:pStyle w:val="ListBullet"/>
        <w:spacing w:after="40"/>
      </w:pPr>
      <w:r>
        <w:t>Mise en production après validation écrite.</w:t>
      </w:r>
    </w:p>
    <w:p>
      <w:pPr>
        <w:pStyle w:val="Heading1"/>
      </w:pPr>
      <w:r>
        <w:t>21. Points à arbitrer avant le développement final</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color w:val="704622"/>
              </w:rPr>
              <w:t>Priorité</w:t>
            </w:r>
          </w:p>
        </w:tc>
        <w:tc>
          <w:tcPr>
            <w:tcW w:type="dxa" w:w="3312"/>
          </w:tcPr>
          <w:p>
            <w:r>
              <w:rPr>
                <w:b/>
                <w:color w:val="704622"/>
              </w:rPr>
              <w:t>Point à trancher</w:t>
            </w:r>
          </w:p>
        </w:tc>
        <w:tc>
          <w:tcPr>
            <w:tcW w:type="dxa" w:w="3312"/>
          </w:tcPr>
          <w:p>
            <w:r>
              <w:rPr>
                <w:b/>
                <w:color w:val="704622"/>
              </w:rPr>
              <w:t>Pourquoi c’est important</w:t>
            </w:r>
          </w:p>
        </w:tc>
      </w:tr>
      <w:tr>
        <w:tc>
          <w:tcPr>
            <w:tcW w:type="dxa" w:w="3312"/>
          </w:tcPr>
          <w:p>
            <w:r>
              <w:t>Bloquant</w:t>
            </w:r>
          </w:p>
        </w:tc>
        <w:tc>
          <w:tcPr>
            <w:tcW w:type="dxa" w:w="3312"/>
          </w:tcPr>
          <w:p>
            <w:r>
              <w:t>Règle d’annulation et retenue de 10 %</w:t>
            </w:r>
          </w:p>
        </w:tc>
        <w:tc>
          <w:tcPr>
            <w:tcW w:type="dxa" w:w="3312"/>
          </w:tcPr>
          <w:p>
            <w:r>
              <w:t>La retenue est proposée dans le texte, mais n’a pas été confirmée et doit être juridiquement vérifiée.</w:t>
            </w:r>
          </w:p>
        </w:tc>
      </w:tr>
      <w:tr>
        <w:tc>
          <w:tcPr>
            <w:tcW w:type="dxa" w:w="3312"/>
          </w:tcPr>
          <w:p>
            <w:r>
              <w:t>Bloquant</w:t>
            </w:r>
          </w:p>
        </w:tc>
        <w:tc>
          <w:tcPr>
            <w:tcW w:type="dxa" w:w="3312"/>
          </w:tcPr>
          <w:p>
            <w:r>
              <w:t>Articulation retour 24 h / réclamation 7 jours</w:t>
            </w:r>
          </w:p>
        </w:tc>
        <w:tc>
          <w:tcPr>
            <w:tcW w:type="dxa" w:w="3312"/>
          </w:tcPr>
          <w:p>
            <w:r>
              <w:t>Définir la différence entre retour commercial et réclamation pour défaut, erreur ou dommage, sans réduire les droits légaux.</w:t>
            </w:r>
          </w:p>
        </w:tc>
      </w:tr>
      <w:tr>
        <w:tc>
          <w:tcPr>
            <w:tcW w:type="dxa" w:w="3312"/>
          </w:tcPr>
          <w:p>
            <w:r>
              <w:t>Bloquant</w:t>
            </w:r>
          </w:p>
        </w:tc>
        <w:tc>
          <w:tcPr>
            <w:tcW w:type="dxa" w:w="3312"/>
          </w:tcPr>
          <w:p>
            <w:r>
              <w:t>Solution d’une réclamation acceptée</w:t>
            </w:r>
          </w:p>
        </w:tc>
        <w:tc>
          <w:tcPr>
            <w:tcW w:type="dxa" w:w="3312"/>
          </w:tcPr>
          <w:p>
            <w:r>
              <w:t>Harmoniser le choix cliente entre remplacement/remboursement avec les possibilités de remboursement partiel et les règles applicables.</w:t>
            </w:r>
          </w:p>
        </w:tc>
      </w:tr>
      <w:tr>
        <w:tc>
          <w:tcPr>
            <w:tcW w:type="dxa" w:w="3312"/>
          </w:tcPr>
          <w:p>
            <w:r>
              <w:t>Bloquant</w:t>
            </w:r>
          </w:p>
        </w:tc>
        <w:tc>
          <w:tcPr>
            <w:tcW w:type="dxa" w:w="3312"/>
          </w:tcPr>
          <w:p>
            <w:r>
              <w:t>Compte obligatoire</w:t>
            </w:r>
          </w:p>
        </w:tc>
        <w:tc>
          <w:tcPr>
            <w:tcW w:type="dxa" w:w="3312"/>
          </w:tcPr>
          <w:p>
            <w:r>
              <w:t>Décision récente : compte obligatoire ; le texte plus ancien autorise la commande sans compte. Le présent cahier retient le compte obligatoire.</w:t>
            </w:r>
          </w:p>
        </w:tc>
      </w:tr>
      <w:tr>
        <w:tc>
          <w:tcPr>
            <w:tcW w:type="dxa" w:w="3312"/>
          </w:tcPr>
          <w:p>
            <w:r>
              <w:t>Important</w:t>
            </w:r>
          </w:p>
        </w:tc>
        <w:tc>
          <w:tcPr>
            <w:tcW w:type="dxa" w:w="3312"/>
          </w:tcPr>
          <w:p>
            <w:r>
              <w:t>Numérotation des commandes</w:t>
            </w:r>
          </w:p>
        </w:tc>
        <w:tc>
          <w:tcPr>
            <w:tcW w:type="dxa" w:w="3312"/>
          </w:tcPr>
          <w:p>
            <w:r>
              <w:t>Choisir un format unique : séquence simple ou référence de type #AMN10234.</w:t>
            </w:r>
          </w:p>
        </w:tc>
      </w:tr>
      <w:tr>
        <w:tc>
          <w:tcPr>
            <w:tcW w:type="dxa" w:w="3312"/>
          </w:tcPr>
          <w:p>
            <w:r>
              <w:t>Important</w:t>
            </w:r>
          </w:p>
        </w:tc>
        <w:tc>
          <w:tcPr>
            <w:tcW w:type="dxa" w:w="3312"/>
          </w:tcPr>
          <w:p>
            <w:r>
              <w:t>Programme VIP et fidélité</w:t>
            </w:r>
          </w:p>
        </w:tc>
        <w:tc>
          <w:tcPr>
            <w:tcW w:type="dxa" w:w="3312"/>
          </w:tcPr>
          <w:p>
            <w:r>
              <w:t>Confirmer si les cadeaux VIP sont maintenus en plus des points, et fixer le barème exact à partir de 100 000 FCFA.</w:t>
            </w:r>
          </w:p>
        </w:tc>
      </w:tr>
      <w:tr>
        <w:tc>
          <w:tcPr>
            <w:tcW w:type="dxa" w:w="3312"/>
          </w:tcPr>
          <w:p>
            <w:r>
              <w:t>Important</w:t>
            </w:r>
          </w:p>
        </w:tc>
        <w:tc>
          <w:tcPr>
            <w:tcW w:type="dxa" w:w="3312"/>
          </w:tcPr>
          <w:p>
            <w:r>
              <w:t>Base du seuil VIP</w:t>
            </w:r>
          </w:p>
        </w:tc>
        <w:tc>
          <w:tcPr>
            <w:tcW w:type="dxa" w:w="3312"/>
          </w:tcPr>
          <w:p>
            <w:r>
              <w:t>Confirmer si le seuil est calculé livraison comprise, alors que les points sont calculés hors livraison.</w:t>
            </w:r>
          </w:p>
        </w:tc>
      </w:tr>
      <w:tr>
        <w:tc>
          <w:tcPr>
            <w:tcW w:type="dxa" w:w="3312"/>
          </w:tcPr>
          <w:p>
            <w:r>
              <w:t>Important</w:t>
            </w:r>
          </w:p>
        </w:tc>
        <w:tc>
          <w:tcPr>
            <w:tcW w:type="dxa" w:w="3312"/>
          </w:tcPr>
          <w:p>
            <w:r>
              <w:t>Valeur des points</w:t>
            </w:r>
          </w:p>
        </w:tc>
        <w:tc>
          <w:tcPr>
            <w:tcW w:type="dxa" w:w="3312"/>
          </w:tcPr>
          <w:p>
            <w:r>
              <w:t>Définir la valeur de la réduction et les produits disponibles comme récompenses.</w:t>
            </w:r>
          </w:p>
        </w:tc>
      </w:tr>
      <w:tr>
        <w:tc>
          <w:tcPr>
            <w:tcW w:type="dxa" w:w="3312"/>
          </w:tcPr>
          <w:p>
            <w:r>
              <w:t>Important</w:t>
            </w:r>
          </w:p>
        </w:tc>
        <w:tc>
          <w:tcPr>
            <w:tcW w:type="dxa" w:w="3312"/>
          </w:tcPr>
          <w:p>
            <w:r>
              <w:t>Notifications</w:t>
            </w:r>
          </w:p>
        </w:tc>
        <w:tc>
          <w:tcPr>
            <w:tcW w:type="dxa" w:w="3312"/>
          </w:tcPr>
          <w:p>
            <w:r>
              <w:t>Confirmer le canal de notification pour les réclamations et commandes : compte uniquement ou e-mail en plus.</w:t>
            </w:r>
          </w:p>
        </w:tc>
      </w:tr>
      <w:tr>
        <w:tc>
          <w:tcPr>
            <w:tcW w:type="dxa" w:w="3312"/>
          </w:tcPr>
          <w:p>
            <w:r>
              <w:t>Important</w:t>
            </w:r>
          </w:p>
        </w:tc>
        <w:tc>
          <w:tcPr>
            <w:tcW w:type="dxa" w:w="3312"/>
          </w:tcPr>
          <w:p>
            <w:r>
              <w:t>Créneaux et zones</w:t>
            </w:r>
          </w:p>
        </w:tc>
        <w:tc>
          <w:tcPr>
            <w:tcW w:type="dxa" w:w="3312"/>
          </w:tcPr>
          <w:p>
            <w:r>
              <w:t>Fournir la liste officielle des zones, tarifs, jours et capacités de livraison.</w:t>
            </w:r>
          </w:p>
        </w:tc>
      </w:tr>
      <w:tr>
        <w:tc>
          <w:tcPr>
            <w:tcW w:type="dxa" w:w="3312"/>
          </w:tcPr>
          <w:p>
            <w:r>
              <w:t>Important</w:t>
            </w:r>
          </w:p>
        </w:tc>
        <w:tc>
          <w:tcPr>
            <w:tcW w:type="dxa" w:w="3312"/>
          </w:tcPr>
          <w:p>
            <w:r>
              <w:t>Catalogue</w:t>
            </w:r>
          </w:p>
        </w:tc>
        <w:tc>
          <w:tcPr>
            <w:tcW w:type="dxa" w:w="3312"/>
          </w:tcPr>
          <w:p>
            <w:r>
              <w:t>Fournir la liste finale des produits, variantes, prix, ingrédients, photos et stocks.</w:t>
            </w:r>
          </w:p>
        </w:tc>
      </w:tr>
      <w:tr>
        <w:tc>
          <w:tcPr>
            <w:tcW w:type="dxa" w:w="3312"/>
          </w:tcPr>
          <w:p>
            <w:r>
              <w:t>Important</w:t>
            </w:r>
          </w:p>
        </w:tc>
        <w:tc>
          <w:tcPr>
            <w:tcW w:type="dxa" w:w="3312"/>
          </w:tcPr>
          <w:p>
            <w:r>
              <w:t>Données légales</w:t>
            </w:r>
          </w:p>
        </w:tc>
        <w:tc>
          <w:tcPr>
            <w:tcW w:type="dxa" w:w="3312"/>
          </w:tcPr>
          <w:p>
            <w:r>
              <w:t>Fournir la dénomination juridique, coordonnées, contacts et informations légales officielles.</w:t>
            </w:r>
          </w:p>
        </w:tc>
      </w:tr>
      <w:tr>
        <w:tc>
          <w:tcPr>
            <w:tcW w:type="dxa" w:w="3312"/>
          </w:tcPr>
          <w:p>
            <w:r>
              <w:t>À planifier</w:t>
            </w:r>
          </w:p>
        </w:tc>
        <w:tc>
          <w:tcPr>
            <w:tcW w:type="dxa" w:w="3312"/>
          </w:tcPr>
          <w:p>
            <w:r>
              <w:t>FAQ avec barre de recherche</w:t>
            </w:r>
          </w:p>
        </w:tc>
        <w:tc>
          <w:tcPr>
            <w:tcW w:type="dxa" w:w="3312"/>
          </w:tcPr>
          <w:p>
            <w:r>
              <w:t>La FAQ complète est retenue ; la barre de recherche reste à confirmer.</w:t>
            </w:r>
          </w:p>
        </w:tc>
      </w:tr>
      <w:tr>
        <w:tc>
          <w:tcPr>
            <w:tcW w:type="dxa" w:w="3312"/>
          </w:tcPr>
          <w:p>
            <w:r>
              <w:t>À planifier</w:t>
            </w:r>
          </w:p>
        </w:tc>
        <w:tc>
          <w:tcPr>
            <w:tcW w:type="dxa" w:w="3312"/>
          </w:tcPr>
          <w:p>
            <w:r>
              <w:t>Langues</w:t>
            </w:r>
          </w:p>
        </w:tc>
        <w:tc>
          <w:tcPr>
            <w:tcW w:type="dxa" w:w="3312"/>
          </w:tcPr>
          <w:p>
            <w:r>
              <w:t>Le français est retenu pour le lancement ; une version anglaise n’est pas confirmée dans le périmètre actuel.</w:t>
            </w:r>
          </w:p>
        </w:tc>
      </w:tr>
    </w:tbl>
    <w:p/>
    <w:p>
      <w:pPr>
        <w:pStyle w:val="Heading1"/>
      </w:pPr>
      <w:r>
        <w:t>22. Proposition de phases de réalisation</w:t>
      </w:r>
    </w:p>
    <w:tbl>
      <w:tblPr>
        <w:tblStyle w:val="LightShading-Accent1"/>
        <w:tblW w:type="auto" w:w="0"/>
        <w:tblLook w:firstColumn="1" w:firstRow="1" w:lastColumn="0" w:lastRow="0" w:noHBand="0" w:noVBand="1" w:val="04A0"/>
      </w:tblPr>
      <w:tblGrid>
        <w:gridCol w:w="4968"/>
        <w:gridCol w:w="4968"/>
      </w:tblGrid>
      <w:tr>
        <w:tc>
          <w:tcPr>
            <w:tcW w:type="dxa" w:w="4968"/>
          </w:tcPr>
          <w:p>
            <w:r>
              <w:rPr>
                <w:b/>
                <w:color w:val="704622"/>
              </w:rPr>
              <w:t>Phase</w:t>
            </w:r>
          </w:p>
        </w:tc>
        <w:tc>
          <w:tcPr>
            <w:tcW w:type="dxa" w:w="4968"/>
          </w:tcPr>
          <w:p>
            <w:r>
              <w:rPr>
                <w:b/>
                <w:color w:val="704622"/>
              </w:rPr>
              <w:t>Périmètre</w:t>
            </w:r>
          </w:p>
        </w:tc>
      </w:tr>
      <w:tr>
        <w:tc>
          <w:tcPr>
            <w:tcW w:type="dxa" w:w="4968"/>
          </w:tcPr>
          <w:p>
            <w:r>
              <w:t>Phase 1 — Cadrage</w:t>
            </w:r>
          </w:p>
        </w:tc>
        <w:tc>
          <w:tcPr>
            <w:tcW w:type="dxa" w:w="4968"/>
          </w:tcPr>
          <w:p>
            <w:r>
              <w:t>Valider les points bloquants, les règles commerciales, le catalogue et les contenus légaux.</w:t>
            </w:r>
          </w:p>
        </w:tc>
      </w:tr>
      <w:tr>
        <w:tc>
          <w:tcPr>
            <w:tcW w:type="dxa" w:w="4968"/>
          </w:tcPr>
          <w:p>
            <w:r>
              <w:t>Phase 2 — UX/UI</w:t>
            </w:r>
          </w:p>
        </w:tc>
        <w:tc>
          <w:tcPr>
            <w:tcW w:type="dxa" w:w="4968"/>
          </w:tcPr>
          <w:p>
            <w:r>
              <w:t>Finaliser les maquettes desktop/mobile, les composants et les parcours.</w:t>
            </w:r>
          </w:p>
        </w:tc>
      </w:tr>
      <w:tr>
        <w:tc>
          <w:tcPr>
            <w:tcW w:type="dxa" w:w="4968"/>
          </w:tcPr>
          <w:p>
            <w:r>
              <w:t>Phase 3 — Boutique</w:t>
            </w:r>
          </w:p>
        </w:tc>
        <w:tc>
          <w:tcPr>
            <w:tcW w:type="dxa" w:w="4968"/>
          </w:tcPr>
          <w:p>
            <w:r>
              <w:t>Accueil, catalogue, fiches produits, panier, compte et checkout.</w:t>
            </w:r>
          </w:p>
        </w:tc>
      </w:tr>
      <w:tr>
        <w:tc>
          <w:tcPr>
            <w:tcW w:type="dxa" w:w="4968"/>
          </w:tcPr>
          <w:p>
            <w:r>
              <w:t>Phase 4 — Opérations</w:t>
            </w:r>
          </w:p>
        </w:tc>
        <w:tc>
          <w:tcPr>
            <w:tcW w:type="dxa" w:w="4968"/>
          </w:tcPr>
          <w:p>
            <w:r>
              <w:t>Paiement, stock, commandes, livraison, espace client et espace livreur.</w:t>
            </w:r>
          </w:p>
        </w:tc>
      </w:tr>
      <w:tr>
        <w:tc>
          <w:tcPr>
            <w:tcW w:type="dxa" w:w="4968"/>
          </w:tcPr>
          <w:p>
            <w:r>
              <w:t>Phase 5 — Administration</w:t>
            </w:r>
          </w:p>
        </w:tc>
        <w:tc>
          <w:tcPr>
            <w:tcW w:type="dxa" w:w="4968"/>
          </w:tcPr>
          <w:p>
            <w:r>
              <w:t>Produits, promotions, fidélité, retours, réclamations, avis et statistiques.</w:t>
            </w:r>
          </w:p>
        </w:tc>
      </w:tr>
      <w:tr>
        <w:tc>
          <w:tcPr>
            <w:tcW w:type="dxa" w:w="4968"/>
          </w:tcPr>
          <w:p>
            <w:r>
              <w:t>Phase 6 — Tests</w:t>
            </w:r>
          </w:p>
        </w:tc>
        <w:tc>
          <w:tcPr>
            <w:tcW w:type="dxa" w:w="4968"/>
          </w:tcPr>
          <w:p>
            <w:r>
              <w:t>Scénarios de paiement, erreurs, stock, rôles, mobile, sécurité et conformité des textes.</w:t>
            </w:r>
          </w:p>
        </w:tc>
      </w:tr>
      <w:tr>
        <w:tc>
          <w:tcPr>
            <w:tcW w:type="dxa" w:w="4968"/>
          </w:tcPr>
          <w:p>
            <w:r>
              <w:t>Phase 7 — Lancement</w:t>
            </w:r>
          </w:p>
        </w:tc>
        <w:tc>
          <w:tcPr>
            <w:tcW w:type="dxa" w:w="4968"/>
          </w:tcPr>
          <w:p>
            <w:r>
              <w:t>Formation, mise en production, suivi initial et plan de maintenance.</w:t>
            </w:r>
          </w:p>
        </w:tc>
      </w:tr>
    </w:tbl>
    <w:p/>
    <w:p>
      <w:pPr>
        <w:pStyle w:val="Heading1"/>
      </w:pPr>
      <w:r>
        <w:t>23. Conclusion</w:t>
      </w:r>
    </w:p>
    <w:p>
      <w:r>
        <w:t>Le site AMANI Cosmetics doit être une boutique premium, fiable et administrable, avec une expérience mobile soignée et un parcours de commande sécurisé. Le présent cahier des charges rassemble les décisions actuellement connues et constitue une base de discussion avec le développeur. Les points signalés comme à arbitrer doivent être résolus avant la mise en production ; les paiements, SMS, données légales et politiques doivent être réellement configurés et validés.</w:t>
      </w:r>
    </w:p>
    <w:p>
      <w:pPr>
        <w:jc w:val="center"/>
      </w:pPr>
      <w:r>
        <w:rPr>
          <w:rFonts w:ascii="Georgia" w:hAnsi="Georgia"/>
          <w:b/>
          <w:color w:val="A67739"/>
          <w:sz w:val="28"/>
        </w:rPr>
        <w:t>AMANI COSMETICS</w:t>
        <w:br/>
        <w:t>Parce que vous méritez tous de briller.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6450"/>
        <w:sz w:val="16"/>
      </w:rPr>
      <w:t>Document de travail — version 1.0 — 17 octobre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A67739"/>
        <w:sz w:val="16"/>
      </w:rPr>
      <w:t>AMANI COSMETICS  |  CAHIER DES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9372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70462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7046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7046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7046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