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2915D" w14:textId="77777777" w:rsidR="00342575" w:rsidRDefault="00000000">
      <w:pPr>
        <w:pStyle w:val="Heading1"/>
      </w:pPr>
      <w:r>
        <w:t>Methods and Statistical Analysis</w:t>
      </w:r>
    </w:p>
    <w:p w14:paraId="6C6F8E00" w14:textId="77777777" w:rsidR="00342575" w:rsidRDefault="00000000">
      <w:pPr>
        <w:pStyle w:val="Heading2"/>
      </w:pPr>
      <w:r>
        <w:t>Data Source, Case Definitions, and Period Definitions</w:t>
      </w:r>
    </w:p>
    <w:p w14:paraId="0EA78187" w14:textId="77777777" w:rsidR="00342575" w:rsidRDefault="00000000">
      <w:r>
        <w:t>We conducted a population-based mortality trend analysis using the Centers for Disease Control and Prevention (CDC) Wide-ranging Online Data for Epidemiologic Research (CDC WONDER) Multiple Cause of Death database. This public-use dataset contains death certificate data for all U.S. residents and includes both underlying and contributing causes of death coded according to the International Classification of Diseases, Tenth Revision (ICD-10). Because the data are de-identified and publicly available, institutional review board approval was not required.</w:t>
      </w:r>
    </w:p>
    <w:p w14:paraId="4B20BE55" w14:textId="77777777" w:rsidR="00342575" w:rsidRDefault="00000000">
      <w:r>
        <w:t>Deaths related to acute renal failure (ARF) were identified using ICD-10 codes N17–N19 under the subchapter 'Renal failure.' Sepsis-related deaths were identified using ICD-10 codes A40–A41 under 'Other bacterial diseases.' Deaths containing both renal failure and sepsis codes on the same certificate were classified as the combined ARF and sepsis category.</w:t>
      </w:r>
    </w:p>
    <w:p w14:paraId="423295C0" w14:textId="77777777" w:rsidR="00342575" w:rsidRDefault="00000000">
      <w:r>
        <w:t>For trend analyses, we defined four epidemiologic periods to reflect the COVID-19 era: (1) Pre-pandemic (2010–2019); (2) Pandemic (2020–2022); (3) Transition (2023); and (4) Post-pandemic (2024–2025).</w:t>
      </w:r>
    </w:p>
    <w:p w14:paraId="29A7BC8B" w14:textId="77777777" w:rsidR="00342575" w:rsidRDefault="00000000">
      <w:r>
        <w:t>In the provisional mortality database for 2018 and later years, counts representing 1–9 deaths are suppressed to protect confidentiality. Rates calculated from small counts may also be flagged as unreliable. Suppressed counts were treated as missing values and were not imputed. Analyses were restricted to strata with sufficient counts for stable estimation.</w:t>
      </w:r>
    </w:p>
    <w:p w14:paraId="22F8F983" w14:textId="77777777" w:rsidR="00342575" w:rsidRDefault="00000000">
      <w:pPr>
        <w:pStyle w:val="Heading2"/>
      </w:pPr>
      <w:r>
        <w:t>Age Standardization and Mortality Rate Calculation</w:t>
      </w:r>
    </w:p>
    <w:p w14:paraId="4488E856" w14:textId="77777777" w:rsidR="00342575" w:rsidRDefault="00000000">
      <w:r>
        <w:t>Age-adjusted mortality rates (AAMRs) were calculated using direct standardization to the projected year 2000 U.S. standard population. Age-specific mortality rates were computed as:</w:t>
      </w:r>
    </w:p>
    <w:p w14:paraId="3F183646" w14:textId="5AF9BA6D" w:rsidR="00BF10D8" w:rsidRPr="00BF10D8" w:rsidRDefault="00BF10D8">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i</m:t>
                      </m:r>
                    </m:sub>
                  </m:sSub>
                </m:den>
              </m:f>
            </m:e>
          </m:d>
          <m:r>
            <w:rPr>
              <w:rFonts w:ascii="Cambria Math" w:hAnsi="Cambria Math"/>
            </w:rPr>
            <m:t>*100,000</m:t>
          </m:r>
        </m:oMath>
      </m:oMathPara>
    </w:p>
    <w:p w14:paraId="4137DD0D" w14:textId="3C0C64DB" w:rsidR="00342575" w:rsidRPr="00BF10D8" w:rsidRDefault="00000000">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BF10D8">
        <w:t xml:space="preserve"> </w:t>
      </w:r>
      <w:r>
        <w:t xml:space="preserve">represents the number of deaths and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represents the population in age group i. The age-adjusted mortality rate was calculated as:</w:t>
      </w:r>
    </w:p>
    <w:p w14:paraId="5C4F1346" w14:textId="54DF62B4" w:rsidR="00BF10D8" w:rsidRDefault="00BF10D8">
      <m:oMathPara>
        <m:oMath>
          <m:r>
            <w:rPr>
              <w:rFonts w:ascii="Cambria Math" w:hAnsi="Cambria Math"/>
            </w:rPr>
            <m:t>AAMR=</m:t>
          </m:r>
          <m:r>
            <m:rPr>
              <m:sty m:val="p"/>
            </m:rPr>
            <w:rPr>
              <w:rFonts w:ascii="Cambria Math" w:hAnsi="Cambria Math"/>
            </w:rPr>
            <m:t>Σ</m:t>
          </m:r>
          <m:r>
            <m:rPr>
              <m:sty m:val="p"/>
            </m:rPr>
            <w:rPr>
              <w:rFonts w:ascii="Cambria Math"/>
            </w:rPr>
            <m:t>(</m:t>
          </m:r>
          <m:sSub>
            <m:sSubPr>
              <m:ctrlPr>
                <w:rPr>
                  <w:rFonts w:ascii="Cambria Math"/>
                </w:rPr>
              </m:ctrlPr>
            </m:sSubPr>
            <m:e>
              <m:r>
                <m:rPr>
                  <m:sty m:val="p"/>
                </m:rPr>
                <w:rPr>
                  <w:rFonts w:ascii="Cambria Math"/>
                </w:rPr>
                <m:t>r</m:t>
              </m:r>
            </m:e>
            <m:sub>
              <m:r>
                <m:rPr>
                  <m:sty m:val="p"/>
                </m:rPr>
                <w:rPr>
                  <w:rFonts w:ascii="Cambria Math"/>
                </w:rPr>
                <m:t>i</m:t>
              </m:r>
            </m:sub>
          </m:sSub>
          <m:r>
            <m:rPr>
              <m:sty m:val="p"/>
            </m:rPr>
            <w:rPr>
              <w:rFonts w:ascii="Cambria Math"/>
            </w:rPr>
            <m:t>*</m:t>
          </m:r>
          <m:sSub>
            <m:sSubPr>
              <m:ctrlPr>
                <w:rPr>
                  <w:rFonts w:ascii="Cambria Math"/>
                </w:rPr>
              </m:ctrlPr>
            </m:sSubPr>
            <m:e>
              <m:r>
                <m:rPr>
                  <m:sty m:val="p"/>
                </m:rPr>
                <w:rPr>
                  <w:rFonts w:ascii="Cambria Math"/>
                </w:rPr>
                <m:t>w</m:t>
              </m:r>
            </m:e>
            <m:sub>
              <m:r>
                <m:rPr>
                  <m:sty m:val="p"/>
                </m:rPr>
                <w:rPr>
                  <w:rFonts w:ascii="Cambria Math"/>
                </w:rPr>
                <m:t>i</m:t>
              </m:r>
            </m:sub>
          </m:sSub>
          <m:r>
            <m:rPr>
              <m:sty m:val="p"/>
            </m:rPr>
            <w:rPr>
              <w:rFonts w:ascii="Cambria Math"/>
            </w:rPr>
            <m:t>)</m:t>
          </m:r>
        </m:oMath>
      </m:oMathPara>
    </w:p>
    <w:p w14:paraId="75C1FEA6" w14:textId="48E92294" w:rsidR="00342575" w:rsidRDefault="00000000">
      <w:r>
        <w:t xml:space="preserve">where </w:t>
      </w:r>
      <w:proofErr w:type="spellStart"/>
      <w:r>
        <w:t>w_i</w:t>
      </w:r>
      <w:proofErr w:type="spellEnd"/>
      <w:r>
        <w:t xml:space="preserve"> denotes the proportion of the standard population in age group i. For age-band analyses (&lt;20, 20–44, 45–64, and ≥65 years), standard weights were renormalized within each band so that </w:t>
      </w:r>
      <m:oMath>
        <m:r>
          <m:rPr>
            <m:sty m:val="p"/>
          </m:rPr>
          <w:rPr>
            <w:rFonts w:ascii="Cambria Math" w:hAnsi="Cambria Math"/>
          </w:rPr>
          <m:t>Σ</m:t>
        </m:r>
        <m:sSub>
          <m:sSubPr>
            <m:ctrlPr>
              <w:rPr>
                <w:rFonts w:ascii="Cambria Math"/>
              </w:rPr>
            </m:ctrlPr>
          </m:sSubPr>
          <m:e>
            <m:r>
              <m:rPr>
                <m:sty m:val="p"/>
              </m:rPr>
              <w:rPr>
                <w:rFonts w:ascii="Cambria Math"/>
              </w:rPr>
              <m:t>w</m:t>
            </m:r>
          </m:e>
          <m:sub>
            <m:r>
              <m:rPr>
                <m:sty m:val="p"/>
              </m:rPr>
              <w:rPr>
                <w:rFonts w:ascii="Cambria Math"/>
              </w:rPr>
              <m:t>i</m:t>
            </m:r>
          </m:sub>
        </m:sSub>
        <m:r>
          <m:rPr>
            <m:sty m:val="p"/>
          </m:rPr>
          <w:rPr>
            <w:rFonts w:ascii="Cambria Math"/>
          </w:rPr>
          <m:t>=1</m:t>
        </m:r>
      </m:oMath>
      <w:r>
        <w:t>.</w:t>
      </w:r>
    </w:p>
    <w:p w14:paraId="2E5318F2" w14:textId="77777777" w:rsidR="00342575" w:rsidRDefault="00000000">
      <w:r>
        <w:lastRenderedPageBreak/>
        <w:t>Crude mortality rates were calculated as total deaths divided by total population within each analytic stratum and expressed per 100,000 population.</w:t>
      </w:r>
    </w:p>
    <w:p w14:paraId="44F0D275" w14:textId="77777777" w:rsidR="00342575" w:rsidRDefault="00000000">
      <w:pPr>
        <w:pStyle w:val="Heading2"/>
      </w:pPr>
      <w:r>
        <w:t>Annual Percent Change (APC) and Trend Modeling</w:t>
      </w:r>
    </w:p>
    <w:p w14:paraId="65C6A479" w14:textId="77777777" w:rsidR="00342575" w:rsidRDefault="00000000">
      <w:r>
        <w:t>Year-over-year annual percent change (APC) was computed from age-adjusted mortality rates as:</w:t>
      </w:r>
    </w:p>
    <w:p w14:paraId="112A574C" w14:textId="03441648" w:rsidR="00BF10D8" w:rsidRPr="00BF10D8" w:rsidRDefault="00BF10D8">
      <m:oMathPara>
        <m:oMath>
          <m:r>
            <w:rPr>
              <w:rFonts w:ascii="Cambria Math" w:hAnsi="Cambria Math"/>
            </w:rPr>
            <m:t>AP</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100 × </m:t>
          </m:r>
          <m:d>
            <m:dPr>
              <m:ctrlPr>
                <w:rPr>
                  <w:rFonts w:ascii="Cambria Math" w:hAnsi="Cambria Math"/>
                  <w:i/>
                </w:rPr>
              </m:ctrlPr>
            </m:dPr>
            <m:e>
              <m:f>
                <m:fPr>
                  <m:ctrlPr>
                    <w:rPr>
                      <w:rFonts w:ascii="Cambria Math" w:hAnsi="Cambria Math"/>
                      <w:i/>
                    </w:rPr>
                  </m:ctrlPr>
                </m:fPr>
                <m:num>
                  <m:r>
                    <w:rPr>
                      <w:rFonts w:ascii="Cambria Math" w:hAnsi="Cambria Math"/>
                    </w:rPr>
                    <m:t>AAM</m:t>
                  </m:r>
                  <m:sSub>
                    <m:sSubPr>
                      <m:ctrlPr>
                        <w:rPr>
                          <w:rFonts w:ascii="Cambria Math" w:hAnsi="Cambria Math"/>
                          <w:i/>
                        </w:rPr>
                      </m:ctrlPr>
                    </m:sSubPr>
                    <m:e>
                      <m:r>
                        <w:rPr>
                          <w:rFonts w:ascii="Cambria Math" w:hAnsi="Cambria Math"/>
                        </w:rPr>
                        <m:t>R</m:t>
                      </m:r>
                    </m:e>
                    <m:sub>
                      <m:r>
                        <w:rPr>
                          <w:rFonts w:ascii="Cambria Math" w:hAnsi="Cambria Math"/>
                        </w:rPr>
                        <m:t>t</m:t>
                      </m:r>
                    </m:sub>
                  </m:sSub>
                </m:num>
                <m:den>
                  <m:r>
                    <w:rPr>
                      <w:rFonts w:ascii="Cambria Math" w:hAnsi="Cambria Math"/>
                    </w:rPr>
                    <m:t>AAM</m:t>
                  </m:r>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t-1</m:t>
                          </m:r>
                        </m:e>
                      </m:d>
                    </m:sub>
                  </m:sSub>
                </m:den>
              </m:f>
              <m:r>
                <w:rPr>
                  <w:rFonts w:ascii="Cambria Math" w:hAnsi="Cambria Math"/>
                </w:rPr>
                <m:t>- 1</m:t>
              </m:r>
            </m:e>
          </m:d>
        </m:oMath>
      </m:oMathPara>
    </w:p>
    <w:p w14:paraId="7ED56772" w14:textId="77777777" w:rsidR="00342575" w:rsidRDefault="00000000">
      <w:r>
        <w:t>In addition, joinpoint-style log-linear Poisson regression models were fitted to evaluate segmented trends over time. Models included calendar year as a continuous predictor and log(population) as an offset term. The general model form was:</w:t>
      </w:r>
    </w:p>
    <w:p w14:paraId="5ABB6842" w14:textId="629B84D7" w:rsidR="00BF10D8" w:rsidRPr="00BF10D8" w:rsidRDefault="00BF10D8">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t</m:t>
                          </m:r>
                        </m:sub>
                      </m:sSub>
                    </m:e>
                  </m:d>
                </m:e>
              </m:d>
            </m:e>
          </m:func>
          <m:r>
            <w:rPr>
              <w:rFonts w:ascii="Cambria Math" w:hAnsi="Cambria Math"/>
            </w:rPr>
            <m:t>= α + βt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m:oMathPara>
    </w:p>
    <w:p w14:paraId="65E614DF" w14:textId="77777777" w:rsidR="00342575" w:rsidRDefault="00000000">
      <w:r>
        <w:t>Segmented regression allowed slope changes at statistically selected joinpoints. For each segment, APC was derived from the slope parameter as:</w:t>
      </w:r>
    </w:p>
    <w:p w14:paraId="6FEB5F2C" w14:textId="33AF01A3" w:rsidR="00BF10D8" w:rsidRPr="00BF10D8" w:rsidRDefault="00BF10D8">
      <m:oMathPara>
        <m:oMath>
          <m:r>
            <w:rPr>
              <w:rFonts w:ascii="Cambria Math" w:hAnsi="Cambria Math"/>
            </w:rPr>
            <m:t xml:space="preserve">APC = 100 × </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β</m:t>
                      </m:r>
                    </m:e>
                  </m:d>
                </m:e>
              </m:func>
              <m:r>
                <w:rPr>
                  <w:rFonts w:ascii="Cambria Math" w:hAnsi="Cambria Math"/>
                </w:rPr>
                <m:t>- 1</m:t>
              </m:r>
            </m:e>
          </m:d>
        </m:oMath>
      </m:oMathPara>
    </w:p>
    <w:p w14:paraId="24BCF684" w14:textId="77777777" w:rsidR="00342575" w:rsidRDefault="00000000">
      <w:r>
        <w:t>Model selection was based on Bayesian Information Criterion (BIC), with a maximum of two joinpoints and a minimum of three years per segment.</w:t>
      </w:r>
    </w:p>
    <w:p w14:paraId="0049DBE8" w14:textId="211899B6" w:rsidR="00342575" w:rsidRDefault="00000000">
      <w:r>
        <w:t xml:space="preserve">All analyses were conducted using R (version </w:t>
      </w:r>
      <w:r w:rsidR="00BF10D8">
        <w:t>4.5.0</w:t>
      </w:r>
      <w:r>
        <w:t>). Statistical significance was assessed using two-sided tests with α = 0.05.</w:t>
      </w:r>
    </w:p>
    <w:sectPr w:rsidR="003425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250287">
    <w:abstractNumId w:val="8"/>
  </w:num>
  <w:num w:numId="2" w16cid:durableId="2013490061">
    <w:abstractNumId w:val="6"/>
  </w:num>
  <w:num w:numId="3" w16cid:durableId="1695229810">
    <w:abstractNumId w:val="5"/>
  </w:num>
  <w:num w:numId="4" w16cid:durableId="1980458104">
    <w:abstractNumId w:val="4"/>
  </w:num>
  <w:num w:numId="5" w16cid:durableId="2142458051">
    <w:abstractNumId w:val="7"/>
  </w:num>
  <w:num w:numId="6" w16cid:durableId="86662324">
    <w:abstractNumId w:val="3"/>
  </w:num>
  <w:num w:numId="7" w16cid:durableId="2129349011">
    <w:abstractNumId w:val="2"/>
  </w:num>
  <w:num w:numId="8" w16cid:durableId="897277681">
    <w:abstractNumId w:val="1"/>
  </w:num>
  <w:num w:numId="9" w16cid:durableId="75034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575"/>
    <w:rsid w:val="00397E5A"/>
    <w:rsid w:val="00AA1D8D"/>
    <w:rsid w:val="00B47730"/>
    <w:rsid w:val="00BF10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DBDDA"/>
  <w14:defaultImageDpi w14:val="300"/>
  <w15:docId w15:val="{76F9A377-6A42-4DA2-93E6-7426C87C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BF10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490</Words>
  <Characters>2812</Characters>
  <Application>Microsoft Office Word</Application>
  <DocSecurity>0</DocSecurity>
  <Lines>50</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Khaleesi Chen</cp:lastModifiedBy>
  <cp:revision>2</cp:revision>
  <dcterms:created xsi:type="dcterms:W3CDTF">2013-12-23T23:15:00Z</dcterms:created>
  <dcterms:modified xsi:type="dcterms:W3CDTF">2026-02-11T12:49:00Z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3104a5ff-ae45-4753-b10c-f7bbcb766050</vt:lpwstr>
  </property>
</Properties>
</file>