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Table. Joinpoint-style annual percent change (APC) by period, 2010–2025</w:t>
      </w:r>
    </w:p>
    <w:p>
      <w:pPr>
        <w:pStyle w:val="Normal"/>
      </w:pPr>
      <w:r>
        <w:t xml:space="preserve">Values are APC% (95% CI) estimated from log-linear models fit within each period: 2010–2019, 2020–2022, and 2023–2025.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61"/>
        <w:gridCol w:w="2322"/>
        <w:gridCol w:w="2542"/>
        <w:gridCol w:w="2616"/>
      </w:tblGrid>
      <w:tr>
        <w:trPr>
          <w:trHeight w:val="46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Series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2010–2019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2020–2022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2023–2025</w:t>
            </w:r>
          </w:p>
        </w:tc>
      </w:tr>
      <w:tr>
        <w:trPr>
          <w:trHeight w:val="51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 &amp; Sepsis:20–44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4.88 (3.17 to 6.62)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29.23 (-12.29 to 90.39)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-6.23 (-11.31 to -0.86)</w:t>
            </w:r>
          </w:p>
        </w:tc>
      </w:tr>
      <w:tr>
        <w:trPr>
          <w:trHeight w:val="51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 &amp; Sepsis:45–64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 (1.97 to 3.46)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24.47 (-9.21 to 70.66)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-6.53 (-7.92 to -5.11)</w:t>
            </w:r>
          </w:p>
        </w:tc>
      </w:tr>
      <w:tr>
        <w:trPr>
          <w:trHeight w:val="51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 &amp; Sepsis:&lt;20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-56.15 (-85.51 to 32.70)</w:t>
            </w:r>
          </w:p>
        </w:tc>
      </w:tr>
      <w:tr>
        <w:trPr>
          <w:trHeight w:val="51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 &amp; Sepsis:≥65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 (-1.12 to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28.24 (9.99 to 49.52)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 (-5.32 to 0.78)</w:t>
            </w:r>
          </w:p>
        </w:tc>
      </w:tr>
      <w:tr>
        <w:trPr>
          <w:trHeight w:val="51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AKI:20–44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4.15 (3.32 to 4.98)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25.71 (-13.79 to 83.29)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-6.29 (-6.66 to -5.93)</w:t>
            </w:r>
          </w:p>
        </w:tc>
      </w:tr>
      <w:tr>
        <w:trPr>
          <w:trHeight w:val="51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AKI:45–64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(1.17 to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23.88 (-10.77 to 71.98)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-4.69 (-5.44 to -3.94)</w:t>
            </w:r>
          </w:p>
        </w:tc>
      </w:tr>
      <w:tr>
        <w:trPr>
          <w:trHeight w:val="51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AKI:&lt;20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 (-6.49 to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-9.15 (-13.16 to -4.96)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12.01 (0.55 to 24.77)</w:t>
            </w:r>
          </w:p>
        </w:tc>
      </w:tr>
      <w:tr>
        <w:trPr>
          <w:trHeight w:val="51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AKI:≥65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 (-2.16 to -1.60)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24.33 (7.77 to 43.45)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-2.75 (-5.30 to -0.14)</w:t>
            </w:r>
          </w:p>
        </w:tc>
      </w:tr>
      <w:tr>
        <w:trPr>
          <w:trHeight w:val="51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Sepsis:20–44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 (2.13 to 3.32)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(-22.35 to 30.16)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-6.61 (-8.27 to -4.92)</w:t>
            </w:r>
          </w:p>
        </w:tc>
      </w:tr>
      <w:tr>
        <w:trPr>
          <w:trHeight w:val="51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Sepsis:45–64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 (1.24 to 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-1.70 (-18.00 to 17.85)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-4.91 (-5.41 to -4.41)</w:t>
            </w:r>
          </w:p>
        </w:tc>
      </w:tr>
      <w:tr>
        <w:trPr>
          <w:trHeight w:val="51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Sepsis:&lt;20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 (-3.42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10.60 (3.31 to 18.39)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-10.49 (-11.68 to -9.28)</w:t>
            </w:r>
          </w:p>
        </w:tc>
      </w:tr>
      <w:tr>
        <w:trPr>
          <w:trHeight w:val="51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Sepsis:≥65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(0.13 to 1.34)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 (-7.85 to 7.73)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 (-4.04 to 0.58)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2026-02-23T18:29:14Z</dcterms:modified>
  <cp:category/>
</cp:coreProperties>
</file>