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41F3" w14:textId="77777777" w:rsidR="00464603" w:rsidRDefault="00000000">
      <w:pPr>
        <w:pStyle w:val="Heading1"/>
      </w:pPr>
      <w:r>
        <w:t>Methods</w:t>
      </w:r>
    </w:p>
    <w:p w14:paraId="79C3BD4C" w14:textId="77777777" w:rsidR="00464603" w:rsidRDefault="00000000">
      <w:pPr>
        <w:pStyle w:val="Heading2"/>
      </w:pPr>
      <w:r>
        <w:t>Data source and study design</w:t>
      </w:r>
    </w:p>
    <w:p w14:paraId="65420B63" w14:textId="77777777" w:rsidR="00464603" w:rsidRDefault="00000000">
      <w:r>
        <w:t>We conducted a descriptive, population-based analysis of mortality trends related to sepsis and renal failure in the United States using the Centers for Disease Control and Prevention (CDC) Wide-ranging Online Data for Epidemiologic Research (CDC WONDER) Multiple Cause of Death (MCOD) public-use database. MCOD data are derived from U.S. death certificates and include both underlying and contributing causes of death. Because the dataset is de-identified and publicly available, this study did not require institutional review board approval. Reporting follows the Strengthening the Reporting of Observational Studies in Epidemiology (STROBE) guidelines.</w:t>
      </w:r>
    </w:p>
    <w:p w14:paraId="31BBBBB1" w14:textId="77777777" w:rsidR="00464603" w:rsidRDefault="00000000">
      <w:pPr>
        <w:pStyle w:val="Heading2"/>
      </w:pPr>
      <w:r>
        <w:t>Case definitions</w:t>
      </w:r>
    </w:p>
    <w:p w14:paraId="0A1C5044" w14:textId="77777777" w:rsidR="00464603" w:rsidRDefault="00000000">
      <w:r>
        <w:t>Deaths were identified using the International Classification of Diseases, Tenth Revision (ICD-10) multiple-cause coding. Sepsis-related deaths were defined using ICD-10 codes A40–A41. Renal failure–related deaths were defined using ICD-10 codes N17. Deaths in which both sepsis and renal failure codes appeared on the same death certificate were classified as the combined sepsis and renal failure group.</w:t>
      </w:r>
    </w:p>
    <w:p w14:paraId="7B4007CF" w14:textId="77777777" w:rsidR="00464603" w:rsidRDefault="00000000">
      <w:pPr>
        <w:pStyle w:val="Heading2"/>
      </w:pPr>
      <w:r>
        <w:t>Study population and data extraction</w:t>
      </w:r>
    </w:p>
    <w:p w14:paraId="6278787F" w14:textId="77777777" w:rsidR="00464603" w:rsidRDefault="00000000">
      <w:r>
        <w:t>Annual mortality and population denominator data were extracted for all 50 U.S. states and the District of Columbia from 2010 through 2025. Analyses were restricted to individuals aged 25 years and older, using CDC WONDER 10-year age groups (25–34, 35–44, 45–54, 55–64, 65–74, 75–84, and 85 years and older). Stratified analyses were conducted by sex and race.</w:t>
      </w:r>
    </w:p>
    <w:p w14:paraId="42B39A58" w14:textId="77777777" w:rsidR="00464603" w:rsidRDefault="00000000">
      <w:r>
        <w:t>Race and ethnicity were harmonized using the “Race” and “Single Race 6” variables when available. Individuals classified as “Asian or Pacific Islander” were grouped as Asian, while Native Hawaiian or Other Pacific Islander was retained as a separate category. Records with unavailable or suppressed race information were excluded from race-stratified analyses.</w:t>
      </w:r>
    </w:p>
    <w:p w14:paraId="7F35059F" w14:textId="77777777" w:rsidR="00464603" w:rsidRDefault="00000000">
      <w:pPr>
        <w:pStyle w:val="Heading2"/>
      </w:pPr>
      <w:r>
        <w:t>Statistical analysis</w:t>
      </w:r>
    </w:p>
    <w:p w14:paraId="302594EE" w14:textId="77777777" w:rsidR="00464603" w:rsidRDefault="00000000">
      <w:r>
        <w:t>Mortality was summarized using age-adjusted mortality rates (AAMRs). AAMRs per 100,000 population were calculated by direct standardization to the 2000 U.S. standard population using CDC standard million weights for 10-year age groups from 25–34 through 85 years and older. Age-specific mortality rates were multiplied by the corresponding standard weights and summed to obtain AAMRs.</w:t>
      </w:r>
    </w:p>
    <w:p w14:paraId="2CCF4528" w14:textId="77777777" w:rsidR="00464603" w:rsidRDefault="00000000">
      <w:r>
        <w:t>To assess temporal patterns, four pandemic-related periods were defined: pre-pandemic (2010–2019), pandemic (2020–2022), transition (2023), and post-pandemic (2024–2025). Period-specific crude mortality rates were calculated using aggregated deaths and population denominators. Period-specific AAMRs were calculated by aggregating age-specific deaths and populations and applying direct standardization. State-level AAMRs were computed using the same approach to facilitate geographic comparisons.</w:t>
      </w:r>
    </w:p>
    <w:p w14:paraId="269CC914" w14:textId="77777777" w:rsidR="00464603" w:rsidRDefault="00000000">
      <w:r>
        <w:t>To quantify changes relative to baseline mortality, the relative growth in AAMR at the peak year and in 2025 was calculated in reference to the pre-pandemic average AAMR from 2010 to 2019 using the following formula:</w:t>
      </w:r>
    </w:p>
    <w:p w14:paraId="67DACAEC" w14:textId="19C4391A" w:rsidR="00464603" w:rsidRDefault="00466D5E">
      <m:oMathPara>
        <m:oMath>
          <m:r>
            <w:rPr>
              <w:rFonts w:ascii="Cambria Math" w:hAnsi="Cambria Math"/>
            </w:rPr>
            <w:lastRenderedPageBreak/>
            <m:t>Growth rate =</m:t>
          </m:r>
          <m:f>
            <m:fPr>
              <m:ctrlPr>
                <w:rPr>
                  <w:rFonts w:ascii="Cambria Math" w:hAnsi="Cambria Math"/>
                  <w:i/>
                </w:rPr>
              </m:ctrlPr>
            </m:fPr>
            <m:num>
              <m:r>
                <w:rPr>
                  <w:rFonts w:ascii="Cambria Math" w:hAnsi="Cambria Math"/>
                </w:rPr>
                <m:t xml:space="preserve"> (AAMRₜ - AAMR̄₂₀₁₀-₂₀₁₉) </m:t>
              </m:r>
            </m:num>
            <m:den>
              <m:r>
                <w:rPr>
                  <w:rFonts w:ascii="Cambria Math" w:hAnsi="Cambria Math"/>
                </w:rPr>
                <m:t>AAMR̄₂₀₁₀-₂₀₁₉</m:t>
              </m:r>
            </m:den>
          </m:f>
        </m:oMath>
      </m:oMathPara>
    </w:p>
    <w:p w14:paraId="65FFDD3C" w14:textId="77777777" w:rsidR="00466D5E" w:rsidRDefault="00466D5E"/>
    <w:p w14:paraId="1AC599C9" w14:textId="77777777" w:rsidR="00466D5E" w:rsidRDefault="00466D5E"/>
    <w:p w14:paraId="4FA7A496" w14:textId="77777777" w:rsidR="00464603" w:rsidRDefault="00000000">
      <w:pPr>
        <w:pStyle w:val="Heading2"/>
      </w:pPr>
      <w:r>
        <w:t>Software and reproducibility</w:t>
      </w:r>
    </w:p>
    <w:p w14:paraId="6D61FB10" w14:textId="77777777" w:rsidR="00464603" w:rsidRDefault="00000000">
      <w:r>
        <w:t xml:space="preserve">All data management, statistical analyses, and figure generation were conducted using R version 4.5.0 (R Foundation for Statistical Computing). Data cleaning and aggregation were performed using the </w:t>
      </w:r>
      <w:proofErr w:type="spellStart"/>
      <w:r>
        <w:t>tidyverse</w:t>
      </w:r>
      <w:proofErr w:type="spellEnd"/>
      <w:r>
        <w:t xml:space="preserve"> suite of packages, and visualizations were created using ggplot2 and related packages. All analyses were performed using scripted workflows to ensure reproducibility. The analytic code used in this study is available upon reasonable request.</w:t>
      </w:r>
    </w:p>
    <w:sectPr w:rsidR="00464603"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3939318">
    <w:abstractNumId w:val="1"/>
  </w:num>
  <w:num w:numId="2" w16cid:durableId="1405642336">
    <w:abstractNumId w:val="2"/>
  </w:num>
  <w:num w:numId="3" w16cid:durableId="79568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603"/>
    <w:rsid w:val="00464603"/>
    <w:rsid w:val="00466D5E"/>
    <w:rsid w:val="007B5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8157"/>
  <w15:docId w15:val="{CA525568-4946-4B3E-909B-7C70158D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503</Words>
  <Characters>3054</Characters>
  <Application>Microsoft Office Word</Application>
  <DocSecurity>0</DocSecurity>
  <Lines>55</Lines>
  <Paragraphs>17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Khaleesi Chen</cp:lastModifiedBy>
  <cp:revision>10</cp:revision>
  <dcterms:created xsi:type="dcterms:W3CDTF">2017-02-28T11:18:00Z</dcterms:created>
  <dcterms:modified xsi:type="dcterms:W3CDTF">2026-01-17T22:27:00Z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8570c18f-1465-447d-8c7e-af9f66924bec</vt:lpwstr>
  </property>
</Properties>
</file>