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Monthly AAMR Table (2010-2025)</w:t>
      </w:r>
    </w:p>
    <w:p>
      <w:pPr>
        <w:jc w:val="center"/>
      </w:pPr>
      <w:r>
        <w:rPr>
          <w:rFonts w:ascii="Times New Roman" w:hAnsi="Times New Roman"/>
          <w:i/>
          <w:sz w:val="20"/>
        </w:rPr>
        <w:t>Observed and selected-model predicted monthly age-adjusted mortality rates</w:t>
      </w:r>
    </w:p>
    <w:p>
      <w:r>
        <w:rPr>
          <w:rFonts w:ascii="Times New Roman" w:hAnsi="Times New Roman"/>
          <w:b/>
          <w:sz w:val="22"/>
        </w:rPr>
        <w:t>Pneumonia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Age Adjusted Rate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AAMR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16.0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1.9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7.2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6.2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9.2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8.2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5.1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log_linear_month_fe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sz w:val="22"/>
        </w:rPr>
        <w:t>Pneumonia/ARDS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Age Adjusted Rate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AAMR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Pneumonia/ARDS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linear_month_fe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sz w:val="22"/>
        </w:rPr>
        <w:t>Pneumonia/Sepsis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Disease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Validation 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Training Years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Year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Age Adjusted Rate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Predicted AAMR</w:t>
            </w:r>
          </w:p>
        </w:tc>
        <w:tc>
          <w:tcPr>
            <w:tcW w:type="dxa" w:w="1600"/>
            <w:shd w:fill="D9E2F3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Actual - Predicted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-0.1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0.5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1.4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1.2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0.3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2024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Jan.,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1.3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Feb.,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1.1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Apr.,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May.,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Jun.,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Jul.,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Aug.,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Sep.,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0.6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Oct.,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Nov.,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0.2</w:t>
            </w:r>
          </w:p>
        </w:tc>
      </w:tr>
      <w:tr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Pneumonia/Sepsis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anchored_quadratic_month_fe_30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&lt;NA&gt;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2010-2019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Dec., 2025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0.9</w:t>
            </w:r>
          </w:p>
        </w:tc>
        <w:tc>
          <w:tcPr>
            <w:tcW w:type="dxa" w:w="1600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>0.1</w:t>
            </w:r>
          </w:p>
        </w:tc>
      </w:tr>
    </w:tbl>
    <w:p/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