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04CCE" w14:textId="2763F2ED" w:rsidR="00751EA7" w:rsidRDefault="00751EA7"/>
    <w:p w14:paraId="6C58F66E" w14:textId="77777777" w:rsidR="00B14BD3" w:rsidRDefault="00B14BD3"/>
    <w:p w14:paraId="7FDAADC5" w14:textId="77777777" w:rsidR="00284DD6" w:rsidRDefault="00284DD6" w:rsidP="00B14BD3">
      <w:pPr>
        <w:jc w:val="center"/>
        <w:rPr>
          <w:b/>
          <w:bCs/>
          <w:sz w:val="28"/>
          <w:szCs w:val="28"/>
        </w:rPr>
      </w:pPr>
      <w:r>
        <w:rPr>
          <w:b/>
          <w:bCs/>
          <w:noProof/>
          <w:sz w:val="28"/>
          <w:szCs w:val="28"/>
        </w:rPr>
        <w:drawing>
          <wp:inline distT="0" distB="0" distL="0" distR="0" wp14:anchorId="354C3E24" wp14:editId="4F376574">
            <wp:extent cx="5948615" cy="2022529"/>
            <wp:effectExtent l="0" t="0" r="0" b="0"/>
            <wp:docPr id="1820567000" name="Picture 1820567000"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67000" name="Picture 1" descr="A logo for a univers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90320" cy="2036709"/>
                    </a:xfrm>
                    <a:prstGeom prst="rect">
                      <a:avLst/>
                    </a:prstGeom>
                  </pic:spPr>
                </pic:pic>
              </a:graphicData>
            </a:graphic>
          </wp:inline>
        </w:drawing>
      </w:r>
    </w:p>
    <w:p w14:paraId="54B0253B" w14:textId="2F9B9CCA" w:rsidR="00B14BD3" w:rsidRPr="00B14BD3" w:rsidRDefault="00B14BD3" w:rsidP="00B14BD3">
      <w:pPr>
        <w:jc w:val="center"/>
        <w:rPr>
          <w:b/>
          <w:bCs/>
          <w:sz w:val="28"/>
          <w:szCs w:val="28"/>
        </w:rPr>
      </w:pPr>
      <w:r w:rsidRPr="00B14BD3">
        <w:rPr>
          <w:b/>
          <w:bCs/>
          <w:sz w:val="28"/>
          <w:szCs w:val="28"/>
        </w:rPr>
        <w:t>FIN4720 Sustainability and Finance</w:t>
      </w:r>
    </w:p>
    <w:p w14:paraId="74261BA3" w14:textId="74FF3020" w:rsidR="00B14BD3" w:rsidRPr="00B14BD3" w:rsidRDefault="00B14BD3" w:rsidP="00B14BD3">
      <w:pPr>
        <w:jc w:val="center"/>
        <w:rPr>
          <w:b/>
          <w:bCs/>
          <w:sz w:val="28"/>
          <w:szCs w:val="28"/>
        </w:rPr>
      </w:pPr>
      <w:r w:rsidRPr="00B14BD3">
        <w:rPr>
          <w:b/>
          <w:bCs/>
          <w:sz w:val="28"/>
          <w:szCs w:val="28"/>
        </w:rPr>
        <w:t>Semester 1 AY 2023/2024</w:t>
      </w:r>
    </w:p>
    <w:p w14:paraId="565C81FD" w14:textId="51242ED9" w:rsidR="00B14BD3" w:rsidRDefault="00B14BD3" w:rsidP="00B14BD3">
      <w:pPr>
        <w:jc w:val="center"/>
        <w:rPr>
          <w:b/>
          <w:bCs/>
          <w:sz w:val="28"/>
          <w:szCs w:val="28"/>
        </w:rPr>
      </w:pPr>
      <w:r w:rsidRPr="00B14BD3">
        <w:rPr>
          <w:b/>
          <w:bCs/>
          <w:sz w:val="28"/>
          <w:szCs w:val="28"/>
        </w:rPr>
        <w:t>Final Project</w:t>
      </w:r>
    </w:p>
    <w:tbl>
      <w:tblPr>
        <w:tblStyle w:val="TableGrid"/>
        <w:tblW w:w="0" w:type="auto"/>
        <w:jc w:val="center"/>
        <w:tblLook w:val="04A0" w:firstRow="1" w:lastRow="0" w:firstColumn="1" w:lastColumn="0" w:noHBand="0" w:noVBand="1"/>
      </w:tblPr>
      <w:tblGrid>
        <w:gridCol w:w="3262"/>
        <w:gridCol w:w="3117"/>
      </w:tblGrid>
      <w:tr w:rsidR="007A35B1" w:rsidRPr="000A00FC" w14:paraId="1E30E96A" w14:textId="77777777" w:rsidTr="007A35B1">
        <w:trPr>
          <w:jc w:val="center"/>
        </w:trPr>
        <w:tc>
          <w:tcPr>
            <w:tcW w:w="3262" w:type="dxa"/>
          </w:tcPr>
          <w:p w14:paraId="4781A351" w14:textId="77777777" w:rsidR="007A35B1" w:rsidRPr="000A00FC" w:rsidRDefault="007A35B1">
            <w:pPr>
              <w:jc w:val="center"/>
            </w:pPr>
            <w:r>
              <w:t>Chong Kha Lek</w:t>
            </w:r>
          </w:p>
        </w:tc>
        <w:tc>
          <w:tcPr>
            <w:tcW w:w="3117" w:type="dxa"/>
          </w:tcPr>
          <w:p w14:paraId="53632936" w14:textId="77777777" w:rsidR="007A35B1" w:rsidRPr="000A00FC" w:rsidRDefault="007A35B1">
            <w:pPr>
              <w:jc w:val="center"/>
            </w:pPr>
            <w:r>
              <w:t>A0223918B</w:t>
            </w:r>
          </w:p>
        </w:tc>
      </w:tr>
      <w:tr w:rsidR="007A35B1" w:rsidRPr="000A00FC" w14:paraId="15871730" w14:textId="77777777" w:rsidTr="007A35B1">
        <w:trPr>
          <w:jc w:val="center"/>
        </w:trPr>
        <w:tc>
          <w:tcPr>
            <w:tcW w:w="3262" w:type="dxa"/>
          </w:tcPr>
          <w:p w14:paraId="55775775" w14:textId="77777777" w:rsidR="007A35B1" w:rsidRPr="000A00FC" w:rsidRDefault="007A35B1">
            <w:pPr>
              <w:jc w:val="center"/>
            </w:pPr>
            <w:r>
              <w:t xml:space="preserve">Loh Rui Xuan </w:t>
            </w:r>
            <w:r w:rsidRPr="000A00FC">
              <w:t>Carine</w:t>
            </w:r>
          </w:p>
        </w:tc>
        <w:tc>
          <w:tcPr>
            <w:tcW w:w="3117" w:type="dxa"/>
          </w:tcPr>
          <w:p w14:paraId="5E62F613" w14:textId="77777777" w:rsidR="007A35B1" w:rsidRPr="000A00FC" w:rsidRDefault="007A35B1">
            <w:pPr>
              <w:jc w:val="center"/>
            </w:pPr>
            <w:r w:rsidRPr="000A00FC">
              <w:t>A0203922N</w:t>
            </w:r>
          </w:p>
        </w:tc>
      </w:tr>
      <w:tr w:rsidR="007A35B1" w:rsidRPr="000A00FC" w14:paraId="1721F0D4" w14:textId="77777777" w:rsidTr="007A35B1">
        <w:trPr>
          <w:jc w:val="center"/>
        </w:trPr>
        <w:tc>
          <w:tcPr>
            <w:tcW w:w="3262" w:type="dxa"/>
          </w:tcPr>
          <w:p w14:paraId="7A914F92" w14:textId="77777777" w:rsidR="007A35B1" w:rsidRPr="000A00FC" w:rsidRDefault="007A35B1">
            <w:pPr>
              <w:jc w:val="center"/>
            </w:pPr>
            <w:r>
              <w:t>Liu Yunuo</w:t>
            </w:r>
          </w:p>
        </w:tc>
        <w:tc>
          <w:tcPr>
            <w:tcW w:w="3117" w:type="dxa"/>
          </w:tcPr>
          <w:p w14:paraId="33A68AA7" w14:textId="77777777" w:rsidR="007A35B1" w:rsidRPr="000A00FC" w:rsidRDefault="007A35B1">
            <w:pPr>
              <w:jc w:val="center"/>
            </w:pPr>
            <w:r>
              <w:t>A0220032H</w:t>
            </w:r>
          </w:p>
        </w:tc>
      </w:tr>
      <w:tr w:rsidR="007A35B1" w:rsidRPr="000A00FC" w14:paraId="7A98E848" w14:textId="77777777" w:rsidTr="007A35B1">
        <w:trPr>
          <w:jc w:val="center"/>
        </w:trPr>
        <w:tc>
          <w:tcPr>
            <w:tcW w:w="3262" w:type="dxa"/>
          </w:tcPr>
          <w:p w14:paraId="0C20A56C" w14:textId="77777777" w:rsidR="007A35B1" w:rsidRPr="000A00FC" w:rsidRDefault="007A35B1">
            <w:pPr>
              <w:jc w:val="center"/>
            </w:pPr>
            <w:r>
              <w:t>Lim Zhi Shin</w:t>
            </w:r>
          </w:p>
        </w:tc>
        <w:tc>
          <w:tcPr>
            <w:tcW w:w="3117" w:type="dxa"/>
          </w:tcPr>
          <w:p w14:paraId="5B76E0BF" w14:textId="77777777" w:rsidR="007A35B1" w:rsidRPr="000A00FC" w:rsidRDefault="007A35B1">
            <w:pPr>
              <w:jc w:val="center"/>
            </w:pPr>
            <w:r>
              <w:t>A0219785M</w:t>
            </w:r>
          </w:p>
        </w:tc>
      </w:tr>
      <w:tr w:rsidR="007A35B1" w:rsidRPr="000A00FC" w14:paraId="7E9AA25B" w14:textId="77777777" w:rsidTr="007A35B1">
        <w:trPr>
          <w:jc w:val="center"/>
        </w:trPr>
        <w:tc>
          <w:tcPr>
            <w:tcW w:w="3262" w:type="dxa"/>
          </w:tcPr>
          <w:p w14:paraId="57141DBF" w14:textId="77777777" w:rsidR="007A35B1" w:rsidRPr="000A00FC" w:rsidRDefault="007A35B1">
            <w:pPr>
              <w:jc w:val="center"/>
            </w:pPr>
            <w:r>
              <w:t>Chan Fung Seng</w:t>
            </w:r>
          </w:p>
        </w:tc>
        <w:tc>
          <w:tcPr>
            <w:tcW w:w="3117" w:type="dxa"/>
          </w:tcPr>
          <w:p w14:paraId="39C61183" w14:textId="77777777" w:rsidR="007A35B1" w:rsidRPr="000A00FC" w:rsidRDefault="007A35B1">
            <w:pPr>
              <w:jc w:val="center"/>
            </w:pPr>
            <w:r>
              <w:t>A0218075E</w:t>
            </w:r>
          </w:p>
        </w:tc>
      </w:tr>
    </w:tbl>
    <w:p w14:paraId="20787087" w14:textId="77777777" w:rsidR="007A35B1" w:rsidRDefault="007A35B1" w:rsidP="00B14BD3">
      <w:pPr>
        <w:jc w:val="center"/>
        <w:rPr>
          <w:b/>
          <w:bCs/>
          <w:sz w:val="28"/>
          <w:szCs w:val="28"/>
        </w:rPr>
      </w:pPr>
    </w:p>
    <w:p w14:paraId="31005FDF" w14:textId="6DD50CF5" w:rsidR="000A00FC" w:rsidRDefault="000A00FC" w:rsidP="00B14BD3">
      <w:pPr>
        <w:jc w:val="center"/>
      </w:pPr>
    </w:p>
    <w:p w14:paraId="215F0593" w14:textId="77777777" w:rsidR="000A00FC" w:rsidRDefault="000A00FC">
      <w:r>
        <w:br w:type="page"/>
      </w:r>
    </w:p>
    <w:sdt>
      <w:sdtPr>
        <w:rPr>
          <w:rFonts w:asciiTheme="minorHAnsi" w:eastAsiaTheme="minorHAnsi" w:hAnsiTheme="minorHAnsi" w:cstheme="minorBidi"/>
          <w:b/>
          <w:color w:val="auto"/>
          <w:sz w:val="22"/>
          <w:szCs w:val="22"/>
          <w:lang w:val="en-SG" w:eastAsia="zh-CN"/>
        </w:rPr>
        <w:id w:val="-1682659142"/>
        <w:docPartObj>
          <w:docPartGallery w:val="Table of Contents"/>
          <w:docPartUnique/>
        </w:docPartObj>
      </w:sdtPr>
      <w:sdtEndPr>
        <w:rPr>
          <w:rFonts w:ascii="Times New Roman" w:eastAsia="Times New Roman" w:hAnsi="Times New Roman" w:cs="Times New Roman"/>
          <w:b w:val="0"/>
          <w:sz w:val="24"/>
          <w:szCs w:val="24"/>
        </w:rPr>
      </w:sdtEndPr>
      <w:sdtContent>
        <w:p w14:paraId="1120FB79" w14:textId="6CDBF889" w:rsidR="00C22AC5" w:rsidRDefault="00C22AC5" w:rsidP="007A35B1">
          <w:pPr>
            <w:pStyle w:val="TOCHeading"/>
            <w:jc w:val="center"/>
          </w:pPr>
          <w:r>
            <w:t>Table of Contents</w:t>
          </w:r>
        </w:p>
        <w:p w14:paraId="2FE5FC37" w14:textId="70D70585" w:rsidR="00997A4F" w:rsidRDefault="00C22AC5">
          <w:pPr>
            <w:pStyle w:val="TOC1"/>
            <w:tabs>
              <w:tab w:val="right" w:leader="dot" w:pos="10456"/>
            </w:tabs>
            <w:rPr>
              <w:rFonts w:asciiTheme="minorHAnsi" w:eastAsiaTheme="minorEastAsia" w:hAnsiTheme="minorHAnsi" w:cstheme="minorBidi"/>
              <w:b w:val="0"/>
              <w:bCs w:val="0"/>
              <w:caps w:val="0"/>
              <w:noProof/>
              <w:kern w:val="2"/>
              <w:sz w:val="24"/>
              <w:szCs w:val="24"/>
              <w14:ligatures w14:val="standardContextual"/>
            </w:rPr>
          </w:pPr>
          <w:r>
            <w:fldChar w:fldCharType="begin"/>
          </w:r>
          <w:r>
            <w:instrText>TOC \o "1-3" \h \z \u</w:instrText>
          </w:r>
          <w:r>
            <w:fldChar w:fldCharType="separate"/>
          </w:r>
          <w:hyperlink w:anchor="_Toc150204538" w:history="1">
            <w:r w:rsidR="00997A4F" w:rsidRPr="001B1B75">
              <w:rPr>
                <w:rStyle w:val="Hyperlink"/>
                <w:noProof/>
              </w:rPr>
              <w:t>Executive Summary</w:t>
            </w:r>
            <w:r w:rsidR="00997A4F">
              <w:rPr>
                <w:noProof/>
                <w:webHidden/>
              </w:rPr>
              <w:tab/>
            </w:r>
            <w:r w:rsidR="00997A4F">
              <w:rPr>
                <w:noProof/>
                <w:webHidden/>
              </w:rPr>
              <w:fldChar w:fldCharType="begin"/>
            </w:r>
            <w:r w:rsidR="00997A4F">
              <w:rPr>
                <w:noProof/>
                <w:webHidden/>
              </w:rPr>
              <w:instrText xml:space="preserve"> PAGEREF _Toc150204538 \h </w:instrText>
            </w:r>
            <w:r w:rsidR="00997A4F">
              <w:rPr>
                <w:noProof/>
                <w:webHidden/>
              </w:rPr>
            </w:r>
            <w:r w:rsidR="00997A4F">
              <w:rPr>
                <w:noProof/>
                <w:webHidden/>
              </w:rPr>
              <w:fldChar w:fldCharType="separate"/>
            </w:r>
            <w:r w:rsidR="00997A4F">
              <w:rPr>
                <w:noProof/>
                <w:webHidden/>
              </w:rPr>
              <w:t>3</w:t>
            </w:r>
            <w:r w:rsidR="00997A4F">
              <w:rPr>
                <w:noProof/>
                <w:webHidden/>
              </w:rPr>
              <w:fldChar w:fldCharType="end"/>
            </w:r>
          </w:hyperlink>
        </w:p>
        <w:p w14:paraId="250994C3" w14:textId="2D687F98" w:rsidR="00997A4F" w:rsidRDefault="006C38BC">
          <w:pPr>
            <w:pStyle w:val="TOC1"/>
            <w:tabs>
              <w:tab w:val="right" w:leader="dot" w:pos="10456"/>
            </w:tabs>
            <w:rPr>
              <w:rFonts w:asciiTheme="minorHAnsi" w:eastAsiaTheme="minorEastAsia" w:hAnsiTheme="minorHAnsi" w:cstheme="minorBidi"/>
              <w:b w:val="0"/>
              <w:bCs w:val="0"/>
              <w:caps w:val="0"/>
              <w:noProof/>
              <w:kern w:val="2"/>
              <w:sz w:val="24"/>
              <w:szCs w:val="24"/>
              <w14:ligatures w14:val="standardContextual"/>
            </w:rPr>
          </w:pPr>
          <w:hyperlink w:anchor="_Toc150204539" w:history="1">
            <w:r w:rsidR="00997A4F" w:rsidRPr="001B1B75">
              <w:rPr>
                <w:rStyle w:val="Hyperlink"/>
                <w:noProof/>
              </w:rPr>
              <w:t>1. Introduction &amp; Background of Project</w:t>
            </w:r>
            <w:r w:rsidR="00997A4F">
              <w:rPr>
                <w:noProof/>
                <w:webHidden/>
              </w:rPr>
              <w:tab/>
            </w:r>
            <w:r w:rsidR="00997A4F">
              <w:rPr>
                <w:noProof/>
                <w:webHidden/>
              </w:rPr>
              <w:fldChar w:fldCharType="begin"/>
            </w:r>
            <w:r w:rsidR="00997A4F">
              <w:rPr>
                <w:noProof/>
                <w:webHidden/>
              </w:rPr>
              <w:instrText xml:space="preserve"> PAGEREF _Toc150204539 \h </w:instrText>
            </w:r>
            <w:r w:rsidR="00997A4F">
              <w:rPr>
                <w:noProof/>
                <w:webHidden/>
              </w:rPr>
            </w:r>
            <w:r w:rsidR="00997A4F">
              <w:rPr>
                <w:noProof/>
                <w:webHidden/>
              </w:rPr>
              <w:fldChar w:fldCharType="separate"/>
            </w:r>
            <w:r w:rsidR="00997A4F">
              <w:rPr>
                <w:noProof/>
                <w:webHidden/>
              </w:rPr>
              <w:t>4</w:t>
            </w:r>
            <w:r w:rsidR="00997A4F">
              <w:rPr>
                <w:noProof/>
                <w:webHidden/>
              </w:rPr>
              <w:fldChar w:fldCharType="end"/>
            </w:r>
          </w:hyperlink>
        </w:p>
        <w:p w14:paraId="7B9CBAF4" w14:textId="2B1B5ECE" w:rsidR="00997A4F" w:rsidRDefault="006C38BC">
          <w:pPr>
            <w:pStyle w:val="TOC2"/>
            <w:tabs>
              <w:tab w:val="right" w:leader="dot" w:pos="10456"/>
            </w:tabs>
            <w:rPr>
              <w:rFonts w:asciiTheme="minorHAnsi" w:eastAsiaTheme="minorEastAsia" w:hAnsiTheme="minorHAnsi" w:cstheme="minorBidi"/>
              <w:smallCaps w:val="0"/>
              <w:noProof/>
              <w:kern w:val="2"/>
              <w:sz w:val="24"/>
              <w:szCs w:val="24"/>
              <w14:ligatures w14:val="standardContextual"/>
            </w:rPr>
          </w:pPr>
          <w:hyperlink w:anchor="_Toc150204540" w:history="1">
            <w:r w:rsidR="00997A4F" w:rsidRPr="001B1B75">
              <w:rPr>
                <w:rStyle w:val="Hyperlink"/>
                <w:noProof/>
              </w:rPr>
              <w:t>1.1 Background of Project</w:t>
            </w:r>
            <w:r w:rsidR="00997A4F">
              <w:rPr>
                <w:noProof/>
                <w:webHidden/>
              </w:rPr>
              <w:tab/>
            </w:r>
            <w:r w:rsidR="00997A4F">
              <w:rPr>
                <w:noProof/>
                <w:webHidden/>
              </w:rPr>
              <w:fldChar w:fldCharType="begin"/>
            </w:r>
            <w:r w:rsidR="00997A4F">
              <w:rPr>
                <w:noProof/>
                <w:webHidden/>
              </w:rPr>
              <w:instrText xml:space="preserve"> PAGEREF _Toc150204540 \h </w:instrText>
            </w:r>
            <w:r w:rsidR="00997A4F">
              <w:rPr>
                <w:noProof/>
                <w:webHidden/>
              </w:rPr>
            </w:r>
            <w:r w:rsidR="00997A4F">
              <w:rPr>
                <w:noProof/>
                <w:webHidden/>
              </w:rPr>
              <w:fldChar w:fldCharType="separate"/>
            </w:r>
            <w:r w:rsidR="00997A4F">
              <w:rPr>
                <w:noProof/>
                <w:webHidden/>
              </w:rPr>
              <w:t>4</w:t>
            </w:r>
            <w:r w:rsidR="00997A4F">
              <w:rPr>
                <w:noProof/>
                <w:webHidden/>
              </w:rPr>
              <w:fldChar w:fldCharType="end"/>
            </w:r>
          </w:hyperlink>
        </w:p>
        <w:p w14:paraId="46BD12BC" w14:textId="6776D26F" w:rsidR="00997A4F" w:rsidRDefault="006C38BC">
          <w:pPr>
            <w:pStyle w:val="TOC1"/>
            <w:tabs>
              <w:tab w:val="right" w:leader="dot" w:pos="10456"/>
            </w:tabs>
            <w:rPr>
              <w:rFonts w:asciiTheme="minorHAnsi" w:eastAsiaTheme="minorEastAsia" w:hAnsiTheme="minorHAnsi" w:cstheme="minorBidi"/>
              <w:b w:val="0"/>
              <w:bCs w:val="0"/>
              <w:caps w:val="0"/>
              <w:noProof/>
              <w:kern w:val="2"/>
              <w:sz w:val="24"/>
              <w:szCs w:val="24"/>
              <w14:ligatures w14:val="standardContextual"/>
            </w:rPr>
          </w:pPr>
          <w:hyperlink w:anchor="_Toc150204541" w:history="1">
            <w:r w:rsidR="00997A4F" w:rsidRPr="001B1B75">
              <w:rPr>
                <w:rStyle w:val="Hyperlink"/>
                <w:noProof/>
              </w:rPr>
              <w:t>2.Theory of change</w:t>
            </w:r>
            <w:r w:rsidR="00997A4F">
              <w:rPr>
                <w:noProof/>
                <w:webHidden/>
              </w:rPr>
              <w:tab/>
            </w:r>
            <w:r w:rsidR="00997A4F">
              <w:rPr>
                <w:noProof/>
                <w:webHidden/>
              </w:rPr>
              <w:fldChar w:fldCharType="begin"/>
            </w:r>
            <w:r w:rsidR="00997A4F">
              <w:rPr>
                <w:noProof/>
                <w:webHidden/>
              </w:rPr>
              <w:instrText xml:space="preserve"> PAGEREF _Toc150204541 \h </w:instrText>
            </w:r>
            <w:r w:rsidR="00997A4F">
              <w:rPr>
                <w:noProof/>
                <w:webHidden/>
              </w:rPr>
            </w:r>
            <w:r w:rsidR="00997A4F">
              <w:rPr>
                <w:noProof/>
                <w:webHidden/>
              </w:rPr>
              <w:fldChar w:fldCharType="separate"/>
            </w:r>
            <w:r w:rsidR="00997A4F">
              <w:rPr>
                <w:noProof/>
                <w:webHidden/>
              </w:rPr>
              <w:t>5</w:t>
            </w:r>
            <w:r w:rsidR="00997A4F">
              <w:rPr>
                <w:noProof/>
                <w:webHidden/>
              </w:rPr>
              <w:fldChar w:fldCharType="end"/>
            </w:r>
          </w:hyperlink>
        </w:p>
        <w:p w14:paraId="5E8485F2" w14:textId="15F92A7B" w:rsidR="00997A4F" w:rsidRDefault="006C38BC">
          <w:pPr>
            <w:pStyle w:val="TOC1"/>
            <w:tabs>
              <w:tab w:val="right" w:leader="dot" w:pos="10456"/>
            </w:tabs>
            <w:rPr>
              <w:rFonts w:asciiTheme="minorHAnsi" w:eastAsiaTheme="minorEastAsia" w:hAnsiTheme="minorHAnsi" w:cstheme="minorBidi"/>
              <w:b w:val="0"/>
              <w:bCs w:val="0"/>
              <w:caps w:val="0"/>
              <w:noProof/>
              <w:kern w:val="2"/>
              <w:sz w:val="24"/>
              <w:szCs w:val="24"/>
              <w14:ligatures w14:val="standardContextual"/>
            </w:rPr>
          </w:pPr>
          <w:hyperlink w:anchor="_Toc150204542" w:history="1">
            <w:r w:rsidR="00997A4F" w:rsidRPr="001B1B75">
              <w:rPr>
                <w:rStyle w:val="Hyperlink"/>
                <w:noProof/>
              </w:rPr>
              <w:t>3. Logic Model</w:t>
            </w:r>
            <w:r w:rsidR="00997A4F">
              <w:rPr>
                <w:noProof/>
                <w:webHidden/>
              </w:rPr>
              <w:tab/>
            </w:r>
            <w:r w:rsidR="00997A4F">
              <w:rPr>
                <w:noProof/>
                <w:webHidden/>
              </w:rPr>
              <w:fldChar w:fldCharType="begin"/>
            </w:r>
            <w:r w:rsidR="00997A4F">
              <w:rPr>
                <w:noProof/>
                <w:webHidden/>
              </w:rPr>
              <w:instrText xml:space="preserve"> PAGEREF _Toc150204542 \h </w:instrText>
            </w:r>
            <w:r w:rsidR="00997A4F">
              <w:rPr>
                <w:noProof/>
                <w:webHidden/>
              </w:rPr>
            </w:r>
            <w:r w:rsidR="00997A4F">
              <w:rPr>
                <w:noProof/>
                <w:webHidden/>
              </w:rPr>
              <w:fldChar w:fldCharType="separate"/>
            </w:r>
            <w:r w:rsidR="00997A4F">
              <w:rPr>
                <w:noProof/>
                <w:webHidden/>
              </w:rPr>
              <w:t>9</w:t>
            </w:r>
            <w:r w:rsidR="00997A4F">
              <w:rPr>
                <w:noProof/>
                <w:webHidden/>
              </w:rPr>
              <w:fldChar w:fldCharType="end"/>
            </w:r>
          </w:hyperlink>
        </w:p>
        <w:p w14:paraId="1D1371FA" w14:textId="446EDA0C" w:rsidR="00997A4F" w:rsidRDefault="006C38BC">
          <w:pPr>
            <w:pStyle w:val="TOC1"/>
            <w:tabs>
              <w:tab w:val="right" w:leader="dot" w:pos="10456"/>
            </w:tabs>
            <w:rPr>
              <w:rFonts w:asciiTheme="minorHAnsi" w:eastAsiaTheme="minorEastAsia" w:hAnsiTheme="minorHAnsi" w:cstheme="minorBidi"/>
              <w:b w:val="0"/>
              <w:bCs w:val="0"/>
              <w:caps w:val="0"/>
              <w:noProof/>
              <w:kern w:val="2"/>
              <w:sz w:val="24"/>
              <w:szCs w:val="24"/>
              <w14:ligatures w14:val="standardContextual"/>
            </w:rPr>
          </w:pPr>
          <w:hyperlink w:anchor="_Toc150204543" w:history="1">
            <w:r w:rsidR="00997A4F" w:rsidRPr="001B1B75">
              <w:rPr>
                <w:rStyle w:val="Hyperlink"/>
                <w:noProof/>
              </w:rPr>
              <w:t>4. Impact Valuation</w:t>
            </w:r>
            <w:r w:rsidR="00997A4F">
              <w:rPr>
                <w:noProof/>
                <w:webHidden/>
              </w:rPr>
              <w:tab/>
            </w:r>
            <w:r w:rsidR="00997A4F">
              <w:rPr>
                <w:noProof/>
                <w:webHidden/>
              </w:rPr>
              <w:fldChar w:fldCharType="begin"/>
            </w:r>
            <w:r w:rsidR="00997A4F">
              <w:rPr>
                <w:noProof/>
                <w:webHidden/>
              </w:rPr>
              <w:instrText xml:space="preserve"> PAGEREF _Toc150204543 \h </w:instrText>
            </w:r>
            <w:r w:rsidR="00997A4F">
              <w:rPr>
                <w:noProof/>
                <w:webHidden/>
              </w:rPr>
            </w:r>
            <w:r w:rsidR="00997A4F">
              <w:rPr>
                <w:noProof/>
                <w:webHidden/>
              </w:rPr>
              <w:fldChar w:fldCharType="separate"/>
            </w:r>
            <w:r w:rsidR="00997A4F">
              <w:rPr>
                <w:noProof/>
                <w:webHidden/>
              </w:rPr>
              <w:t>10</w:t>
            </w:r>
            <w:r w:rsidR="00997A4F">
              <w:rPr>
                <w:noProof/>
                <w:webHidden/>
              </w:rPr>
              <w:fldChar w:fldCharType="end"/>
            </w:r>
          </w:hyperlink>
        </w:p>
        <w:p w14:paraId="0E084E3A" w14:textId="62CB72CB" w:rsidR="00997A4F" w:rsidRDefault="006C38BC">
          <w:pPr>
            <w:pStyle w:val="TOC2"/>
            <w:tabs>
              <w:tab w:val="left" w:pos="880"/>
              <w:tab w:val="right" w:leader="dot" w:pos="10456"/>
            </w:tabs>
            <w:rPr>
              <w:rFonts w:asciiTheme="minorHAnsi" w:eastAsiaTheme="minorEastAsia" w:hAnsiTheme="minorHAnsi" w:cstheme="minorBidi"/>
              <w:smallCaps w:val="0"/>
              <w:noProof/>
              <w:kern w:val="2"/>
              <w:sz w:val="24"/>
              <w:szCs w:val="24"/>
              <w14:ligatures w14:val="standardContextual"/>
            </w:rPr>
          </w:pPr>
          <w:hyperlink w:anchor="_Toc150204544" w:history="1">
            <w:r w:rsidR="00997A4F" w:rsidRPr="001B1B75">
              <w:rPr>
                <w:rStyle w:val="Hyperlink"/>
                <w:noProof/>
              </w:rPr>
              <w:t>4.1</w:t>
            </w:r>
            <w:r w:rsidR="00997A4F">
              <w:rPr>
                <w:rFonts w:asciiTheme="minorHAnsi" w:eastAsiaTheme="minorEastAsia" w:hAnsiTheme="minorHAnsi" w:cstheme="minorBidi"/>
                <w:smallCaps w:val="0"/>
                <w:noProof/>
                <w:kern w:val="2"/>
                <w:sz w:val="24"/>
                <w:szCs w:val="24"/>
                <w14:ligatures w14:val="standardContextual"/>
              </w:rPr>
              <w:tab/>
            </w:r>
            <w:r w:rsidR="00997A4F" w:rsidRPr="001B1B75">
              <w:rPr>
                <w:rStyle w:val="Hyperlink"/>
                <w:noProof/>
              </w:rPr>
              <w:t>General Model Assumptions</w:t>
            </w:r>
            <w:r w:rsidR="00997A4F">
              <w:rPr>
                <w:noProof/>
                <w:webHidden/>
              </w:rPr>
              <w:tab/>
            </w:r>
            <w:r w:rsidR="00997A4F">
              <w:rPr>
                <w:noProof/>
                <w:webHidden/>
              </w:rPr>
              <w:fldChar w:fldCharType="begin"/>
            </w:r>
            <w:r w:rsidR="00997A4F">
              <w:rPr>
                <w:noProof/>
                <w:webHidden/>
              </w:rPr>
              <w:instrText xml:space="preserve"> PAGEREF _Toc150204544 \h </w:instrText>
            </w:r>
            <w:r w:rsidR="00997A4F">
              <w:rPr>
                <w:noProof/>
                <w:webHidden/>
              </w:rPr>
            </w:r>
            <w:r w:rsidR="00997A4F">
              <w:rPr>
                <w:noProof/>
                <w:webHidden/>
              </w:rPr>
              <w:fldChar w:fldCharType="separate"/>
            </w:r>
            <w:r w:rsidR="00997A4F">
              <w:rPr>
                <w:noProof/>
                <w:webHidden/>
              </w:rPr>
              <w:t>10</w:t>
            </w:r>
            <w:r w:rsidR="00997A4F">
              <w:rPr>
                <w:noProof/>
                <w:webHidden/>
              </w:rPr>
              <w:fldChar w:fldCharType="end"/>
            </w:r>
          </w:hyperlink>
        </w:p>
        <w:p w14:paraId="6FADC8B4" w14:textId="6A69346A" w:rsidR="00997A4F" w:rsidRDefault="006C38BC">
          <w:pPr>
            <w:pStyle w:val="TOC2"/>
            <w:tabs>
              <w:tab w:val="left" w:pos="880"/>
              <w:tab w:val="right" w:leader="dot" w:pos="10456"/>
            </w:tabs>
            <w:rPr>
              <w:rFonts w:asciiTheme="minorHAnsi" w:eastAsiaTheme="minorEastAsia" w:hAnsiTheme="minorHAnsi" w:cstheme="minorBidi"/>
              <w:smallCaps w:val="0"/>
              <w:noProof/>
              <w:kern w:val="2"/>
              <w:sz w:val="24"/>
              <w:szCs w:val="24"/>
              <w14:ligatures w14:val="standardContextual"/>
            </w:rPr>
          </w:pPr>
          <w:hyperlink w:anchor="_Toc150204545" w:history="1">
            <w:r w:rsidR="00997A4F" w:rsidRPr="001B1B75">
              <w:rPr>
                <w:rStyle w:val="Hyperlink"/>
                <w:noProof/>
              </w:rPr>
              <w:t>4.2</w:t>
            </w:r>
            <w:r w:rsidR="00997A4F">
              <w:rPr>
                <w:rFonts w:asciiTheme="minorHAnsi" w:eastAsiaTheme="minorEastAsia" w:hAnsiTheme="minorHAnsi" w:cstheme="minorBidi"/>
                <w:smallCaps w:val="0"/>
                <w:noProof/>
                <w:kern w:val="2"/>
                <w:sz w:val="24"/>
                <w:szCs w:val="24"/>
                <w14:ligatures w14:val="standardContextual"/>
              </w:rPr>
              <w:tab/>
            </w:r>
            <w:r w:rsidR="00997A4F" w:rsidRPr="001B1B75">
              <w:rPr>
                <w:rStyle w:val="Hyperlink"/>
                <w:noProof/>
              </w:rPr>
              <w:t>Investment Outlay and Social Cost Assumptions</w:t>
            </w:r>
            <w:r w:rsidR="00997A4F">
              <w:rPr>
                <w:noProof/>
                <w:webHidden/>
              </w:rPr>
              <w:tab/>
            </w:r>
            <w:r w:rsidR="00997A4F">
              <w:rPr>
                <w:noProof/>
                <w:webHidden/>
              </w:rPr>
              <w:fldChar w:fldCharType="begin"/>
            </w:r>
            <w:r w:rsidR="00997A4F">
              <w:rPr>
                <w:noProof/>
                <w:webHidden/>
              </w:rPr>
              <w:instrText xml:space="preserve"> PAGEREF _Toc150204545 \h </w:instrText>
            </w:r>
            <w:r w:rsidR="00997A4F">
              <w:rPr>
                <w:noProof/>
                <w:webHidden/>
              </w:rPr>
            </w:r>
            <w:r w:rsidR="00997A4F">
              <w:rPr>
                <w:noProof/>
                <w:webHidden/>
              </w:rPr>
              <w:fldChar w:fldCharType="separate"/>
            </w:r>
            <w:r w:rsidR="00997A4F">
              <w:rPr>
                <w:noProof/>
                <w:webHidden/>
              </w:rPr>
              <w:t>10</w:t>
            </w:r>
            <w:r w:rsidR="00997A4F">
              <w:rPr>
                <w:noProof/>
                <w:webHidden/>
              </w:rPr>
              <w:fldChar w:fldCharType="end"/>
            </w:r>
          </w:hyperlink>
        </w:p>
        <w:p w14:paraId="78F9A616" w14:textId="124D4A8E" w:rsidR="00997A4F" w:rsidRDefault="006C38BC">
          <w:pPr>
            <w:pStyle w:val="TOC3"/>
            <w:tabs>
              <w:tab w:val="left" w:pos="1100"/>
              <w:tab w:val="right" w:leader="dot" w:pos="10456"/>
            </w:tabs>
            <w:rPr>
              <w:rFonts w:asciiTheme="minorHAnsi" w:eastAsiaTheme="minorEastAsia" w:hAnsiTheme="minorHAnsi" w:cstheme="minorBidi"/>
              <w:i w:val="0"/>
              <w:iCs w:val="0"/>
              <w:noProof/>
              <w:kern w:val="2"/>
              <w:sz w:val="24"/>
              <w:szCs w:val="24"/>
              <w14:ligatures w14:val="standardContextual"/>
            </w:rPr>
          </w:pPr>
          <w:hyperlink w:anchor="_Toc150204546" w:history="1">
            <w:r w:rsidR="00997A4F" w:rsidRPr="001B1B75">
              <w:rPr>
                <w:rStyle w:val="Hyperlink"/>
                <w:noProof/>
              </w:rPr>
              <w:t>4.2.1</w:t>
            </w:r>
            <w:r w:rsidR="00997A4F">
              <w:rPr>
                <w:rFonts w:asciiTheme="minorHAnsi" w:eastAsiaTheme="minorEastAsia" w:hAnsiTheme="minorHAnsi" w:cstheme="minorBidi"/>
                <w:i w:val="0"/>
                <w:iCs w:val="0"/>
                <w:noProof/>
                <w:kern w:val="2"/>
                <w:sz w:val="24"/>
                <w:szCs w:val="24"/>
                <w14:ligatures w14:val="standardContextual"/>
              </w:rPr>
              <w:tab/>
            </w:r>
            <w:r w:rsidR="00997A4F" w:rsidRPr="001B1B75">
              <w:rPr>
                <w:rStyle w:val="Hyperlink"/>
                <w:noProof/>
              </w:rPr>
              <w:t>Investment Cost Assumptions</w:t>
            </w:r>
            <w:r w:rsidR="00997A4F">
              <w:rPr>
                <w:noProof/>
                <w:webHidden/>
              </w:rPr>
              <w:tab/>
            </w:r>
            <w:r w:rsidR="00997A4F">
              <w:rPr>
                <w:noProof/>
                <w:webHidden/>
              </w:rPr>
              <w:fldChar w:fldCharType="begin"/>
            </w:r>
            <w:r w:rsidR="00997A4F">
              <w:rPr>
                <w:noProof/>
                <w:webHidden/>
              </w:rPr>
              <w:instrText xml:space="preserve"> PAGEREF _Toc150204546 \h </w:instrText>
            </w:r>
            <w:r w:rsidR="00997A4F">
              <w:rPr>
                <w:noProof/>
                <w:webHidden/>
              </w:rPr>
            </w:r>
            <w:r w:rsidR="00997A4F">
              <w:rPr>
                <w:noProof/>
                <w:webHidden/>
              </w:rPr>
              <w:fldChar w:fldCharType="separate"/>
            </w:r>
            <w:r w:rsidR="00997A4F">
              <w:rPr>
                <w:noProof/>
                <w:webHidden/>
              </w:rPr>
              <w:t>11</w:t>
            </w:r>
            <w:r w:rsidR="00997A4F">
              <w:rPr>
                <w:noProof/>
                <w:webHidden/>
              </w:rPr>
              <w:fldChar w:fldCharType="end"/>
            </w:r>
          </w:hyperlink>
        </w:p>
        <w:p w14:paraId="1C658E35" w14:textId="550D5F4C" w:rsidR="00997A4F" w:rsidRDefault="006C38BC">
          <w:pPr>
            <w:pStyle w:val="TOC3"/>
            <w:tabs>
              <w:tab w:val="left" w:pos="1100"/>
              <w:tab w:val="right" w:leader="dot" w:pos="10456"/>
            </w:tabs>
            <w:rPr>
              <w:rFonts w:asciiTheme="minorHAnsi" w:eastAsiaTheme="minorEastAsia" w:hAnsiTheme="minorHAnsi" w:cstheme="minorBidi"/>
              <w:i w:val="0"/>
              <w:iCs w:val="0"/>
              <w:noProof/>
              <w:kern w:val="2"/>
              <w:sz w:val="24"/>
              <w:szCs w:val="24"/>
              <w14:ligatures w14:val="standardContextual"/>
            </w:rPr>
          </w:pPr>
          <w:hyperlink w:anchor="_Toc150204547" w:history="1">
            <w:r w:rsidR="00997A4F" w:rsidRPr="001B1B75">
              <w:rPr>
                <w:rStyle w:val="Hyperlink"/>
                <w:noProof/>
              </w:rPr>
              <w:t>4.2.2</w:t>
            </w:r>
            <w:r w:rsidR="00997A4F">
              <w:rPr>
                <w:rFonts w:asciiTheme="minorHAnsi" w:eastAsiaTheme="minorEastAsia" w:hAnsiTheme="minorHAnsi" w:cstheme="minorBidi"/>
                <w:i w:val="0"/>
                <w:iCs w:val="0"/>
                <w:noProof/>
                <w:kern w:val="2"/>
                <w:sz w:val="24"/>
                <w:szCs w:val="24"/>
                <w14:ligatures w14:val="standardContextual"/>
              </w:rPr>
              <w:tab/>
            </w:r>
            <w:r w:rsidR="00997A4F" w:rsidRPr="001B1B75">
              <w:rPr>
                <w:rStyle w:val="Hyperlink"/>
                <w:noProof/>
              </w:rPr>
              <w:t>Operating Cost Assumptions</w:t>
            </w:r>
            <w:r w:rsidR="00997A4F">
              <w:rPr>
                <w:noProof/>
                <w:webHidden/>
              </w:rPr>
              <w:tab/>
            </w:r>
            <w:r w:rsidR="00997A4F">
              <w:rPr>
                <w:noProof/>
                <w:webHidden/>
              </w:rPr>
              <w:fldChar w:fldCharType="begin"/>
            </w:r>
            <w:r w:rsidR="00997A4F">
              <w:rPr>
                <w:noProof/>
                <w:webHidden/>
              </w:rPr>
              <w:instrText xml:space="preserve"> PAGEREF _Toc150204547 \h </w:instrText>
            </w:r>
            <w:r w:rsidR="00997A4F">
              <w:rPr>
                <w:noProof/>
                <w:webHidden/>
              </w:rPr>
            </w:r>
            <w:r w:rsidR="00997A4F">
              <w:rPr>
                <w:noProof/>
                <w:webHidden/>
              </w:rPr>
              <w:fldChar w:fldCharType="separate"/>
            </w:r>
            <w:r w:rsidR="00997A4F">
              <w:rPr>
                <w:noProof/>
                <w:webHidden/>
              </w:rPr>
              <w:t>12</w:t>
            </w:r>
            <w:r w:rsidR="00997A4F">
              <w:rPr>
                <w:noProof/>
                <w:webHidden/>
              </w:rPr>
              <w:fldChar w:fldCharType="end"/>
            </w:r>
          </w:hyperlink>
        </w:p>
        <w:p w14:paraId="7F0D5699" w14:textId="7783A591" w:rsidR="00997A4F" w:rsidRDefault="006C38BC">
          <w:pPr>
            <w:pStyle w:val="TOC2"/>
            <w:tabs>
              <w:tab w:val="left" w:pos="880"/>
              <w:tab w:val="right" w:leader="dot" w:pos="10456"/>
            </w:tabs>
            <w:rPr>
              <w:rFonts w:asciiTheme="minorHAnsi" w:eastAsiaTheme="minorEastAsia" w:hAnsiTheme="minorHAnsi" w:cstheme="minorBidi"/>
              <w:smallCaps w:val="0"/>
              <w:noProof/>
              <w:kern w:val="2"/>
              <w:sz w:val="24"/>
              <w:szCs w:val="24"/>
              <w14:ligatures w14:val="standardContextual"/>
            </w:rPr>
          </w:pPr>
          <w:hyperlink w:anchor="_Toc150204548" w:history="1">
            <w:r w:rsidR="00997A4F" w:rsidRPr="001B1B75">
              <w:rPr>
                <w:rStyle w:val="Hyperlink"/>
                <w:noProof/>
              </w:rPr>
              <w:t>4.3</w:t>
            </w:r>
            <w:r w:rsidR="00997A4F">
              <w:rPr>
                <w:rFonts w:asciiTheme="minorHAnsi" w:eastAsiaTheme="minorEastAsia" w:hAnsiTheme="minorHAnsi" w:cstheme="minorBidi"/>
                <w:smallCaps w:val="0"/>
                <w:noProof/>
                <w:kern w:val="2"/>
                <w:sz w:val="24"/>
                <w:szCs w:val="24"/>
                <w14:ligatures w14:val="standardContextual"/>
              </w:rPr>
              <w:tab/>
            </w:r>
            <w:r w:rsidR="00997A4F" w:rsidRPr="001B1B75">
              <w:rPr>
                <w:rStyle w:val="Hyperlink"/>
                <w:noProof/>
              </w:rPr>
              <w:t>Financial Proxies</w:t>
            </w:r>
            <w:r w:rsidR="00997A4F">
              <w:rPr>
                <w:noProof/>
                <w:webHidden/>
              </w:rPr>
              <w:tab/>
            </w:r>
            <w:r w:rsidR="00997A4F">
              <w:rPr>
                <w:noProof/>
                <w:webHidden/>
              </w:rPr>
              <w:fldChar w:fldCharType="begin"/>
            </w:r>
            <w:r w:rsidR="00997A4F">
              <w:rPr>
                <w:noProof/>
                <w:webHidden/>
              </w:rPr>
              <w:instrText xml:space="preserve"> PAGEREF _Toc150204548 \h </w:instrText>
            </w:r>
            <w:r w:rsidR="00997A4F">
              <w:rPr>
                <w:noProof/>
                <w:webHidden/>
              </w:rPr>
            </w:r>
            <w:r w:rsidR="00997A4F">
              <w:rPr>
                <w:noProof/>
                <w:webHidden/>
              </w:rPr>
              <w:fldChar w:fldCharType="separate"/>
            </w:r>
            <w:r w:rsidR="00997A4F">
              <w:rPr>
                <w:noProof/>
                <w:webHidden/>
              </w:rPr>
              <w:t>12</w:t>
            </w:r>
            <w:r w:rsidR="00997A4F">
              <w:rPr>
                <w:noProof/>
                <w:webHidden/>
              </w:rPr>
              <w:fldChar w:fldCharType="end"/>
            </w:r>
          </w:hyperlink>
        </w:p>
        <w:p w14:paraId="3DC0397F" w14:textId="6428DC21" w:rsidR="00997A4F" w:rsidRDefault="006C38BC">
          <w:pPr>
            <w:pStyle w:val="TOC3"/>
            <w:tabs>
              <w:tab w:val="left" w:pos="1100"/>
              <w:tab w:val="right" w:leader="dot" w:pos="10456"/>
            </w:tabs>
            <w:rPr>
              <w:rFonts w:asciiTheme="minorHAnsi" w:eastAsiaTheme="minorEastAsia" w:hAnsiTheme="minorHAnsi" w:cstheme="minorBidi"/>
              <w:i w:val="0"/>
              <w:iCs w:val="0"/>
              <w:noProof/>
              <w:kern w:val="2"/>
              <w:sz w:val="24"/>
              <w:szCs w:val="24"/>
              <w14:ligatures w14:val="standardContextual"/>
            </w:rPr>
          </w:pPr>
          <w:hyperlink w:anchor="_Toc150204549" w:history="1">
            <w:r w:rsidR="00997A4F" w:rsidRPr="001B1B75">
              <w:rPr>
                <w:rStyle w:val="Hyperlink"/>
                <w:noProof/>
              </w:rPr>
              <w:t>4.3.1</w:t>
            </w:r>
            <w:r w:rsidR="00997A4F">
              <w:rPr>
                <w:rFonts w:asciiTheme="minorHAnsi" w:eastAsiaTheme="minorEastAsia" w:hAnsiTheme="minorHAnsi" w:cstheme="minorBidi"/>
                <w:i w:val="0"/>
                <w:iCs w:val="0"/>
                <w:noProof/>
                <w:kern w:val="2"/>
                <w:sz w:val="24"/>
                <w:szCs w:val="24"/>
                <w14:ligatures w14:val="standardContextual"/>
              </w:rPr>
              <w:tab/>
            </w:r>
            <w:r w:rsidR="00997A4F" w:rsidRPr="001B1B75">
              <w:rPr>
                <w:rStyle w:val="Hyperlink"/>
                <w:noProof/>
              </w:rPr>
              <w:t>Cost Savings</w:t>
            </w:r>
            <w:r w:rsidR="00997A4F">
              <w:rPr>
                <w:noProof/>
                <w:webHidden/>
              </w:rPr>
              <w:tab/>
            </w:r>
            <w:r w:rsidR="00997A4F">
              <w:rPr>
                <w:noProof/>
                <w:webHidden/>
              </w:rPr>
              <w:fldChar w:fldCharType="begin"/>
            </w:r>
            <w:r w:rsidR="00997A4F">
              <w:rPr>
                <w:noProof/>
                <w:webHidden/>
              </w:rPr>
              <w:instrText xml:space="preserve"> PAGEREF _Toc150204549 \h </w:instrText>
            </w:r>
            <w:r w:rsidR="00997A4F">
              <w:rPr>
                <w:noProof/>
                <w:webHidden/>
              </w:rPr>
            </w:r>
            <w:r w:rsidR="00997A4F">
              <w:rPr>
                <w:noProof/>
                <w:webHidden/>
              </w:rPr>
              <w:fldChar w:fldCharType="separate"/>
            </w:r>
            <w:r w:rsidR="00997A4F">
              <w:rPr>
                <w:noProof/>
                <w:webHidden/>
              </w:rPr>
              <w:t>13</w:t>
            </w:r>
            <w:r w:rsidR="00997A4F">
              <w:rPr>
                <w:noProof/>
                <w:webHidden/>
              </w:rPr>
              <w:fldChar w:fldCharType="end"/>
            </w:r>
          </w:hyperlink>
        </w:p>
        <w:p w14:paraId="126A982D" w14:textId="237FD3A0" w:rsidR="00997A4F" w:rsidRDefault="006C38BC">
          <w:pPr>
            <w:pStyle w:val="TOC3"/>
            <w:tabs>
              <w:tab w:val="left" w:pos="1100"/>
              <w:tab w:val="right" w:leader="dot" w:pos="10456"/>
            </w:tabs>
            <w:rPr>
              <w:rFonts w:asciiTheme="minorHAnsi" w:eastAsiaTheme="minorEastAsia" w:hAnsiTheme="minorHAnsi" w:cstheme="minorBidi"/>
              <w:i w:val="0"/>
              <w:iCs w:val="0"/>
              <w:noProof/>
              <w:kern w:val="2"/>
              <w:sz w:val="24"/>
              <w:szCs w:val="24"/>
              <w14:ligatures w14:val="standardContextual"/>
            </w:rPr>
          </w:pPr>
          <w:hyperlink w:anchor="_Toc150204550" w:history="1">
            <w:r w:rsidR="00997A4F" w:rsidRPr="001B1B75">
              <w:rPr>
                <w:rStyle w:val="Hyperlink"/>
                <w:noProof/>
              </w:rPr>
              <w:t>4.3.2</w:t>
            </w:r>
            <w:r w:rsidR="00997A4F">
              <w:rPr>
                <w:rFonts w:asciiTheme="minorHAnsi" w:eastAsiaTheme="minorEastAsia" w:hAnsiTheme="minorHAnsi" w:cstheme="minorBidi"/>
                <w:i w:val="0"/>
                <w:iCs w:val="0"/>
                <w:noProof/>
                <w:kern w:val="2"/>
                <w:sz w:val="24"/>
                <w:szCs w:val="24"/>
                <w14:ligatures w14:val="standardContextual"/>
              </w:rPr>
              <w:tab/>
            </w:r>
            <w:r w:rsidR="00997A4F" w:rsidRPr="001B1B75">
              <w:rPr>
                <w:rStyle w:val="Hyperlink"/>
                <w:noProof/>
              </w:rPr>
              <w:t>Increased Income</w:t>
            </w:r>
            <w:r w:rsidR="00997A4F">
              <w:rPr>
                <w:noProof/>
                <w:webHidden/>
              </w:rPr>
              <w:tab/>
            </w:r>
            <w:r w:rsidR="00997A4F">
              <w:rPr>
                <w:noProof/>
                <w:webHidden/>
              </w:rPr>
              <w:fldChar w:fldCharType="begin"/>
            </w:r>
            <w:r w:rsidR="00997A4F">
              <w:rPr>
                <w:noProof/>
                <w:webHidden/>
              </w:rPr>
              <w:instrText xml:space="preserve"> PAGEREF _Toc150204550 \h </w:instrText>
            </w:r>
            <w:r w:rsidR="00997A4F">
              <w:rPr>
                <w:noProof/>
                <w:webHidden/>
              </w:rPr>
            </w:r>
            <w:r w:rsidR="00997A4F">
              <w:rPr>
                <w:noProof/>
                <w:webHidden/>
              </w:rPr>
              <w:fldChar w:fldCharType="separate"/>
            </w:r>
            <w:r w:rsidR="00997A4F">
              <w:rPr>
                <w:noProof/>
                <w:webHidden/>
              </w:rPr>
              <w:t>14</w:t>
            </w:r>
            <w:r w:rsidR="00997A4F">
              <w:rPr>
                <w:noProof/>
                <w:webHidden/>
              </w:rPr>
              <w:fldChar w:fldCharType="end"/>
            </w:r>
          </w:hyperlink>
        </w:p>
        <w:p w14:paraId="1E5CC46D" w14:textId="40C3593A" w:rsidR="00997A4F" w:rsidRDefault="006C38BC">
          <w:pPr>
            <w:pStyle w:val="TOC2"/>
            <w:tabs>
              <w:tab w:val="left" w:pos="880"/>
              <w:tab w:val="right" w:leader="dot" w:pos="10456"/>
            </w:tabs>
            <w:rPr>
              <w:rFonts w:asciiTheme="minorHAnsi" w:eastAsiaTheme="minorEastAsia" w:hAnsiTheme="minorHAnsi" w:cstheme="minorBidi"/>
              <w:smallCaps w:val="0"/>
              <w:noProof/>
              <w:kern w:val="2"/>
              <w:sz w:val="24"/>
              <w:szCs w:val="24"/>
              <w14:ligatures w14:val="standardContextual"/>
            </w:rPr>
          </w:pPr>
          <w:hyperlink w:anchor="_Toc150204551" w:history="1">
            <w:r w:rsidR="00997A4F" w:rsidRPr="001B1B75">
              <w:rPr>
                <w:rStyle w:val="Hyperlink"/>
                <w:noProof/>
              </w:rPr>
              <w:t>4.4</w:t>
            </w:r>
            <w:r w:rsidR="00997A4F">
              <w:rPr>
                <w:rFonts w:asciiTheme="minorHAnsi" w:eastAsiaTheme="minorEastAsia" w:hAnsiTheme="minorHAnsi" w:cstheme="minorBidi"/>
                <w:smallCaps w:val="0"/>
                <w:noProof/>
                <w:kern w:val="2"/>
                <w:sz w:val="24"/>
                <w:szCs w:val="24"/>
                <w14:ligatures w14:val="standardContextual"/>
              </w:rPr>
              <w:tab/>
            </w:r>
            <w:r w:rsidR="00997A4F" w:rsidRPr="001B1B75">
              <w:rPr>
                <w:rStyle w:val="Hyperlink"/>
                <w:noProof/>
              </w:rPr>
              <w:t>SROI analysis</w:t>
            </w:r>
            <w:r w:rsidR="00997A4F">
              <w:rPr>
                <w:noProof/>
                <w:webHidden/>
              </w:rPr>
              <w:tab/>
            </w:r>
            <w:r w:rsidR="00997A4F">
              <w:rPr>
                <w:noProof/>
                <w:webHidden/>
              </w:rPr>
              <w:fldChar w:fldCharType="begin"/>
            </w:r>
            <w:r w:rsidR="00997A4F">
              <w:rPr>
                <w:noProof/>
                <w:webHidden/>
              </w:rPr>
              <w:instrText xml:space="preserve"> PAGEREF _Toc150204551 \h </w:instrText>
            </w:r>
            <w:r w:rsidR="00997A4F">
              <w:rPr>
                <w:noProof/>
                <w:webHidden/>
              </w:rPr>
            </w:r>
            <w:r w:rsidR="00997A4F">
              <w:rPr>
                <w:noProof/>
                <w:webHidden/>
              </w:rPr>
              <w:fldChar w:fldCharType="separate"/>
            </w:r>
            <w:r w:rsidR="00997A4F">
              <w:rPr>
                <w:noProof/>
                <w:webHidden/>
              </w:rPr>
              <w:t>16</w:t>
            </w:r>
            <w:r w:rsidR="00997A4F">
              <w:rPr>
                <w:noProof/>
                <w:webHidden/>
              </w:rPr>
              <w:fldChar w:fldCharType="end"/>
            </w:r>
          </w:hyperlink>
        </w:p>
        <w:p w14:paraId="67E84769" w14:textId="53405563" w:rsidR="00997A4F" w:rsidRDefault="006C38BC">
          <w:pPr>
            <w:pStyle w:val="TOC1"/>
            <w:tabs>
              <w:tab w:val="right" w:leader="dot" w:pos="10456"/>
            </w:tabs>
            <w:rPr>
              <w:rFonts w:asciiTheme="minorHAnsi" w:eastAsiaTheme="minorEastAsia" w:hAnsiTheme="minorHAnsi" w:cstheme="minorBidi"/>
              <w:b w:val="0"/>
              <w:bCs w:val="0"/>
              <w:caps w:val="0"/>
              <w:noProof/>
              <w:kern w:val="2"/>
              <w:sz w:val="24"/>
              <w:szCs w:val="24"/>
              <w14:ligatures w14:val="standardContextual"/>
            </w:rPr>
          </w:pPr>
          <w:hyperlink w:anchor="_Toc150204552" w:history="1">
            <w:r w:rsidR="00997A4F" w:rsidRPr="001B1B75">
              <w:rPr>
                <w:rStyle w:val="Hyperlink"/>
                <w:noProof/>
              </w:rPr>
              <w:t>5. Sensitivity and Scenario Analysis</w:t>
            </w:r>
            <w:r w:rsidR="00997A4F">
              <w:rPr>
                <w:noProof/>
                <w:webHidden/>
              </w:rPr>
              <w:tab/>
            </w:r>
            <w:r w:rsidR="00997A4F">
              <w:rPr>
                <w:noProof/>
                <w:webHidden/>
              </w:rPr>
              <w:fldChar w:fldCharType="begin"/>
            </w:r>
            <w:r w:rsidR="00997A4F">
              <w:rPr>
                <w:noProof/>
                <w:webHidden/>
              </w:rPr>
              <w:instrText xml:space="preserve"> PAGEREF _Toc150204552 \h </w:instrText>
            </w:r>
            <w:r w:rsidR="00997A4F">
              <w:rPr>
                <w:noProof/>
                <w:webHidden/>
              </w:rPr>
            </w:r>
            <w:r w:rsidR="00997A4F">
              <w:rPr>
                <w:noProof/>
                <w:webHidden/>
              </w:rPr>
              <w:fldChar w:fldCharType="separate"/>
            </w:r>
            <w:r w:rsidR="00997A4F">
              <w:rPr>
                <w:noProof/>
                <w:webHidden/>
              </w:rPr>
              <w:t>17</w:t>
            </w:r>
            <w:r w:rsidR="00997A4F">
              <w:rPr>
                <w:noProof/>
                <w:webHidden/>
              </w:rPr>
              <w:fldChar w:fldCharType="end"/>
            </w:r>
          </w:hyperlink>
        </w:p>
        <w:p w14:paraId="550881BA" w14:textId="7E919375" w:rsidR="00997A4F" w:rsidRDefault="006C38BC">
          <w:pPr>
            <w:pStyle w:val="TOC2"/>
            <w:tabs>
              <w:tab w:val="right" w:leader="dot" w:pos="10456"/>
            </w:tabs>
            <w:rPr>
              <w:rFonts w:asciiTheme="minorHAnsi" w:eastAsiaTheme="minorEastAsia" w:hAnsiTheme="minorHAnsi" w:cstheme="minorBidi"/>
              <w:smallCaps w:val="0"/>
              <w:noProof/>
              <w:kern w:val="2"/>
              <w:sz w:val="24"/>
              <w:szCs w:val="24"/>
              <w14:ligatures w14:val="standardContextual"/>
            </w:rPr>
          </w:pPr>
          <w:hyperlink w:anchor="_Toc150204553" w:history="1">
            <w:r w:rsidR="00997A4F" w:rsidRPr="001B1B75">
              <w:rPr>
                <w:rStyle w:val="Hyperlink"/>
                <w:noProof/>
              </w:rPr>
              <w:t>5.1 Sensitivity Analysis</w:t>
            </w:r>
            <w:r w:rsidR="00997A4F">
              <w:rPr>
                <w:noProof/>
                <w:webHidden/>
              </w:rPr>
              <w:tab/>
            </w:r>
            <w:r w:rsidR="00997A4F">
              <w:rPr>
                <w:noProof/>
                <w:webHidden/>
              </w:rPr>
              <w:fldChar w:fldCharType="begin"/>
            </w:r>
            <w:r w:rsidR="00997A4F">
              <w:rPr>
                <w:noProof/>
                <w:webHidden/>
              </w:rPr>
              <w:instrText xml:space="preserve"> PAGEREF _Toc150204553 \h </w:instrText>
            </w:r>
            <w:r w:rsidR="00997A4F">
              <w:rPr>
                <w:noProof/>
                <w:webHidden/>
              </w:rPr>
            </w:r>
            <w:r w:rsidR="00997A4F">
              <w:rPr>
                <w:noProof/>
                <w:webHidden/>
              </w:rPr>
              <w:fldChar w:fldCharType="separate"/>
            </w:r>
            <w:r w:rsidR="00997A4F">
              <w:rPr>
                <w:noProof/>
                <w:webHidden/>
              </w:rPr>
              <w:t>17</w:t>
            </w:r>
            <w:r w:rsidR="00997A4F">
              <w:rPr>
                <w:noProof/>
                <w:webHidden/>
              </w:rPr>
              <w:fldChar w:fldCharType="end"/>
            </w:r>
          </w:hyperlink>
        </w:p>
        <w:p w14:paraId="42659CB4" w14:textId="4C183FE4" w:rsidR="00997A4F" w:rsidRDefault="006C38BC">
          <w:pPr>
            <w:pStyle w:val="TOC2"/>
            <w:tabs>
              <w:tab w:val="right" w:leader="dot" w:pos="10456"/>
            </w:tabs>
            <w:rPr>
              <w:rFonts w:asciiTheme="minorHAnsi" w:eastAsiaTheme="minorEastAsia" w:hAnsiTheme="minorHAnsi" w:cstheme="minorBidi"/>
              <w:smallCaps w:val="0"/>
              <w:noProof/>
              <w:kern w:val="2"/>
              <w:sz w:val="24"/>
              <w:szCs w:val="24"/>
              <w14:ligatures w14:val="standardContextual"/>
            </w:rPr>
          </w:pPr>
          <w:hyperlink w:anchor="_Toc150204554" w:history="1">
            <w:r w:rsidR="00997A4F" w:rsidRPr="001B1B75">
              <w:rPr>
                <w:rStyle w:val="Hyperlink"/>
                <w:noProof/>
              </w:rPr>
              <w:t>5.2 Scenario Analysis</w:t>
            </w:r>
            <w:r w:rsidR="00997A4F">
              <w:rPr>
                <w:noProof/>
                <w:webHidden/>
              </w:rPr>
              <w:tab/>
            </w:r>
            <w:r w:rsidR="00997A4F">
              <w:rPr>
                <w:noProof/>
                <w:webHidden/>
              </w:rPr>
              <w:fldChar w:fldCharType="begin"/>
            </w:r>
            <w:r w:rsidR="00997A4F">
              <w:rPr>
                <w:noProof/>
                <w:webHidden/>
              </w:rPr>
              <w:instrText xml:space="preserve"> PAGEREF _Toc150204554 \h </w:instrText>
            </w:r>
            <w:r w:rsidR="00997A4F">
              <w:rPr>
                <w:noProof/>
                <w:webHidden/>
              </w:rPr>
            </w:r>
            <w:r w:rsidR="00997A4F">
              <w:rPr>
                <w:noProof/>
                <w:webHidden/>
              </w:rPr>
              <w:fldChar w:fldCharType="separate"/>
            </w:r>
            <w:r w:rsidR="00997A4F">
              <w:rPr>
                <w:noProof/>
                <w:webHidden/>
              </w:rPr>
              <w:t>18</w:t>
            </w:r>
            <w:r w:rsidR="00997A4F">
              <w:rPr>
                <w:noProof/>
                <w:webHidden/>
              </w:rPr>
              <w:fldChar w:fldCharType="end"/>
            </w:r>
          </w:hyperlink>
        </w:p>
        <w:p w14:paraId="4F3980F4" w14:textId="3CD3CA30" w:rsidR="00997A4F" w:rsidRDefault="006C38BC">
          <w:pPr>
            <w:pStyle w:val="TOC1"/>
            <w:tabs>
              <w:tab w:val="right" w:leader="dot" w:pos="10456"/>
            </w:tabs>
            <w:rPr>
              <w:rFonts w:asciiTheme="minorHAnsi" w:eastAsiaTheme="minorEastAsia" w:hAnsiTheme="minorHAnsi" w:cstheme="minorBidi"/>
              <w:b w:val="0"/>
              <w:bCs w:val="0"/>
              <w:caps w:val="0"/>
              <w:noProof/>
              <w:kern w:val="2"/>
              <w:sz w:val="24"/>
              <w:szCs w:val="24"/>
              <w14:ligatures w14:val="standardContextual"/>
            </w:rPr>
          </w:pPr>
          <w:hyperlink w:anchor="_Toc150204555" w:history="1">
            <w:r w:rsidR="00997A4F" w:rsidRPr="001B1B75">
              <w:rPr>
                <w:rStyle w:val="Hyperlink"/>
                <w:noProof/>
              </w:rPr>
              <w:t>6. Other Considerations</w:t>
            </w:r>
            <w:r w:rsidR="00997A4F">
              <w:rPr>
                <w:noProof/>
                <w:webHidden/>
              </w:rPr>
              <w:tab/>
            </w:r>
            <w:r w:rsidR="00997A4F">
              <w:rPr>
                <w:noProof/>
                <w:webHidden/>
              </w:rPr>
              <w:fldChar w:fldCharType="begin"/>
            </w:r>
            <w:r w:rsidR="00997A4F">
              <w:rPr>
                <w:noProof/>
                <w:webHidden/>
              </w:rPr>
              <w:instrText xml:space="preserve"> PAGEREF _Toc150204555 \h </w:instrText>
            </w:r>
            <w:r w:rsidR="00997A4F">
              <w:rPr>
                <w:noProof/>
                <w:webHidden/>
              </w:rPr>
            </w:r>
            <w:r w:rsidR="00997A4F">
              <w:rPr>
                <w:noProof/>
                <w:webHidden/>
              </w:rPr>
              <w:fldChar w:fldCharType="separate"/>
            </w:r>
            <w:r w:rsidR="00997A4F">
              <w:rPr>
                <w:noProof/>
                <w:webHidden/>
              </w:rPr>
              <w:t>19</w:t>
            </w:r>
            <w:r w:rsidR="00997A4F">
              <w:rPr>
                <w:noProof/>
                <w:webHidden/>
              </w:rPr>
              <w:fldChar w:fldCharType="end"/>
            </w:r>
          </w:hyperlink>
        </w:p>
        <w:p w14:paraId="6C14E921" w14:textId="6BB57A2D" w:rsidR="00997A4F" w:rsidRDefault="006C38BC">
          <w:pPr>
            <w:pStyle w:val="TOC2"/>
            <w:tabs>
              <w:tab w:val="right" w:leader="dot" w:pos="10456"/>
            </w:tabs>
            <w:rPr>
              <w:rFonts w:asciiTheme="minorHAnsi" w:eastAsiaTheme="minorEastAsia" w:hAnsiTheme="minorHAnsi" w:cstheme="minorBidi"/>
              <w:smallCaps w:val="0"/>
              <w:noProof/>
              <w:kern w:val="2"/>
              <w:sz w:val="24"/>
              <w:szCs w:val="24"/>
              <w14:ligatures w14:val="standardContextual"/>
            </w:rPr>
          </w:pPr>
          <w:hyperlink w:anchor="_Toc150204556" w:history="1">
            <w:r w:rsidR="00997A4F" w:rsidRPr="001B1B75">
              <w:rPr>
                <w:rStyle w:val="Hyperlink"/>
                <w:noProof/>
              </w:rPr>
              <w:t>6.1 Campus-Wide Engagement and Customization</w:t>
            </w:r>
            <w:r w:rsidR="00997A4F">
              <w:rPr>
                <w:noProof/>
                <w:webHidden/>
              </w:rPr>
              <w:tab/>
            </w:r>
            <w:r w:rsidR="00997A4F">
              <w:rPr>
                <w:noProof/>
                <w:webHidden/>
              </w:rPr>
              <w:fldChar w:fldCharType="begin"/>
            </w:r>
            <w:r w:rsidR="00997A4F">
              <w:rPr>
                <w:noProof/>
                <w:webHidden/>
              </w:rPr>
              <w:instrText xml:space="preserve"> PAGEREF _Toc150204556 \h </w:instrText>
            </w:r>
            <w:r w:rsidR="00997A4F">
              <w:rPr>
                <w:noProof/>
                <w:webHidden/>
              </w:rPr>
            </w:r>
            <w:r w:rsidR="00997A4F">
              <w:rPr>
                <w:noProof/>
                <w:webHidden/>
              </w:rPr>
              <w:fldChar w:fldCharType="separate"/>
            </w:r>
            <w:r w:rsidR="00997A4F">
              <w:rPr>
                <w:noProof/>
                <w:webHidden/>
              </w:rPr>
              <w:t>19</w:t>
            </w:r>
            <w:r w:rsidR="00997A4F">
              <w:rPr>
                <w:noProof/>
                <w:webHidden/>
              </w:rPr>
              <w:fldChar w:fldCharType="end"/>
            </w:r>
          </w:hyperlink>
        </w:p>
        <w:p w14:paraId="794084AE" w14:textId="3DBADB56" w:rsidR="00997A4F" w:rsidRDefault="006C38BC">
          <w:pPr>
            <w:pStyle w:val="TOC2"/>
            <w:tabs>
              <w:tab w:val="right" w:leader="dot" w:pos="10456"/>
            </w:tabs>
            <w:rPr>
              <w:rFonts w:asciiTheme="minorHAnsi" w:eastAsiaTheme="minorEastAsia" w:hAnsiTheme="minorHAnsi" w:cstheme="minorBidi"/>
              <w:smallCaps w:val="0"/>
              <w:noProof/>
              <w:kern w:val="2"/>
              <w:sz w:val="24"/>
              <w:szCs w:val="24"/>
              <w14:ligatures w14:val="standardContextual"/>
            </w:rPr>
          </w:pPr>
          <w:hyperlink w:anchor="_Toc150204557" w:history="1">
            <w:r w:rsidR="00997A4F" w:rsidRPr="001B1B75">
              <w:rPr>
                <w:rStyle w:val="Hyperlink"/>
                <w:noProof/>
              </w:rPr>
              <w:t>6.2 Policy Implications and Stakeholder Engagement</w:t>
            </w:r>
            <w:r w:rsidR="00997A4F">
              <w:rPr>
                <w:noProof/>
                <w:webHidden/>
              </w:rPr>
              <w:tab/>
            </w:r>
            <w:r w:rsidR="00997A4F">
              <w:rPr>
                <w:noProof/>
                <w:webHidden/>
              </w:rPr>
              <w:fldChar w:fldCharType="begin"/>
            </w:r>
            <w:r w:rsidR="00997A4F">
              <w:rPr>
                <w:noProof/>
                <w:webHidden/>
              </w:rPr>
              <w:instrText xml:space="preserve"> PAGEREF _Toc150204557 \h </w:instrText>
            </w:r>
            <w:r w:rsidR="00997A4F">
              <w:rPr>
                <w:noProof/>
                <w:webHidden/>
              </w:rPr>
            </w:r>
            <w:r w:rsidR="00997A4F">
              <w:rPr>
                <w:noProof/>
                <w:webHidden/>
              </w:rPr>
              <w:fldChar w:fldCharType="separate"/>
            </w:r>
            <w:r w:rsidR="00997A4F">
              <w:rPr>
                <w:noProof/>
                <w:webHidden/>
              </w:rPr>
              <w:t>19</w:t>
            </w:r>
            <w:r w:rsidR="00997A4F">
              <w:rPr>
                <w:noProof/>
                <w:webHidden/>
              </w:rPr>
              <w:fldChar w:fldCharType="end"/>
            </w:r>
          </w:hyperlink>
        </w:p>
        <w:p w14:paraId="3B2F046B" w14:textId="14BFEAEE" w:rsidR="00997A4F" w:rsidRDefault="006C38BC">
          <w:pPr>
            <w:pStyle w:val="TOC2"/>
            <w:tabs>
              <w:tab w:val="right" w:leader="dot" w:pos="10456"/>
            </w:tabs>
            <w:rPr>
              <w:rFonts w:asciiTheme="minorHAnsi" w:eastAsiaTheme="minorEastAsia" w:hAnsiTheme="minorHAnsi" w:cstheme="minorBidi"/>
              <w:smallCaps w:val="0"/>
              <w:noProof/>
              <w:kern w:val="2"/>
              <w:sz w:val="24"/>
              <w:szCs w:val="24"/>
              <w14:ligatures w14:val="standardContextual"/>
            </w:rPr>
          </w:pPr>
          <w:hyperlink w:anchor="_Toc150204558" w:history="1">
            <w:r w:rsidR="00997A4F" w:rsidRPr="001B1B75">
              <w:rPr>
                <w:rStyle w:val="Hyperlink"/>
                <w:noProof/>
              </w:rPr>
              <w:t>6.3 Scaling Effect</w:t>
            </w:r>
            <w:r w:rsidR="00997A4F">
              <w:rPr>
                <w:noProof/>
                <w:webHidden/>
              </w:rPr>
              <w:tab/>
            </w:r>
            <w:r w:rsidR="00997A4F">
              <w:rPr>
                <w:noProof/>
                <w:webHidden/>
              </w:rPr>
              <w:fldChar w:fldCharType="begin"/>
            </w:r>
            <w:r w:rsidR="00997A4F">
              <w:rPr>
                <w:noProof/>
                <w:webHidden/>
              </w:rPr>
              <w:instrText xml:space="preserve"> PAGEREF _Toc150204558 \h </w:instrText>
            </w:r>
            <w:r w:rsidR="00997A4F">
              <w:rPr>
                <w:noProof/>
                <w:webHidden/>
              </w:rPr>
            </w:r>
            <w:r w:rsidR="00997A4F">
              <w:rPr>
                <w:noProof/>
                <w:webHidden/>
              </w:rPr>
              <w:fldChar w:fldCharType="separate"/>
            </w:r>
            <w:r w:rsidR="00997A4F">
              <w:rPr>
                <w:noProof/>
                <w:webHidden/>
              </w:rPr>
              <w:t>19</w:t>
            </w:r>
            <w:r w:rsidR="00997A4F">
              <w:rPr>
                <w:noProof/>
                <w:webHidden/>
              </w:rPr>
              <w:fldChar w:fldCharType="end"/>
            </w:r>
          </w:hyperlink>
        </w:p>
        <w:p w14:paraId="15C9446E" w14:textId="0FAA9616" w:rsidR="00997A4F" w:rsidRDefault="006C38BC">
          <w:pPr>
            <w:pStyle w:val="TOC1"/>
            <w:tabs>
              <w:tab w:val="right" w:leader="dot" w:pos="10456"/>
            </w:tabs>
            <w:rPr>
              <w:rFonts w:asciiTheme="minorHAnsi" w:eastAsiaTheme="minorEastAsia" w:hAnsiTheme="minorHAnsi" w:cstheme="minorBidi"/>
              <w:b w:val="0"/>
              <w:bCs w:val="0"/>
              <w:caps w:val="0"/>
              <w:noProof/>
              <w:kern w:val="2"/>
              <w:sz w:val="24"/>
              <w:szCs w:val="24"/>
              <w14:ligatures w14:val="standardContextual"/>
            </w:rPr>
          </w:pPr>
          <w:hyperlink w:anchor="_Toc150204559" w:history="1">
            <w:r w:rsidR="00997A4F" w:rsidRPr="001B1B75">
              <w:rPr>
                <w:rStyle w:val="Hyperlink"/>
                <w:noProof/>
              </w:rPr>
              <w:t>7. Conclusion and Takeaway for the Team</w:t>
            </w:r>
            <w:r w:rsidR="00997A4F">
              <w:rPr>
                <w:noProof/>
                <w:webHidden/>
              </w:rPr>
              <w:tab/>
            </w:r>
            <w:r w:rsidR="00997A4F">
              <w:rPr>
                <w:noProof/>
                <w:webHidden/>
              </w:rPr>
              <w:fldChar w:fldCharType="begin"/>
            </w:r>
            <w:r w:rsidR="00997A4F">
              <w:rPr>
                <w:noProof/>
                <w:webHidden/>
              </w:rPr>
              <w:instrText xml:space="preserve"> PAGEREF _Toc150204559 \h </w:instrText>
            </w:r>
            <w:r w:rsidR="00997A4F">
              <w:rPr>
                <w:noProof/>
                <w:webHidden/>
              </w:rPr>
            </w:r>
            <w:r w:rsidR="00997A4F">
              <w:rPr>
                <w:noProof/>
                <w:webHidden/>
              </w:rPr>
              <w:fldChar w:fldCharType="separate"/>
            </w:r>
            <w:r w:rsidR="00997A4F">
              <w:rPr>
                <w:noProof/>
                <w:webHidden/>
              </w:rPr>
              <w:t>19</w:t>
            </w:r>
            <w:r w:rsidR="00997A4F">
              <w:rPr>
                <w:noProof/>
                <w:webHidden/>
              </w:rPr>
              <w:fldChar w:fldCharType="end"/>
            </w:r>
          </w:hyperlink>
        </w:p>
        <w:p w14:paraId="6552F558" w14:textId="30035FE3" w:rsidR="00997A4F" w:rsidRDefault="006C38BC">
          <w:pPr>
            <w:pStyle w:val="TOC1"/>
            <w:tabs>
              <w:tab w:val="right" w:leader="dot" w:pos="10456"/>
            </w:tabs>
            <w:rPr>
              <w:rFonts w:asciiTheme="minorHAnsi" w:eastAsiaTheme="minorEastAsia" w:hAnsiTheme="minorHAnsi" w:cstheme="minorBidi"/>
              <w:b w:val="0"/>
              <w:bCs w:val="0"/>
              <w:caps w:val="0"/>
              <w:noProof/>
              <w:kern w:val="2"/>
              <w:sz w:val="24"/>
              <w:szCs w:val="24"/>
              <w14:ligatures w14:val="standardContextual"/>
            </w:rPr>
          </w:pPr>
          <w:hyperlink w:anchor="_Toc150204560" w:history="1">
            <w:r w:rsidR="00997A4F" w:rsidRPr="001B1B75">
              <w:rPr>
                <w:rStyle w:val="Hyperlink"/>
                <w:noProof/>
              </w:rPr>
              <w:t>8. References</w:t>
            </w:r>
            <w:r w:rsidR="00997A4F">
              <w:rPr>
                <w:noProof/>
                <w:webHidden/>
              </w:rPr>
              <w:tab/>
            </w:r>
            <w:r w:rsidR="00997A4F">
              <w:rPr>
                <w:noProof/>
                <w:webHidden/>
              </w:rPr>
              <w:fldChar w:fldCharType="begin"/>
            </w:r>
            <w:r w:rsidR="00997A4F">
              <w:rPr>
                <w:noProof/>
                <w:webHidden/>
              </w:rPr>
              <w:instrText xml:space="preserve"> PAGEREF _Toc150204560 \h </w:instrText>
            </w:r>
            <w:r w:rsidR="00997A4F">
              <w:rPr>
                <w:noProof/>
                <w:webHidden/>
              </w:rPr>
            </w:r>
            <w:r w:rsidR="00997A4F">
              <w:rPr>
                <w:noProof/>
                <w:webHidden/>
              </w:rPr>
              <w:fldChar w:fldCharType="separate"/>
            </w:r>
            <w:r w:rsidR="00997A4F">
              <w:rPr>
                <w:noProof/>
                <w:webHidden/>
              </w:rPr>
              <w:t>20</w:t>
            </w:r>
            <w:r w:rsidR="00997A4F">
              <w:rPr>
                <w:noProof/>
                <w:webHidden/>
              </w:rPr>
              <w:fldChar w:fldCharType="end"/>
            </w:r>
          </w:hyperlink>
        </w:p>
        <w:p w14:paraId="395C08C8" w14:textId="3A9B1273" w:rsidR="00C22AC5" w:rsidRDefault="00C22AC5" w:rsidP="007A35B1">
          <w:pPr>
            <w:jc w:val="center"/>
          </w:pPr>
          <w:r>
            <w:fldChar w:fldCharType="end"/>
          </w:r>
        </w:p>
      </w:sdtContent>
    </w:sdt>
    <w:p w14:paraId="0203FB87" w14:textId="3EF8244C" w:rsidR="00C22AC5" w:rsidRDefault="00C22AC5">
      <w:r>
        <w:br w:type="page"/>
      </w:r>
    </w:p>
    <w:p w14:paraId="434FE9BD" w14:textId="77777777" w:rsidR="00AA09C6" w:rsidRPr="00812FFB" w:rsidRDefault="00AA09C6" w:rsidP="007A35B1">
      <w:pPr>
        <w:pStyle w:val="Heading1"/>
      </w:pPr>
      <w:bookmarkStart w:id="0" w:name="_Toc150204538"/>
      <w:r w:rsidRPr="00812FFB">
        <w:lastRenderedPageBreak/>
        <w:t>Executive Summary</w:t>
      </w:r>
      <w:bookmarkEnd w:id="0"/>
    </w:p>
    <w:p w14:paraId="6BC6CCA1" w14:textId="77777777" w:rsidR="00AA09C6" w:rsidRPr="00812FFB" w:rsidRDefault="00AA09C6" w:rsidP="00427246">
      <w:pPr>
        <w:jc w:val="both"/>
        <w:rPr>
          <w:bCs/>
          <w:sz w:val="20"/>
          <w:szCs w:val="20"/>
          <w:lang w:val="en-GB"/>
        </w:rPr>
      </w:pPr>
      <w:proofErr w:type="gramStart"/>
      <w:r w:rsidRPr="00812FFB">
        <w:rPr>
          <w:bCs/>
          <w:sz w:val="20"/>
          <w:szCs w:val="20"/>
          <w:lang w:val="en-GB"/>
        </w:rPr>
        <w:t>In light of</w:t>
      </w:r>
      <w:proofErr w:type="gramEnd"/>
      <w:r w:rsidRPr="00812FFB">
        <w:rPr>
          <w:bCs/>
          <w:sz w:val="20"/>
          <w:szCs w:val="20"/>
          <w:lang w:val="en-GB"/>
        </w:rPr>
        <w:t xml:space="preserve"> Singapore's dedicated commitment to sustainable development and green initiatives, postgraduate students from the College of Design and Engineering have embarked on a ground-breaking project: the redevelopment of the National University of Singapore (NUS) campus. The overarching goal is to re-envision it as a standard-bearer of sustainability, integrating critical systems at both the individual building and broader campus levels. The redesigned systems encompass energy, water, connectivity, public space, and greenery.</w:t>
      </w:r>
    </w:p>
    <w:p w14:paraId="3767E909" w14:textId="77777777" w:rsidR="00A96FBC" w:rsidRPr="00812FFB" w:rsidRDefault="00A96FBC" w:rsidP="00427246">
      <w:pPr>
        <w:jc w:val="both"/>
        <w:rPr>
          <w:bCs/>
          <w:sz w:val="20"/>
          <w:szCs w:val="20"/>
          <w:lang w:val="en-GB"/>
        </w:rPr>
      </w:pPr>
    </w:p>
    <w:p w14:paraId="44A52C95" w14:textId="77777777" w:rsidR="00AA09C6" w:rsidRPr="00812FFB" w:rsidRDefault="00AA09C6" w:rsidP="00427246">
      <w:pPr>
        <w:jc w:val="both"/>
        <w:rPr>
          <w:bCs/>
          <w:sz w:val="20"/>
          <w:szCs w:val="20"/>
          <w:lang w:val="en-GB"/>
        </w:rPr>
      </w:pPr>
      <w:r w:rsidRPr="00812FFB">
        <w:rPr>
          <w:bCs/>
          <w:sz w:val="20"/>
          <w:szCs w:val="20"/>
          <w:lang w:val="en-GB"/>
        </w:rPr>
        <w:t>Central to this project is the challenge of pinpointing the broader value proposition of such a redesign. It is essential to not only consider the financial costs but also to quantify the combined environmental and social benefits. To achieve this, the theory of change (</w:t>
      </w:r>
      <w:proofErr w:type="spellStart"/>
      <w:r w:rsidRPr="00812FFB">
        <w:rPr>
          <w:bCs/>
          <w:sz w:val="20"/>
          <w:szCs w:val="20"/>
          <w:lang w:val="en-GB"/>
        </w:rPr>
        <w:t>ToC</w:t>
      </w:r>
      <w:proofErr w:type="spellEnd"/>
      <w:r w:rsidRPr="00812FFB">
        <w:rPr>
          <w:bCs/>
          <w:sz w:val="20"/>
          <w:szCs w:val="20"/>
          <w:lang w:val="en-GB"/>
        </w:rPr>
        <w:t>) model and the social return on investment (SROI) framework have been employed, offering a multi-dimensional view of the potential value of the project, encompassing economic, environmental, and social angles.</w:t>
      </w:r>
    </w:p>
    <w:p w14:paraId="6DCEC24D" w14:textId="77777777" w:rsidR="00A96FBC" w:rsidRPr="00812FFB" w:rsidRDefault="00A96FBC" w:rsidP="00427246">
      <w:pPr>
        <w:jc w:val="both"/>
        <w:rPr>
          <w:bCs/>
          <w:sz w:val="20"/>
          <w:szCs w:val="20"/>
          <w:lang w:val="en-GB"/>
        </w:rPr>
      </w:pPr>
    </w:p>
    <w:p w14:paraId="0FAC1FC8" w14:textId="77777777" w:rsidR="00AA09C6" w:rsidRPr="00812FFB" w:rsidRDefault="00AA09C6" w:rsidP="00427246">
      <w:pPr>
        <w:jc w:val="both"/>
        <w:rPr>
          <w:bCs/>
          <w:sz w:val="20"/>
          <w:szCs w:val="20"/>
          <w:lang w:val="en-GB"/>
        </w:rPr>
      </w:pPr>
      <w:r w:rsidRPr="00812FFB">
        <w:rPr>
          <w:bCs/>
          <w:sz w:val="20"/>
          <w:szCs w:val="20"/>
          <w:lang w:val="en-GB"/>
        </w:rPr>
        <w:t>Key stakeholders include the entire NUS community—students, management, staff—as well as the wider Singaporean society and regulatory bodies. With projections based on the present day and extending a decade into the future, the financial forecast culminates with an assessment of the project's terminal value.</w:t>
      </w:r>
    </w:p>
    <w:p w14:paraId="3060973C" w14:textId="77777777" w:rsidR="00A96FBC" w:rsidRPr="00812FFB" w:rsidRDefault="00A96FBC" w:rsidP="00427246">
      <w:pPr>
        <w:jc w:val="both"/>
        <w:rPr>
          <w:bCs/>
          <w:sz w:val="20"/>
          <w:szCs w:val="20"/>
          <w:lang w:val="en-GB"/>
        </w:rPr>
      </w:pPr>
    </w:p>
    <w:p w14:paraId="594BF25A" w14:textId="2A37A615" w:rsidR="00AA09C6" w:rsidRPr="00812FFB" w:rsidRDefault="00AA09C6" w:rsidP="00427246">
      <w:pPr>
        <w:jc w:val="both"/>
        <w:rPr>
          <w:sz w:val="20"/>
          <w:szCs w:val="20"/>
          <w:lang w:val="en-GB"/>
        </w:rPr>
      </w:pPr>
      <w:r w:rsidRPr="00812FFB">
        <w:rPr>
          <w:bCs/>
          <w:sz w:val="20"/>
          <w:szCs w:val="20"/>
          <w:lang w:val="en-GB"/>
        </w:rPr>
        <w:t xml:space="preserve">Our initial analyses indicate a </w:t>
      </w:r>
      <w:r w:rsidRPr="00812FFB">
        <w:rPr>
          <w:color w:val="000000" w:themeColor="text1"/>
          <w:sz w:val="20"/>
          <w:szCs w:val="20"/>
          <w:lang w:val="en-GB"/>
        </w:rPr>
        <w:t xml:space="preserve">favourable </w:t>
      </w:r>
      <w:r w:rsidRPr="00812FFB">
        <w:rPr>
          <w:bCs/>
          <w:sz w:val="20"/>
          <w:szCs w:val="20"/>
          <w:lang w:val="en-GB"/>
        </w:rPr>
        <w:t xml:space="preserve">SROI value for the NUS redesign, represented by </w:t>
      </w:r>
      <w:r w:rsidR="3EF6CA29" w:rsidRPr="00812FFB">
        <w:rPr>
          <w:sz w:val="20"/>
          <w:szCs w:val="20"/>
          <w:lang w:val="en-GB"/>
        </w:rPr>
        <w:t xml:space="preserve">a </w:t>
      </w:r>
      <w:r w:rsidRPr="00812FFB">
        <w:rPr>
          <w:sz w:val="20"/>
          <w:szCs w:val="20"/>
          <w:lang w:val="en-GB"/>
        </w:rPr>
        <w:t>value</w:t>
      </w:r>
      <w:r w:rsidR="03DD014A" w:rsidRPr="00812FFB">
        <w:rPr>
          <w:sz w:val="20"/>
          <w:szCs w:val="20"/>
          <w:lang w:val="en-GB"/>
        </w:rPr>
        <w:t xml:space="preserve"> of 2.65</w:t>
      </w:r>
      <w:r w:rsidRPr="00812FFB">
        <w:rPr>
          <w:sz w:val="20"/>
          <w:szCs w:val="20"/>
          <w:lang w:val="en-GB"/>
        </w:rPr>
        <w:t>.</w:t>
      </w:r>
      <w:r w:rsidRPr="00812FFB">
        <w:rPr>
          <w:bCs/>
          <w:sz w:val="20"/>
          <w:szCs w:val="20"/>
          <w:lang w:val="en-GB"/>
        </w:rPr>
        <w:t xml:space="preserve"> This suggests a substantial positive return on the envisioned changes, implying that for every dollar invested in the project, a social value worth </w:t>
      </w:r>
      <w:r w:rsidR="20FA8B3F" w:rsidRPr="00812FFB">
        <w:rPr>
          <w:sz w:val="20"/>
          <w:szCs w:val="20"/>
          <w:lang w:val="en-GB"/>
        </w:rPr>
        <w:t>$2.65</w:t>
      </w:r>
      <w:r w:rsidRPr="00812FFB">
        <w:rPr>
          <w:bCs/>
          <w:sz w:val="20"/>
          <w:szCs w:val="20"/>
          <w:lang w:val="en-GB"/>
        </w:rPr>
        <w:t xml:space="preserve"> is generated. This holistic approach is a departure from traditional capital budgeting models, as it factors in the environmental and social benefits which often go unquantified.</w:t>
      </w:r>
      <w:r w:rsidR="14AE7A18" w:rsidRPr="00812FFB">
        <w:rPr>
          <w:sz w:val="20"/>
          <w:szCs w:val="20"/>
          <w:lang w:val="en-GB"/>
        </w:rPr>
        <w:t xml:space="preserve"> We cover a broad range of externalities, varying from </w:t>
      </w:r>
      <w:r w:rsidR="00B11F3F" w:rsidRPr="00812FFB">
        <w:rPr>
          <w:sz w:val="20"/>
          <w:szCs w:val="20"/>
          <w:lang w:val="en-GB"/>
        </w:rPr>
        <w:t>traditional ones such as cost savings to less tangible ones such as increased mental and physical health in students and</w:t>
      </w:r>
      <w:r w:rsidR="12F38D0D" w:rsidRPr="00812FFB">
        <w:rPr>
          <w:sz w:val="20"/>
          <w:szCs w:val="20"/>
          <w:lang w:val="en-GB"/>
        </w:rPr>
        <w:t xml:space="preserve"> staff.</w:t>
      </w:r>
    </w:p>
    <w:p w14:paraId="24B4845D" w14:textId="77777777" w:rsidR="00A96FBC" w:rsidRPr="00812FFB" w:rsidRDefault="00A96FBC" w:rsidP="00427246">
      <w:pPr>
        <w:jc w:val="both"/>
        <w:rPr>
          <w:bCs/>
          <w:sz w:val="20"/>
          <w:szCs w:val="20"/>
          <w:lang w:val="en-GB"/>
        </w:rPr>
      </w:pPr>
    </w:p>
    <w:p w14:paraId="18D84CBE" w14:textId="69A49B19" w:rsidR="00AA09C6" w:rsidRPr="00812FFB" w:rsidRDefault="00AA09C6" w:rsidP="01E186F4">
      <w:pPr>
        <w:jc w:val="both"/>
        <w:rPr>
          <w:sz w:val="20"/>
          <w:szCs w:val="20"/>
          <w:lang w:val="en-GB"/>
        </w:rPr>
      </w:pPr>
      <w:r w:rsidRPr="00812FFB">
        <w:rPr>
          <w:sz w:val="20"/>
          <w:szCs w:val="20"/>
          <w:lang w:val="en-GB"/>
        </w:rPr>
        <w:t xml:space="preserve">Additionally, our sensitivity analysis, which identifies potential variables affecting the project's success, has shown a possible fluctuation in SROI values. This analysis resulted in an SROI value of </w:t>
      </w:r>
      <w:r w:rsidR="215245CC" w:rsidRPr="00812FFB">
        <w:rPr>
          <w:sz w:val="20"/>
          <w:szCs w:val="20"/>
          <w:lang w:val="en-GB"/>
        </w:rPr>
        <w:t xml:space="preserve">1.24 in the worst case and 9.37 in the </w:t>
      </w:r>
      <w:r w:rsidR="000C6A6B" w:rsidRPr="00812FFB">
        <w:rPr>
          <w:sz w:val="20"/>
          <w:szCs w:val="20"/>
          <w:lang w:val="en-GB"/>
        </w:rPr>
        <w:t>best</w:t>
      </w:r>
      <w:r w:rsidR="215245CC" w:rsidRPr="00812FFB">
        <w:rPr>
          <w:sz w:val="20"/>
          <w:szCs w:val="20"/>
          <w:lang w:val="en-GB"/>
        </w:rPr>
        <w:t xml:space="preserve"> case</w:t>
      </w:r>
      <w:r w:rsidR="7887016F" w:rsidRPr="00812FFB">
        <w:rPr>
          <w:sz w:val="20"/>
          <w:szCs w:val="20"/>
          <w:lang w:val="en-GB"/>
        </w:rPr>
        <w:t>. Because of this, we anticipate</w:t>
      </w:r>
      <w:r w:rsidR="67BFDAEE" w:rsidRPr="00812FFB">
        <w:rPr>
          <w:sz w:val="20"/>
          <w:szCs w:val="20"/>
          <w:lang w:val="en-GB"/>
        </w:rPr>
        <w:t xml:space="preserve"> that </w:t>
      </w:r>
      <w:r w:rsidR="7887016F" w:rsidRPr="00812FFB">
        <w:rPr>
          <w:sz w:val="20"/>
          <w:szCs w:val="20"/>
          <w:lang w:val="en-GB"/>
        </w:rPr>
        <w:t>the project will have a very large chance of providing a positive net benefit for all its stakeholders despite varying project conditions. We highly recommend undertaking this project.</w:t>
      </w:r>
    </w:p>
    <w:p w14:paraId="7C7607E1" w14:textId="77777777" w:rsidR="00A96FBC" w:rsidRPr="00812FFB" w:rsidRDefault="00A96FBC" w:rsidP="01E186F4">
      <w:pPr>
        <w:jc w:val="both"/>
        <w:rPr>
          <w:sz w:val="20"/>
          <w:szCs w:val="20"/>
          <w:lang w:val="en-GB"/>
        </w:rPr>
      </w:pPr>
    </w:p>
    <w:p w14:paraId="1C3131DF" w14:textId="121966B8" w:rsidR="00AA09C6" w:rsidRPr="00812FFB" w:rsidRDefault="00AA09C6" w:rsidP="00427246">
      <w:pPr>
        <w:jc w:val="both"/>
        <w:rPr>
          <w:bCs/>
          <w:sz w:val="20"/>
          <w:szCs w:val="20"/>
          <w:lang w:val="en-GB"/>
        </w:rPr>
      </w:pPr>
      <w:r w:rsidRPr="00812FFB">
        <w:rPr>
          <w:bCs/>
          <w:sz w:val="20"/>
          <w:szCs w:val="20"/>
          <w:lang w:val="en-GB"/>
        </w:rPr>
        <w:t>The proposed redesign of the NUS campus promises not only to elevate the institution's commitment to sustainability but also to set a precedent that could influence higher education institutions on a national and potentially global scale. This project is a testament to the transformative power of integrated, forward-thinking design in the service of a greener, more sustainable future.</w:t>
      </w:r>
    </w:p>
    <w:p w14:paraId="2652EFFC" w14:textId="77777777" w:rsidR="00AA09C6" w:rsidRPr="00812FFB" w:rsidRDefault="00AA09C6" w:rsidP="00427246">
      <w:pPr>
        <w:jc w:val="both"/>
        <w:rPr>
          <w:sz w:val="20"/>
          <w:szCs w:val="20"/>
          <w:lang w:val="en-GB"/>
        </w:rPr>
      </w:pPr>
    </w:p>
    <w:p w14:paraId="56CD6452" w14:textId="77777777" w:rsidR="00AA09C6" w:rsidRPr="00812FFB" w:rsidRDefault="00AA09C6" w:rsidP="00427246">
      <w:pPr>
        <w:jc w:val="both"/>
        <w:rPr>
          <w:sz w:val="20"/>
          <w:szCs w:val="20"/>
          <w:lang w:val="en-GB"/>
        </w:rPr>
      </w:pPr>
    </w:p>
    <w:p w14:paraId="208E8C76" w14:textId="77777777" w:rsidR="00AA09C6" w:rsidRPr="00812FFB" w:rsidRDefault="00AA09C6" w:rsidP="00427246">
      <w:pPr>
        <w:jc w:val="both"/>
        <w:rPr>
          <w:sz w:val="20"/>
          <w:szCs w:val="20"/>
          <w:lang w:val="en-GB"/>
        </w:rPr>
      </w:pPr>
      <w:r w:rsidRPr="00812FFB">
        <w:rPr>
          <w:sz w:val="20"/>
          <w:szCs w:val="20"/>
          <w:lang w:val="en-GB"/>
        </w:rPr>
        <w:br w:type="page"/>
      </w:r>
    </w:p>
    <w:p w14:paraId="17AF4936" w14:textId="77777777" w:rsidR="00AA09C6" w:rsidRPr="00812FFB" w:rsidRDefault="00AA09C6" w:rsidP="007A35B1">
      <w:pPr>
        <w:pStyle w:val="Heading1"/>
      </w:pPr>
      <w:bookmarkStart w:id="1" w:name="_z3q1ux8ago8" w:colFirst="0" w:colLast="0"/>
      <w:bookmarkStart w:id="2" w:name="_Toc150204539"/>
      <w:bookmarkEnd w:id="1"/>
      <w:r w:rsidRPr="00812FFB">
        <w:lastRenderedPageBreak/>
        <w:t>1. Introduction &amp; Background of Project</w:t>
      </w:r>
      <w:bookmarkEnd w:id="2"/>
    </w:p>
    <w:p w14:paraId="3A9854E4" w14:textId="388A359A" w:rsidR="00AA09C6" w:rsidRPr="00812FFB" w:rsidRDefault="00AA09C6" w:rsidP="00427246">
      <w:pPr>
        <w:jc w:val="both"/>
        <w:rPr>
          <w:sz w:val="20"/>
          <w:szCs w:val="20"/>
          <w:lang w:val="en-GB"/>
        </w:rPr>
      </w:pPr>
      <w:r w:rsidRPr="00812FFB">
        <w:rPr>
          <w:sz w:val="20"/>
          <w:szCs w:val="20"/>
          <w:lang w:val="en-GB"/>
        </w:rPr>
        <w:t xml:space="preserve">Sustainability revolves around the enduring balance between current societal needs and those of future generations, underpinned by infrastructural enhancements and active systems engagement. Embracing this ideology, Singapore has been at the forefront of promoting green initiatives and sustainable development, marking its commitment to global efforts such as the 2015 Paris Agreement. These aspirations are seamlessly aligned with the broader 17 Sustainable Development Goals (SDGs). </w:t>
      </w:r>
    </w:p>
    <w:p w14:paraId="20C986FD" w14:textId="77777777" w:rsidR="00904897" w:rsidRPr="00812FFB" w:rsidRDefault="00904897" w:rsidP="00427246">
      <w:pPr>
        <w:jc w:val="both"/>
        <w:rPr>
          <w:sz w:val="20"/>
          <w:szCs w:val="20"/>
          <w:lang w:val="en-GB"/>
        </w:rPr>
      </w:pPr>
    </w:p>
    <w:p w14:paraId="00FD721E" w14:textId="77777777" w:rsidR="00AA09C6" w:rsidRPr="00812FFB" w:rsidRDefault="00AA09C6" w:rsidP="00427246">
      <w:pPr>
        <w:jc w:val="both"/>
        <w:rPr>
          <w:sz w:val="20"/>
          <w:szCs w:val="20"/>
          <w:lang w:val="en-GB"/>
        </w:rPr>
      </w:pPr>
      <w:r w:rsidRPr="00812FFB">
        <w:rPr>
          <w:sz w:val="20"/>
          <w:szCs w:val="20"/>
          <w:lang w:val="en-GB"/>
        </w:rPr>
        <w:t>The project of redeveloping the NUS campus, serves as a paradigmatic illustration of these aspirations. The project's primary focus is to quantify and elucidate the value created through a combination of financial, environmental, and social costs and benefits inherent to the redevelopment.</w:t>
      </w:r>
    </w:p>
    <w:p w14:paraId="6D418F4F" w14:textId="77777777" w:rsidR="00904897" w:rsidRPr="00812FFB" w:rsidRDefault="00904897" w:rsidP="00427246">
      <w:pPr>
        <w:jc w:val="both"/>
        <w:rPr>
          <w:sz w:val="20"/>
          <w:szCs w:val="20"/>
          <w:lang w:val="en-GB"/>
        </w:rPr>
      </w:pPr>
    </w:p>
    <w:p w14:paraId="160FA0B9" w14:textId="77777777" w:rsidR="00AA09C6" w:rsidRPr="00812FFB" w:rsidRDefault="00AA09C6" w:rsidP="00904897">
      <w:pPr>
        <w:pStyle w:val="Heading2"/>
        <w:numPr>
          <w:ilvl w:val="0"/>
          <w:numId w:val="0"/>
        </w:numPr>
        <w:ind w:left="360" w:hanging="360"/>
        <w:rPr>
          <w:sz w:val="20"/>
          <w:szCs w:val="20"/>
        </w:rPr>
      </w:pPr>
      <w:bookmarkStart w:id="3" w:name="_3y66y85w6d4j" w:colFirst="0" w:colLast="0"/>
      <w:bookmarkStart w:id="4" w:name="_Toc150204540"/>
      <w:bookmarkEnd w:id="3"/>
      <w:r w:rsidRPr="00812FFB">
        <w:rPr>
          <w:sz w:val="20"/>
          <w:szCs w:val="20"/>
        </w:rPr>
        <w:t>1.1 Background of Project</w:t>
      </w:r>
      <w:bookmarkEnd w:id="4"/>
    </w:p>
    <w:p w14:paraId="7095990B" w14:textId="1FAEFD05" w:rsidR="00AA09C6" w:rsidRPr="00812FFB" w:rsidRDefault="00AA09C6" w:rsidP="00427246">
      <w:pPr>
        <w:jc w:val="both"/>
        <w:rPr>
          <w:sz w:val="20"/>
          <w:szCs w:val="20"/>
          <w:lang w:val="en-GB"/>
        </w:rPr>
      </w:pPr>
      <w:r w:rsidRPr="00812FFB">
        <w:rPr>
          <w:sz w:val="20"/>
          <w:szCs w:val="20"/>
          <w:lang w:val="en-GB"/>
        </w:rPr>
        <w:t xml:space="preserve">The NUS Campus Redevelopment Initiative is the recent undertaking by postgraduate students from the College of Design and Engineering to transform NUS into a model of sustainable design and functionality. The focus is on constructing new sustainable infrastructure to enhance </w:t>
      </w:r>
      <w:r w:rsidR="00427246" w:rsidRPr="00812FFB">
        <w:rPr>
          <w:sz w:val="20"/>
          <w:szCs w:val="20"/>
          <w:lang w:val="en-GB"/>
        </w:rPr>
        <w:t>its</w:t>
      </w:r>
      <w:r w:rsidRPr="00812FFB">
        <w:rPr>
          <w:sz w:val="20"/>
          <w:szCs w:val="20"/>
          <w:lang w:val="en-GB"/>
        </w:rPr>
        <w:t xml:space="preserve"> sustainability, where sustainability means actively involving essential systems at both the building and overall campus levels.</w:t>
      </w:r>
    </w:p>
    <w:p w14:paraId="622C6FC6" w14:textId="77777777" w:rsidR="00904897" w:rsidRPr="00812FFB" w:rsidRDefault="00904897" w:rsidP="00427246">
      <w:pPr>
        <w:jc w:val="both"/>
        <w:rPr>
          <w:sz w:val="20"/>
          <w:szCs w:val="20"/>
          <w:lang w:val="en-GB"/>
        </w:rPr>
      </w:pPr>
    </w:p>
    <w:p w14:paraId="361D3D69" w14:textId="77777777" w:rsidR="00AA09C6" w:rsidRPr="00812FFB" w:rsidRDefault="00AA09C6" w:rsidP="00427246">
      <w:pPr>
        <w:jc w:val="both"/>
        <w:rPr>
          <w:sz w:val="20"/>
          <w:szCs w:val="20"/>
          <w:lang w:val="en-GB"/>
        </w:rPr>
      </w:pPr>
      <w:r w:rsidRPr="00812FFB">
        <w:rPr>
          <w:sz w:val="20"/>
          <w:szCs w:val="20"/>
          <w:lang w:val="en-GB"/>
        </w:rPr>
        <w:t>The goal encompasses a wide spectrum of systems, including leveraging renewable energy sources, creating water-efficient landscapes, enhancing connectivity to reduce carbon footprints, and curating public spaces that foster community, collaboration, and innovation.</w:t>
      </w:r>
    </w:p>
    <w:p w14:paraId="01A8DBC5" w14:textId="77777777" w:rsidR="00904897" w:rsidRPr="00812FFB" w:rsidRDefault="00904897" w:rsidP="00427246">
      <w:pPr>
        <w:jc w:val="both"/>
        <w:rPr>
          <w:sz w:val="20"/>
          <w:szCs w:val="20"/>
          <w:lang w:val="en-GB"/>
        </w:rPr>
      </w:pPr>
    </w:p>
    <w:p w14:paraId="1AC9B180" w14:textId="77777777" w:rsidR="00AA09C6" w:rsidRPr="00812FFB" w:rsidRDefault="00AA09C6" w:rsidP="00427246">
      <w:pPr>
        <w:jc w:val="both"/>
        <w:rPr>
          <w:sz w:val="20"/>
          <w:szCs w:val="20"/>
          <w:lang w:val="en-GB"/>
        </w:rPr>
      </w:pPr>
      <w:r w:rsidRPr="00812FFB">
        <w:rPr>
          <w:sz w:val="20"/>
          <w:szCs w:val="20"/>
          <w:lang w:val="en-GB"/>
        </w:rPr>
        <w:t>The imperative to adopt such measures stems from several identified needs:</w:t>
      </w:r>
    </w:p>
    <w:p w14:paraId="46AB327F" w14:textId="77777777" w:rsidR="00AA09C6" w:rsidRPr="00812FFB" w:rsidRDefault="00AA09C6" w:rsidP="001C78A2">
      <w:pPr>
        <w:numPr>
          <w:ilvl w:val="0"/>
          <w:numId w:val="13"/>
        </w:numPr>
        <w:jc w:val="both"/>
        <w:rPr>
          <w:sz w:val="20"/>
          <w:szCs w:val="20"/>
          <w:lang w:val="en-GB"/>
        </w:rPr>
      </w:pPr>
      <w:r w:rsidRPr="00812FFB">
        <w:rPr>
          <w:sz w:val="20"/>
          <w:szCs w:val="20"/>
          <w:lang w:val="en-GB"/>
        </w:rPr>
        <w:t>The aspiration to achieve higher energy self-sustainability,</w:t>
      </w:r>
    </w:p>
    <w:p w14:paraId="30BD186A" w14:textId="77777777" w:rsidR="00AA09C6" w:rsidRPr="00812FFB" w:rsidRDefault="00AA09C6" w:rsidP="001C78A2">
      <w:pPr>
        <w:numPr>
          <w:ilvl w:val="0"/>
          <w:numId w:val="13"/>
        </w:numPr>
        <w:jc w:val="both"/>
        <w:rPr>
          <w:sz w:val="20"/>
          <w:szCs w:val="20"/>
          <w:lang w:val="en-GB"/>
        </w:rPr>
      </w:pPr>
      <w:r w:rsidRPr="00812FFB">
        <w:rPr>
          <w:sz w:val="20"/>
          <w:szCs w:val="20"/>
          <w:lang w:val="en-GB"/>
        </w:rPr>
        <w:t>The goal to reduce the escalating daily water consumption rates,</w:t>
      </w:r>
    </w:p>
    <w:p w14:paraId="615E7206" w14:textId="77777777" w:rsidR="00AA09C6" w:rsidRPr="00812FFB" w:rsidRDefault="00AA09C6" w:rsidP="001C78A2">
      <w:pPr>
        <w:numPr>
          <w:ilvl w:val="0"/>
          <w:numId w:val="13"/>
        </w:numPr>
        <w:jc w:val="both"/>
        <w:rPr>
          <w:sz w:val="20"/>
          <w:szCs w:val="20"/>
          <w:lang w:val="en-GB"/>
        </w:rPr>
      </w:pPr>
      <w:r w:rsidRPr="00812FFB">
        <w:rPr>
          <w:sz w:val="20"/>
          <w:szCs w:val="20"/>
          <w:lang w:val="en-GB"/>
        </w:rPr>
        <w:t>The pursuit to better connect various parts of the vast campus,</w:t>
      </w:r>
    </w:p>
    <w:p w14:paraId="7F493002" w14:textId="77777777" w:rsidR="00AA09C6" w:rsidRPr="00812FFB" w:rsidRDefault="00AA09C6" w:rsidP="001C78A2">
      <w:pPr>
        <w:numPr>
          <w:ilvl w:val="0"/>
          <w:numId w:val="13"/>
        </w:numPr>
        <w:jc w:val="both"/>
        <w:rPr>
          <w:sz w:val="20"/>
          <w:szCs w:val="20"/>
          <w:lang w:val="en-GB"/>
        </w:rPr>
      </w:pPr>
      <w:r w:rsidRPr="00812FFB">
        <w:rPr>
          <w:sz w:val="20"/>
          <w:szCs w:val="20"/>
          <w:lang w:val="en-GB"/>
        </w:rPr>
        <w:t>The drive to increase lush green zones, and</w:t>
      </w:r>
    </w:p>
    <w:p w14:paraId="35C3C925" w14:textId="77777777" w:rsidR="00AA09C6" w:rsidRPr="00812FFB" w:rsidRDefault="00AA09C6" w:rsidP="001C78A2">
      <w:pPr>
        <w:numPr>
          <w:ilvl w:val="0"/>
          <w:numId w:val="13"/>
        </w:numPr>
        <w:jc w:val="both"/>
        <w:rPr>
          <w:sz w:val="20"/>
          <w:szCs w:val="20"/>
          <w:lang w:val="en-GB"/>
        </w:rPr>
      </w:pPr>
      <w:r w:rsidRPr="00812FFB">
        <w:rPr>
          <w:sz w:val="20"/>
          <w:szCs w:val="20"/>
          <w:lang w:val="en-GB"/>
        </w:rPr>
        <w:t>The vision to create more inclusive public spaces for a growing student body.</w:t>
      </w:r>
    </w:p>
    <w:p w14:paraId="1B771027" w14:textId="77777777" w:rsidR="00904897" w:rsidRPr="00812FFB" w:rsidRDefault="00904897" w:rsidP="00904897">
      <w:pPr>
        <w:jc w:val="both"/>
        <w:rPr>
          <w:sz w:val="20"/>
          <w:szCs w:val="20"/>
          <w:lang w:val="en-GB"/>
        </w:rPr>
      </w:pPr>
    </w:p>
    <w:p w14:paraId="33085334" w14:textId="7321A2CA" w:rsidR="00AA09C6" w:rsidRPr="00812FFB" w:rsidRDefault="00AA09C6" w:rsidP="00427246">
      <w:pPr>
        <w:jc w:val="both"/>
        <w:rPr>
          <w:sz w:val="20"/>
          <w:szCs w:val="20"/>
          <w:lang w:val="en-GB"/>
        </w:rPr>
        <w:sectPr w:rsidR="00AA09C6" w:rsidRPr="00812FFB" w:rsidSect="00A96FBC">
          <w:footerReference w:type="default" r:id="rId9"/>
          <w:pgSz w:w="11906" w:h="16838"/>
          <w:pgMar w:top="720" w:right="720" w:bottom="720" w:left="720" w:header="720" w:footer="720" w:gutter="0"/>
          <w:pgNumType w:start="1"/>
          <w:cols w:space="720"/>
          <w:docGrid w:linePitch="326"/>
        </w:sectPr>
      </w:pPr>
      <w:r w:rsidRPr="00812FFB">
        <w:rPr>
          <w:sz w:val="20"/>
          <w:szCs w:val="20"/>
          <w:lang w:val="en-GB"/>
        </w:rPr>
        <w:t>To meet these challenges, the plan incorporates the setting up of solar energy stations, introducing advanced water conservation systems, optimizing transportation links, expanding verdant areas, and creating more communal spaces for students and staff. The end goal of these enhancements is to make NUS not just environmentally efficient and self-sufficient, but also a more vibrant, inclusive, and holistic place for learning, innovation, and community engagemen</w:t>
      </w:r>
      <w:bookmarkStart w:id="5" w:name="_5gppr25jbc10" w:colFirst="0" w:colLast="0"/>
      <w:bookmarkEnd w:id="5"/>
      <w:r w:rsidRPr="00812FFB">
        <w:rPr>
          <w:sz w:val="20"/>
          <w:szCs w:val="20"/>
          <w:lang w:val="en-GB"/>
        </w:rPr>
        <w:t>t.</w:t>
      </w:r>
    </w:p>
    <w:p w14:paraId="7310AB4C" w14:textId="2FD87CDC" w:rsidR="6CB2097F" w:rsidRPr="00812FFB" w:rsidRDefault="6CB2097F" w:rsidP="007A35B1">
      <w:pPr>
        <w:pStyle w:val="Heading1"/>
      </w:pPr>
      <w:bookmarkStart w:id="6" w:name="_Toc150204541"/>
      <w:r w:rsidRPr="00812FFB">
        <w:lastRenderedPageBreak/>
        <w:t>2.Theory of change</w:t>
      </w:r>
      <w:bookmarkEnd w:id="6"/>
      <w:r w:rsidRPr="00812FFB">
        <w:t xml:space="preserve"> </w:t>
      </w:r>
    </w:p>
    <w:p w14:paraId="426FAC01" w14:textId="156D8A67" w:rsidR="00D552B5" w:rsidRPr="00812FFB" w:rsidRDefault="0092282E" w:rsidP="00D552B5">
      <w:pPr>
        <w:rPr>
          <w:sz w:val="20"/>
          <w:szCs w:val="20"/>
        </w:rPr>
      </w:pPr>
      <w:r w:rsidRPr="00812FFB">
        <w:rPr>
          <w:sz w:val="20"/>
          <w:szCs w:val="20"/>
        </w:rPr>
        <w:t xml:space="preserve">The National University of Singapore Kent Ridge Campus has 4 key aspirations: Responsible carbon footprint, a climate resilient cool campus, driving positive social norms and </w:t>
      </w:r>
      <w:r w:rsidR="000701AD" w:rsidRPr="00812FFB">
        <w:rPr>
          <w:sz w:val="20"/>
          <w:szCs w:val="20"/>
        </w:rPr>
        <w:t xml:space="preserve">responsible procurement practices. </w:t>
      </w:r>
      <w:r w:rsidR="009236A2" w:rsidRPr="00812FFB">
        <w:rPr>
          <w:sz w:val="20"/>
          <w:szCs w:val="20"/>
        </w:rPr>
        <w:t>Plans to re</w:t>
      </w:r>
      <w:r w:rsidR="00C77AF4" w:rsidRPr="00812FFB">
        <w:rPr>
          <w:sz w:val="20"/>
          <w:szCs w:val="20"/>
        </w:rPr>
        <w:t>-design the National University of Singapore Campus to make it more sustainable</w:t>
      </w:r>
    </w:p>
    <w:p w14:paraId="5BDF9C46" w14:textId="77777777" w:rsidR="00904897" w:rsidRPr="00812FFB" w:rsidRDefault="00904897" w:rsidP="00D552B5">
      <w:pPr>
        <w:rPr>
          <w:sz w:val="20"/>
          <w:szCs w:val="20"/>
        </w:rPr>
      </w:pPr>
    </w:p>
    <w:p w14:paraId="2F12D83C" w14:textId="0B0ABD59" w:rsidR="006A4642" w:rsidRPr="00812FFB" w:rsidRDefault="00BF6F82" w:rsidP="00BF6F82">
      <w:pPr>
        <w:rPr>
          <w:sz w:val="20"/>
          <w:szCs w:val="20"/>
        </w:rPr>
      </w:pPr>
      <w:r w:rsidRPr="00812FFB">
        <w:rPr>
          <w:sz w:val="20"/>
          <w:szCs w:val="20"/>
        </w:rPr>
        <w:t>I</w:t>
      </w:r>
      <w:r w:rsidR="006A4642" w:rsidRPr="00812FFB">
        <w:rPr>
          <w:sz w:val="20"/>
          <w:szCs w:val="20"/>
        </w:rPr>
        <w:t>t</w:t>
      </w:r>
      <w:r w:rsidRPr="00812FFB">
        <w:rPr>
          <w:sz w:val="20"/>
          <w:szCs w:val="20"/>
        </w:rPr>
        <w:t xml:space="preserve"> has become increasingly important to clearly define the value proposition for re-development, </w:t>
      </w:r>
      <w:r w:rsidR="00E62420" w:rsidRPr="00812FFB">
        <w:rPr>
          <w:sz w:val="20"/>
          <w:szCs w:val="20"/>
        </w:rPr>
        <w:t xml:space="preserve">providing a view of the financial value attached to the environmental and social impact generated as well. </w:t>
      </w:r>
    </w:p>
    <w:p w14:paraId="0AD101DA" w14:textId="77777777" w:rsidR="00904897" w:rsidRPr="00812FFB" w:rsidRDefault="00904897" w:rsidP="00BF6F82">
      <w:pPr>
        <w:rPr>
          <w:sz w:val="20"/>
          <w:szCs w:val="20"/>
        </w:rPr>
      </w:pPr>
    </w:p>
    <w:p w14:paraId="68C8020A" w14:textId="37B6D8DC" w:rsidR="007A6698" w:rsidRPr="00812FFB" w:rsidRDefault="007A6698" w:rsidP="00BF6F82">
      <w:pPr>
        <w:rPr>
          <w:color w:val="000000" w:themeColor="text1"/>
          <w:sz w:val="20"/>
          <w:szCs w:val="20"/>
        </w:rPr>
      </w:pPr>
      <w:r w:rsidRPr="00812FFB">
        <w:rPr>
          <w:sz w:val="20"/>
          <w:szCs w:val="20"/>
        </w:rPr>
        <w:t xml:space="preserve">Thus, we first establish the Strategic Plan using </w:t>
      </w:r>
      <w:r w:rsidR="000719EE" w:rsidRPr="00812FFB">
        <w:rPr>
          <w:sz w:val="20"/>
          <w:szCs w:val="20"/>
        </w:rPr>
        <w:t xml:space="preserve">Theory of Change to establish the problem and intended impact. Followed by the establishment of the Standards of Performance with the Logic Model in order to pick out weaknesses and barriers to implementation, measure progress and outcome metrics and </w:t>
      </w:r>
      <w:r w:rsidR="000719EE" w:rsidRPr="00812FFB">
        <w:rPr>
          <w:color w:val="000000" w:themeColor="text1"/>
          <w:sz w:val="20"/>
          <w:szCs w:val="20"/>
        </w:rPr>
        <w:t>design an evaluation plan for the impact achieved</w:t>
      </w:r>
      <w:r w:rsidR="7570DE9B" w:rsidRPr="00812FFB">
        <w:rPr>
          <w:color w:val="000000" w:themeColor="text1"/>
          <w:sz w:val="20"/>
          <w:szCs w:val="20"/>
        </w:rPr>
        <w:t>.</w:t>
      </w:r>
    </w:p>
    <w:tbl>
      <w:tblPr>
        <w:tblW w:w="14024" w:type="dxa"/>
        <w:tblLayout w:type="fixed"/>
        <w:tblLook w:val="0600" w:firstRow="0" w:lastRow="0" w:firstColumn="0" w:lastColumn="0" w:noHBand="1" w:noVBand="1"/>
      </w:tblPr>
      <w:tblGrid>
        <w:gridCol w:w="983"/>
        <w:gridCol w:w="4100"/>
        <w:gridCol w:w="3979"/>
        <w:gridCol w:w="4962"/>
      </w:tblGrid>
      <w:tr w:rsidR="3F99D55D" w:rsidRPr="00812FFB" w14:paraId="69659252" w14:textId="77777777" w:rsidTr="00D860BF">
        <w:trPr>
          <w:trHeight w:val="536"/>
        </w:trPr>
        <w:tc>
          <w:tcPr>
            <w:tcW w:w="14024"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E0E3"/>
            <w:tcMar>
              <w:top w:w="100" w:type="dxa"/>
              <w:left w:w="100" w:type="dxa"/>
              <w:bottom w:w="100" w:type="dxa"/>
              <w:right w:w="100" w:type="dxa"/>
            </w:tcMar>
          </w:tcPr>
          <w:p w14:paraId="24A44A4C" w14:textId="3C56D224" w:rsidR="3F99D55D" w:rsidRPr="00812FFB" w:rsidRDefault="3F99D55D" w:rsidP="3F99D55D">
            <w:pPr>
              <w:rPr>
                <w:sz w:val="20"/>
                <w:szCs w:val="20"/>
              </w:rPr>
            </w:pPr>
            <w:r w:rsidRPr="00812FFB">
              <w:rPr>
                <w:rFonts w:eastAsia="Arial"/>
                <w:b/>
                <w:bCs/>
                <w:color w:val="000000" w:themeColor="text1"/>
                <w:sz w:val="20"/>
                <w:szCs w:val="20"/>
                <w:lang w:val="en-GB"/>
              </w:rPr>
              <w:t>Organisation:</w:t>
            </w:r>
            <w:r w:rsidRPr="00812FFB">
              <w:rPr>
                <w:rFonts w:eastAsia="Arial"/>
                <w:color w:val="000000" w:themeColor="text1"/>
                <w:sz w:val="20"/>
                <w:szCs w:val="20"/>
                <w:lang w:val="en-GB"/>
              </w:rPr>
              <w:t xml:space="preserve"> </w:t>
            </w:r>
            <w:r w:rsidR="1EDB302B" w:rsidRPr="00812FFB">
              <w:rPr>
                <w:rFonts w:eastAsia="Arial"/>
                <w:color w:val="000000" w:themeColor="text1"/>
                <w:sz w:val="20"/>
                <w:szCs w:val="20"/>
                <w:lang w:val="en-GB"/>
              </w:rPr>
              <w:t>University Campus Infrastructure</w:t>
            </w:r>
          </w:p>
          <w:p w14:paraId="630C5198" w14:textId="4445B172" w:rsidR="3F99D55D" w:rsidRPr="00812FFB" w:rsidRDefault="3F99D55D" w:rsidP="3F99D55D">
            <w:pPr>
              <w:rPr>
                <w:rFonts w:eastAsia="Arial"/>
                <w:color w:val="000000" w:themeColor="text1"/>
                <w:sz w:val="20"/>
                <w:szCs w:val="20"/>
                <w:lang w:val="en-GB"/>
              </w:rPr>
            </w:pPr>
            <w:r w:rsidRPr="00812FFB">
              <w:rPr>
                <w:rFonts w:eastAsia="Arial"/>
                <w:b/>
                <w:bCs/>
                <w:color w:val="000000" w:themeColor="text1"/>
                <w:sz w:val="20"/>
                <w:szCs w:val="20"/>
                <w:lang w:val="en-GB"/>
              </w:rPr>
              <w:t>Intervention:</w:t>
            </w:r>
            <w:r w:rsidRPr="00812FFB">
              <w:rPr>
                <w:rFonts w:eastAsia="Arial"/>
                <w:color w:val="000000" w:themeColor="text1"/>
                <w:sz w:val="20"/>
                <w:szCs w:val="20"/>
                <w:lang w:val="en-GB"/>
              </w:rPr>
              <w:t xml:space="preserve"> </w:t>
            </w:r>
            <w:r w:rsidR="06B80389" w:rsidRPr="00812FFB">
              <w:rPr>
                <w:rFonts w:eastAsia="Arial"/>
                <w:color w:val="000000" w:themeColor="text1"/>
                <w:sz w:val="20"/>
                <w:szCs w:val="20"/>
                <w:lang w:val="en-GB"/>
              </w:rPr>
              <w:t>NUS Campus Masterplan: A Carbon Neutral Campus</w:t>
            </w:r>
          </w:p>
        </w:tc>
      </w:tr>
      <w:tr w:rsidR="3F99D55D" w:rsidRPr="00812FFB" w14:paraId="4E922110" w14:textId="77777777" w:rsidTr="000123CA">
        <w:trPr>
          <w:trHeight w:val="300"/>
        </w:trPr>
        <w:tc>
          <w:tcPr>
            <w:tcW w:w="9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Mar>
              <w:top w:w="100" w:type="dxa"/>
              <w:left w:w="100" w:type="dxa"/>
              <w:bottom w:w="100" w:type="dxa"/>
              <w:right w:w="100" w:type="dxa"/>
            </w:tcMar>
          </w:tcPr>
          <w:p w14:paraId="513F7454" w14:textId="74CEE453" w:rsidR="3F99D55D" w:rsidRPr="00812FFB" w:rsidRDefault="3F99D55D" w:rsidP="3F99D55D">
            <w:pPr>
              <w:jc w:val="center"/>
              <w:rPr>
                <w:sz w:val="20"/>
                <w:szCs w:val="20"/>
              </w:rPr>
            </w:pPr>
            <w:r w:rsidRPr="00812FFB">
              <w:rPr>
                <w:rFonts w:eastAsia="Arial"/>
                <w:b/>
                <w:bCs/>
                <w:color w:val="000000" w:themeColor="text1"/>
                <w:sz w:val="20"/>
                <w:szCs w:val="20"/>
                <w:lang w:val="en-GB"/>
              </w:rPr>
              <w:t>Key Element</w:t>
            </w:r>
          </w:p>
        </w:tc>
        <w:tc>
          <w:tcPr>
            <w:tcW w:w="4100" w:type="dxa"/>
            <w:tcBorders>
              <w:top w:val="nil"/>
              <w:left w:val="single" w:sz="8" w:space="0" w:color="000000" w:themeColor="text1"/>
              <w:bottom w:val="single" w:sz="8" w:space="0" w:color="000000" w:themeColor="text1"/>
              <w:right w:val="single" w:sz="8" w:space="0" w:color="000000" w:themeColor="text1"/>
            </w:tcBorders>
            <w:shd w:val="clear" w:color="auto" w:fill="CFE2F3"/>
            <w:tcMar>
              <w:top w:w="100" w:type="dxa"/>
              <w:left w:w="100" w:type="dxa"/>
              <w:bottom w:w="100" w:type="dxa"/>
              <w:right w:w="100" w:type="dxa"/>
            </w:tcMar>
          </w:tcPr>
          <w:p w14:paraId="05A7C837" w14:textId="7D2F1B90" w:rsidR="3F99D55D" w:rsidRPr="00812FFB" w:rsidRDefault="3F99D55D" w:rsidP="3F99D55D">
            <w:pPr>
              <w:jc w:val="center"/>
              <w:rPr>
                <w:sz w:val="20"/>
                <w:szCs w:val="20"/>
              </w:rPr>
            </w:pPr>
            <w:r w:rsidRPr="00812FFB">
              <w:rPr>
                <w:rFonts w:eastAsia="Arial"/>
                <w:b/>
                <w:bCs/>
                <w:color w:val="000000" w:themeColor="text1"/>
                <w:sz w:val="20"/>
                <w:szCs w:val="20"/>
                <w:lang w:val="en-GB"/>
              </w:rPr>
              <w:t>Current State</w:t>
            </w:r>
          </w:p>
        </w:tc>
        <w:tc>
          <w:tcPr>
            <w:tcW w:w="3979" w:type="dxa"/>
            <w:tcBorders>
              <w:top w:val="nil"/>
              <w:left w:val="single" w:sz="8" w:space="0" w:color="000000" w:themeColor="text1"/>
              <w:bottom w:val="single" w:sz="8" w:space="0" w:color="000000" w:themeColor="text1"/>
              <w:right w:val="single" w:sz="8" w:space="0" w:color="000000" w:themeColor="text1"/>
            </w:tcBorders>
            <w:shd w:val="clear" w:color="auto" w:fill="CFE2F3"/>
            <w:tcMar>
              <w:top w:w="100" w:type="dxa"/>
              <w:left w:w="100" w:type="dxa"/>
              <w:bottom w:w="100" w:type="dxa"/>
              <w:right w:w="100" w:type="dxa"/>
            </w:tcMar>
          </w:tcPr>
          <w:p w14:paraId="59F59C2E" w14:textId="64B80CC7" w:rsidR="3F99D55D" w:rsidRPr="00812FFB" w:rsidRDefault="3F99D55D" w:rsidP="3F99D55D">
            <w:pPr>
              <w:jc w:val="center"/>
              <w:rPr>
                <w:sz w:val="20"/>
                <w:szCs w:val="20"/>
              </w:rPr>
            </w:pPr>
            <w:r w:rsidRPr="00812FFB">
              <w:rPr>
                <w:rFonts w:eastAsia="Arial"/>
                <w:b/>
                <w:bCs/>
                <w:color w:val="000000" w:themeColor="text1"/>
                <w:sz w:val="20"/>
                <w:szCs w:val="20"/>
                <w:lang w:val="en-GB"/>
              </w:rPr>
              <w:t>Intervention</w:t>
            </w:r>
          </w:p>
        </w:tc>
        <w:tc>
          <w:tcPr>
            <w:tcW w:w="4962" w:type="dxa"/>
            <w:tcBorders>
              <w:top w:val="nil"/>
              <w:left w:val="single" w:sz="8" w:space="0" w:color="000000" w:themeColor="text1"/>
              <w:bottom w:val="single" w:sz="8" w:space="0" w:color="000000" w:themeColor="text1"/>
              <w:right w:val="single" w:sz="8" w:space="0" w:color="000000" w:themeColor="text1"/>
            </w:tcBorders>
            <w:shd w:val="clear" w:color="auto" w:fill="CFE2F3"/>
            <w:tcMar>
              <w:top w:w="100" w:type="dxa"/>
              <w:left w:w="100" w:type="dxa"/>
              <w:bottom w:w="100" w:type="dxa"/>
              <w:right w:w="100" w:type="dxa"/>
            </w:tcMar>
          </w:tcPr>
          <w:p w14:paraId="0A03BDA9" w14:textId="049FA930" w:rsidR="3F99D55D" w:rsidRPr="00812FFB" w:rsidRDefault="3F99D55D" w:rsidP="3F99D55D">
            <w:pPr>
              <w:jc w:val="center"/>
              <w:rPr>
                <w:sz w:val="20"/>
                <w:szCs w:val="20"/>
              </w:rPr>
            </w:pPr>
            <w:r w:rsidRPr="00812FFB">
              <w:rPr>
                <w:rFonts w:eastAsia="Arial"/>
                <w:b/>
                <w:bCs/>
                <w:color w:val="000000" w:themeColor="text1"/>
                <w:sz w:val="20"/>
                <w:szCs w:val="20"/>
                <w:lang w:val="en-GB"/>
              </w:rPr>
              <w:t>Desired State</w:t>
            </w:r>
          </w:p>
        </w:tc>
      </w:tr>
      <w:tr w:rsidR="3F99D55D" w:rsidRPr="00812FFB" w14:paraId="67F2BA80" w14:textId="77777777" w:rsidTr="000123CA">
        <w:trPr>
          <w:trHeight w:val="300"/>
        </w:trPr>
        <w:tc>
          <w:tcPr>
            <w:tcW w:w="9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883A4D" w14:textId="4FFADD57" w:rsidR="3F99D55D" w:rsidRPr="00812FFB" w:rsidRDefault="3F99D55D" w:rsidP="3F99D55D">
            <w:pPr>
              <w:jc w:val="center"/>
              <w:rPr>
                <w:sz w:val="20"/>
                <w:szCs w:val="20"/>
              </w:rPr>
            </w:pPr>
            <w:r w:rsidRPr="00812FFB">
              <w:rPr>
                <w:rFonts w:eastAsia="Arial"/>
                <w:b/>
                <w:bCs/>
                <w:sz w:val="20"/>
                <w:szCs w:val="20"/>
                <w:lang w:val="en-GB"/>
              </w:rPr>
              <w:t>Energy</w:t>
            </w:r>
            <w:r w:rsidR="68F2FB96" w:rsidRPr="00812FFB">
              <w:rPr>
                <w:rFonts w:eastAsia="Arial"/>
                <w:b/>
                <w:bCs/>
                <w:sz w:val="20"/>
                <w:szCs w:val="20"/>
                <w:lang w:val="en-GB"/>
              </w:rPr>
              <w:t xml:space="preserve">  </w:t>
            </w:r>
          </w:p>
        </w:tc>
        <w:tc>
          <w:tcPr>
            <w:tcW w:w="4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B7D968" w14:textId="4182D7E0" w:rsidR="3F99D55D" w:rsidRPr="00812FFB" w:rsidRDefault="547122D1" w:rsidP="29EA5DB8">
            <w:pPr>
              <w:jc w:val="both"/>
              <w:rPr>
                <w:rFonts w:eastAsia="Arial"/>
                <w:sz w:val="20"/>
                <w:szCs w:val="20"/>
                <w:lang w:val="en-GB"/>
              </w:rPr>
            </w:pPr>
            <w:r w:rsidRPr="00812FFB">
              <w:rPr>
                <w:rFonts w:eastAsia="Arial"/>
                <w:sz w:val="20"/>
                <w:szCs w:val="20"/>
                <w:lang w:val="en-GB"/>
              </w:rPr>
              <w:t xml:space="preserve">The current campus generates 0.6 </w:t>
            </w:r>
            <w:r w:rsidR="77589D67" w:rsidRPr="00812FFB">
              <w:rPr>
                <w:rFonts w:eastAsia="Arial"/>
                <w:sz w:val="20"/>
                <w:szCs w:val="20"/>
                <w:lang w:val="en-GB"/>
              </w:rPr>
              <w:t xml:space="preserve">mil </w:t>
            </w:r>
            <w:r w:rsidRPr="00812FFB">
              <w:rPr>
                <w:rFonts w:eastAsia="Arial"/>
                <w:sz w:val="20"/>
                <w:szCs w:val="20"/>
                <w:lang w:val="en-GB"/>
              </w:rPr>
              <w:t>kWh of energy, which is 0.2% energy self-sufficient.</w:t>
            </w:r>
          </w:p>
          <w:p w14:paraId="7F6FE023" w14:textId="0A148514" w:rsidR="3F99D55D" w:rsidRPr="00812FFB" w:rsidRDefault="3F99D55D" w:rsidP="3F99D55D">
            <w:pPr>
              <w:jc w:val="both"/>
              <w:rPr>
                <w:sz w:val="20"/>
                <w:szCs w:val="20"/>
              </w:rPr>
            </w:pPr>
            <w:r w:rsidRPr="00812FFB">
              <w:rPr>
                <w:rFonts w:eastAsia="Arial"/>
                <w:sz w:val="20"/>
                <w:szCs w:val="20"/>
                <w:lang w:val="en-GB"/>
              </w:rPr>
              <w:t xml:space="preserve"> </w:t>
            </w:r>
          </w:p>
          <w:p w14:paraId="735E5251" w14:textId="15A7E2EA" w:rsidR="3F99D55D" w:rsidRPr="00812FFB" w:rsidRDefault="77C76611" w:rsidP="29EA5DB8">
            <w:pPr>
              <w:jc w:val="both"/>
              <w:rPr>
                <w:rFonts w:eastAsia="Arial"/>
                <w:sz w:val="20"/>
                <w:szCs w:val="20"/>
                <w:lang w:val="en-GB"/>
              </w:rPr>
            </w:pPr>
            <w:r w:rsidRPr="00812FFB">
              <w:rPr>
                <w:rFonts w:eastAsia="Arial"/>
                <w:sz w:val="20"/>
                <w:szCs w:val="20"/>
                <w:lang w:val="en-GB"/>
              </w:rPr>
              <w:t>The main source of energy supply is only from existing solar PV, generating 0.6 mil kWh.</w:t>
            </w:r>
          </w:p>
          <w:p w14:paraId="37DF3301" w14:textId="4B59090C" w:rsidR="3F99D55D" w:rsidRPr="00812FFB" w:rsidRDefault="3F99D55D" w:rsidP="29EA5DB8">
            <w:pPr>
              <w:jc w:val="both"/>
              <w:rPr>
                <w:rFonts w:eastAsia="Arial"/>
                <w:sz w:val="20"/>
                <w:szCs w:val="20"/>
                <w:lang w:val="en-GB"/>
              </w:rPr>
            </w:pPr>
          </w:p>
          <w:p w14:paraId="50946770" w14:textId="2933379E" w:rsidR="3F99D55D" w:rsidRPr="00812FFB" w:rsidRDefault="77C76611" w:rsidP="29EA5DB8">
            <w:pPr>
              <w:jc w:val="both"/>
              <w:rPr>
                <w:rFonts w:eastAsia="Arial"/>
                <w:sz w:val="20"/>
                <w:szCs w:val="20"/>
                <w:lang w:val="en-GB"/>
              </w:rPr>
            </w:pPr>
            <w:r w:rsidRPr="00812FFB">
              <w:rPr>
                <w:rFonts w:eastAsia="Arial"/>
                <w:sz w:val="20"/>
                <w:szCs w:val="20"/>
                <w:lang w:val="en-GB"/>
              </w:rPr>
              <w:t>Existing district cooling system reduces 70 mil kWh</w:t>
            </w:r>
            <w:r w:rsidR="2440EC5B" w:rsidRPr="00812FFB">
              <w:rPr>
                <w:rFonts w:eastAsia="Arial"/>
                <w:sz w:val="20"/>
                <w:szCs w:val="20"/>
                <w:lang w:val="en-GB"/>
              </w:rPr>
              <w:t>, 25.3% of the energy demand.</w:t>
            </w:r>
          </w:p>
        </w:tc>
        <w:tc>
          <w:tcPr>
            <w:tcW w:w="39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33FD7C" w14:textId="5B4C9054" w:rsidR="3F99D55D" w:rsidRPr="00812FFB" w:rsidRDefault="5463A30D" w:rsidP="29EA5DB8">
            <w:pPr>
              <w:jc w:val="both"/>
              <w:rPr>
                <w:rFonts w:eastAsia="Arial"/>
                <w:sz w:val="20"/>
                <w:szCs w:val="20"/>
                <w:lang w:val="en-GB"/>
              </w:rPr>
            </w:pPr>
            <w:r w:rsidRPr="00812FFB">
              <w:rPr>
                <w:rFonts w:eastAsia="Arial"/>
                <w:sz w:val="20"/>
                <w:szCs w:val="20"/>
                <w:lang w:val="en-GB"/>
              </w:rPr>
              <w:t>Proposed</w:t>
            </w:r>
            <w:r w:rsidR="35EF497F" w:rsidRPr="00812FFB">
              <w:rPr>
                <w:rFonts w:eastAsia="Arial"/>
                <w:sz w:val="20"/>
                <w:szCs w:val="20"/>
                <w:lang w:val="en-GB"/>
              </w:rPr>
              <w:t xml:space="preserve"> measures to generate energy and reduce energy </w:t>
            </w:r>
            <w:proofErr w:type="gramStart"/>
            <w:r w:rsidR="35EF497F" w:rsidRPr="00812FFB">
              <w:rPr>
                <w:rFonts w:eastAsia="Arial"/>
                <w:sz w:val="20"/>
                <w:szCs w:val="20"/>
                <w:lang w:val="en-GB"/>
              </w:rPr>
              <w:t>demand</w:t>
            </w:r>
            <w:proofErr w:type="gramEnd"/>
          </w:p>
          <w:p w14:paraId="291D6FFF" w14:textId="1B7D57EE" w:rsidR="3F99D55D" w:rsidRPr="00812FFB" w:rsidRDefault="35EF497F" w:rsidP="29EA5DB8">
            <w:pPr>
              <w:jc w:val="both"/>
              <w:rPr>
                <w:rFonts w:eastAsia="Arial"/>
                <w:sz w:val="20"/>
                <w:szCs w:val="20"/>
                <w:lang w:val="en-GB"/>
              </w:rPr>
            </w:pPr>
            <w:r w:rsidRPr="00812FFB">
              <w:rPr>
                <w:rFonts w:eastAsia="Arial"/>
                <w:sz w:val="20"/>
                <w:szCs w:val="20"/>
                <w:lang w:val="en-GB"/>
              </w:rPr>
              <w:t>1.</w:t>
            </w:r>
            <w:r w:rsidR="5463A30D" w:rsidRPr="00812FFB">
              <w:rPr>
                <w:rFonts w:eastAsia="Arial"/>
                <w:sz w:val="20"/>
                <w:szCs w:val="20"/>
                <w:lang w:val="en-GB"/>
              </w:rPr>
              <w:t xml:space="preserve"> </w:t>
            </w:r>
            <w:r w:rsidR="048659C0" w:rsidRPr="00812FFB">
              <w:rPr>
                <w:rFonts w:eastAsia="Arial"/>
                <w:sz w:val="20"/>
                <w:szCs w:val="20"/>
                <w:lang w:val="en-GB"/>
              </w:rPr>
              <w:t>A</w:t>
            </w:r>
            <w:r w:rsidR="5463A30D" w:rsidRPr="00812FFB">
              <w:rPr>
                <w:rFonts w:eastAsia="Arial"/>
                <w:sz w:val="20"/>
                <w:szCs w:val="20"/>
                <w:lang w:val="en-GB"/>
              </w:rPr>
              <w:t>dditional Rooftop solar PV</w:t>
            </w:r>
            <w:r w:rsidR="6FD8BE16" w:rsidRPr="00812FFB">
              <w:rPr>
                <w:rFonts w:eastAsia="Arial"/>
                <w:sz w:val="20"/>
                <w:szCs w:val="20"/>
                <w:lang w:val="en-GB"/>
              </w:rPr>
              <w:t xml:space="preserve"> that generates 197 mil kWh, 143% of energy demand</w:t>
            </w:r>
          </w:p>
          <w:p w14:paraId="2B3C1B5D" w14:textId="71BC6C4B" w:rsidR="3F99D55D" w:rsidRPr="00812FFB" w:rsidRDefault="6FD8BE16" w:rsidP="29EA5DB8">
            <w:pPr>
              <w:jc w:val="both"/>
              <w:rPr>
                <w:rFonts w:eastAsia="Arial"/>
                <w:sz w:val="20"/>
                <w:szCs w:val="20"/>
                <w:lang w:val="en-GB"/>
              </w:rPr>
            </w:pPr>
            <w:r w:rsidRPr="00812FFB">
              <w:rPr>
                <w:rFonts w:eastAsia="Arial"/>
                <w:sz w:val="20"/>
                <w:szCs w:val="20"/>
                <w:lang w:val="en-GB"/>
              </w:rPr>
              <w:t xml:space="preserve">2. </w:t>
            </w:r>
            <w:r w:rsidR="5463A30D" w:rsidRPr="00812FFB">
              <w:rPr>
                <w:rFonts w:eastAsia="Arial"/>
                <w:sz w:val="20"/>
                <w:szCs w:val="20"/>
                <w:lang w:val="en-GB"/>
              </w:rPr>
              <w:t xml:space="preserve">façade solar </w:t>
            </w:r>
            <w:r w:rsidR="00E712AB" w:rsidRPr="00812FFB">
              <w:rPr>
                <w:rFonts w:eastAsia="Arial"/>
                <w:sz w:val="20"/>
                <w:szCs w:val="20"/>
                <w:lang w:val="en-GB"/>
              </w:rPr>
              <w:t>PV</w:t>
            </w:r>
            <w:r w:rsidR="03165D30" w:rsidRPr="00812FFB">
              <w:rPr>
                <w:rFonts w:eastAsia="Arial"/>
                <w:sz w:val="20"/>
                <w:szCs w:val="20"/>
                <w:lang w:val="en-GB"/>
              </w:rPr>
              <w:t xml:space="preserve"> that generates 11 mil kWh, 8% of energy demand</w:t>
            </w:r>
          </w:p>
          <w:p w14:paraId="577192B0" w14:textId="56F3D5EB" w:rsidR="3F99D55D" w:rsidRPr="00812FFB" w:rsidRDefault="03165D30" w:rsidP="29EA5DB8">
            <w:pPr>
              <w:jc w:val="both"/>
              <w:rPr>
                <w:rFonts w:eastAsia="Arial"/>
                <w:sz w:val="20"/>
                <w:szCs w:val="20"/>
                <w:lang w:val="en-GB"/>
              </w:rPr>
            </w:pPr>
            <w:r w:rsidRPr="00812FFB">
              <w:rPr>
                <w:rFonts w:eastAsia="Arial"/>
                <w:sz w:val="20"/>
                <w:szCs w:val="20"/>
                <w:lang w:val="en-GB"/>
              </w:rPr>
              <w:t>3.</w:t>
            </w:r>
            <w:r w:rsidR="5463A30D" w:rsidRPr="00812FFB">
              <w:rPr>
                <w:rFonts w:eastAsia="Arial"/>
                <w:sz w:val="20"/>
                <w:szCs w:val="20"/>
                <w:lang w:val="en-GB"/>
              </w:rPr>
              <w:t xml:space="preserve"> wind turbine with rooftop</w:t>
            </w:r>
            <w:r w:rsidR="391B7824" w:rsidRPr="00812FFB">
              <w:rPr>
                <w:rFonts w:eastAsia="Arial"/>
                <w:sz w:val="20"/>
                <w:szCs w:val="20"/>
                <w:lang w:val="en-GB"/>
              </w:rPr>
              <w:t xml:space="preserve"> </w:t>
            </w:r>
            <w:r w:rsidR="00E712AB" w:rsidRPr="00812FFB">
              <w:rPr>
                <w:rFonts w:eastAsia="Arial"/>
                <w:sz w:val="20"/>
                <w:szCs w:val="20"/>
                <w:lang w:val="en-GB"/>
              </w:rPr>
              <w:t>PV</w:t>
            </w:r>
            <w:r w:rsidR="391B7824" w:rsidRPr="00812FFB">
              <w:rPr>
                <w:rFonts w:eastAsia="Arial"/>
                <w:sz w:val="20"/>
                <w:szCs w:val="20"/>
                <w:lang w:val="en-GB"/>
              </w:rPr>
              <w:t>, that generates 18 mil kWh, 11% of energy demand</w:t>
            </w:r>
          </w:p>
          <w:p w14:paraId="2B010A68" w14:textId="5DDA42AF" w:rsidR="3F99D55D" w:rsidRPr="00812FFB" w:rsidRDefault="391B7824" w:rsidP="29EA5DB8">
            <w:pPr>
              <w:jc w:val="both"/>
              <w:rPr>
                <w:sz w:val="20"/>
                <w:szCs w:val="20"/>
                <w:lang w:val="en-GB"/>
              </w:rPr>
            </w:pPr>
            <w:r w:rsidRPr="00812FFB">
              <w:rPr>
                <w:rFonts w:eastAsia="Arial"/>
                <w:sz w:val="20"/>
                <w:szCs w:val="20"/>
                <w:lang w:val="en-GB"/>
              </w:rPr>
              <w:t>4. district cooling system is proposed to reduce energy demand by 26 mil kWh, 7.4% of energy demand</w:t>
            </w:r>
          </w:p>
        </w:tc>
        <w:tc>
          <w:tcPr>
            <w:tcW w:w="49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3054D7" w14:textId="116DFE98" w:rsidR="3F99D55D" w:rsidRPr="00812FFB" w:rsidRDefault="2CD9863A" w:rsidP="29EA5DB8">
            <w:pPr>
              <w:jc w:val="both"/>
              <w:rPr>
                <w:rFonts w:eastAsia="Arial"/>
                <w:sz w:val="20"/>
                <w:szCs w:val="20"/>
                <w:lang w:val="en-GB"/>
              </w:rPr>
            </w:pPr>
            <w:r w:rsidRPr="00812FFB">
              <w:rPr>
                <w:rFonts w:eastAsia="Arial"/>
                <w:sz w:val="20"/>
                <w:szCs w:val="20"/>
                <w:lang w:val="en-GB"/>
              </w:rPr>
              <w:t>The campus can generate 226</w:t>
            </w:r>
            <w:r w:rsidR="0F077C74" w:rsidRPr="00812FFB">
              <w:rPr>
                <w:rFonts w:eastAsia="Arial"/>
                <w:sz w:val="20"/>
                <w:szCs w:val="20"/>
                <w:lang w:val="en-GB"/>
              </w:rPr>
              <w:t xml:space="preserve"> mil</w:t>
            </w:r>
            <w:r w:rsidRPr="00812FFB">
              <w:rPr>
                <w:rFonts w:eastAsia="Arial"/>
                <w:sz w:val="20"/>
                <w:szCs w:val="20"/>
                <w:lang w:val="en-GB"/>
              </w:rPr>
              <w:t xml:space="preserve"> kWh of energy, which is 163% energy self-sufficient.</w:t>
            </w:r>
          </w:p>
        </w:tc>
      </w:tr>
      <w:tr w:rsidR="3F99D55D" w:rsidRPr="00812FFB" w14:paraId="68990384" w14:textId="77777777" w:rsidTr="000123CA">
        <w:trPr>
          <w:trHeight w:val="300"/>
        </w:trPr>
        <w:tc>
          <w:tcPr>
            <w:tcW w:w="9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4CFBEC" w14:textId="433DB41C" w:rsidR="3F99D55D" w:rsidRPr="00812FFB" w:rsidRDefault="3F99D55D" w:rsidP="3F99D55D">
            <w:pPr>
              <w:jc w:val="center"/>
              <w:rPr>
                <w:rFonts w:eastAsia="Arial"/>
                <w:b/>
                <w:bCs/>
                <w:sz w:val="20"/>
                <w:szCs w:val="20"/>
                <w:lang w:val="en-GB"/>
              </w:rPr>
            </w:pPr>
            <w:r w:rsidRPr="00812FFB">
              <w:rPr>
                <w:rFonts w:eastAsia="Arial"/>
                <w:b/>
                <w:bCs/>
                <w:sz w:val="20"/>
                <w:szCs w:val="20"/>
                <w:lang w:val="en-GB"/>
              </w:rPr>
              <w:t>Water</w:t>
            </w:r>
          </w:p>
        </w:tc>
        <w:tc>
          <w:tcPr>
            <w:tcW w:w="4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1C78F1" w14:textId="0F3E8EF1" w:rsidR="3F99D55D" w:rsidRPr="00812FFB" w:rsidRDefault="080FC613" w:rsidP="3F99D55D">
            <w:pPr>
              <w:jc w:val="both"/>
              <w:rPr>
                <w:rFonts w:eastAsia="Arial"/>
                <w:sz w:val="20"/>
                <w:szCs w:val="20"/>
                <w:lang w:val="en-GB"/>
              </w:rPr>
            </w:pPr>
            <w:r w:rsidRPr="00812FFB">
              <w:rPr>
                <w:rFonts w:eastAsia="Arial"/>
                <w:sz w:val="20"/>
                <w:szCs w:val="20"/>
                <w:lang w:val="en-GB"/>
              </w:rPr>
              <w:t>Current water demand is 1.66 mi</w:t>
            </w:r>
            <w:r w:rsidR="006E453C" w:rsidRPr="00812FFB">
              <w:rPr>
                <w:rFonts w:eastAsia="Arial"/>
                <w:sz w:val="20"/>
                <w:szCs w:val="20"/>
                <w:lang w:val="en-GB"/>
              </w:rPr>
              <w:t>l</w:t>
            </w:r>
            <w:r w:rsidRPr="00812FFB">
              <w:rPr>
                <w:rFonts w:eastAsia="Arial"/>
                <w:sz w:val="20"/>
                <w:szCs w:val="20"/>
                <w:lang w:val="en-GB"/>
              </w:rPr>
              <w:t xml:space="preserve"> meter cubes per year- 40% potable water demand and 60% non-potable water. </w:t>
            </w:r>
          </w:p>
        </w:tc>
        <w:tc>
          <w:tcPr>
            <w:tcW w:w="39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E3A6A6" w14:textId="3807D56F" w:rsidR="3F99D55D" w:rsidRPr="00812FFB" w:rsidRDefault="060ACEDC" w:rsidP="157F5429">
            <w:pPr>
              <w:jc w:val="both"/>
              <w:rPr>
                <w:rFonts w:eastAsia="Arial"/>
                <w:sz w:val="20"/>
                <w:szCs w:val="20"/>
                <w:lang w:val="en-GB"/>
              </w:rPr>
            </w:pPr>
            <w:r w:rsidRPr="00812FFB">
              <w:rPr>
                <w:rFonts w:eastAsia="Arial"/>
                <w:sz w:val="20"/>
                <w:szCs w:val="20"/>
                <w:lang w:val="en-GB"/>
              </w:rPr>
              <w:t>Proposed measures to generate water to meet demand:</w:t>
            </w:r>
          </w:p>
          <w:p w14:paraId="01420390" w14:textId="4871B2ED" w:rsidR="3F99D55D" w:rsidRPr="00812FFB" w:rsidRDefault="060ACEDC" w:rsidP="001C78A2">
            <w:pPr>
              <w:pStyle w:val="ListParagraph"/>
              <w:numPr>
                <w:ilvl w:val="0"/>
                <w:numId w:val="12"/>
              </w:numPr>
              <w:jc w:val="both"/>
              <w:rPr>
                <w:rFonts w:eastAsia="Arial"/>
                <w:sz w:val="20"/>
                <w:szCs w:val="20"/>
                <w:lang w:val="en-GB"/>
              </w:rPr>
            </w:pPr>
            <w:r w:rsidRPr="00812FFB">
              <w:rPr>
                <w:rFonts w:eastAsia="Arial"/>
                <w:sz w:val="20"/>
                <w:szCs w:val="20"/>
                <w:lang w:val="en-GB"/>
              </w:rPr>
              <w:t>Rainwater harvesting from building roofs to meet potable water demand (0.67 mil meter cubes a year).</w:t>
            </w:r>
          </w:p>
          <w:p w14:paraId="4DAEFFF5" w14:textId="6B06A1B8" w:rsidR="3F99D55D" w:rsidRPr="00812FFB" w:rsidRDefault="060ACEDC" w:rsidP="001C78A2">
            <w:pPr>
              <w:pStyle w:val="ListParagraph"/>
              <w:numPr>
                <w:ilvl w:val="0"/>
                <w:numId w:val="12"/>
              </w:numPr>
              <w:jc w:val="both"/>
              <w:rPr>
                <w:rFonts w:eastAsia="Arial"/>
                <w:sz w:val="20"/>
                <w:szCs w:val="20"/>
                <w:lang w:val="en-GB"/>
              </w:rPr>
            </w:pPr>
            <w:r w:rsidRPr="00812FFB">
              <w:rPr>
                <w:rFonts w:eastAsia="Arial"/>
                <w:sz w:val="20"/>
                <w:szCs w:val="20"/>
                <w:lang w:val="en-GB"/>
              </w:rPr>
              <w:t>Rainwater Harvesting from Ground Surfaces (Roads, pavements, landscape etc) to meet Non-Potable Water Demand</w:t>
            </w:r>
            <w:r w:rsidR="20017A48" w:rsidRPr="00812FFB">
              <w:rPr>
                <w:rFonts w:eastAsia="Arial"/>
                <w:sz w:val="20"/>
                <w:szCs w:val="20"/>
                <w:lang w:val="en-GB"/>
              </w:rPr>
              <w:t xml:space="preserve"> (0.29 mil meter cubes a year)</w:t>
            </w:r>
          </w:p>
          <w:p w14:paraId="43D45ACC" w14:textId="4797EED5" w:rsidR="3F99D55D" w:rsidRPr="00812FFB" w:rsidRDefault="060ACEDC" w:rsidP="001C78A2">
            <w:pPr>
              <w:pStyle w:val="ListParagraph"/>
              <w:numPr>
                <w:ilvl w:val="0"/>
                <w:numId w:val="12"/>
              </w:numPr>
              <w:jc w:val="both"/>
              <w:rPr>
                <w:rFonts w:eastAsia="Arial"/>
                <w:sz w:val="20"/>
                <w:szCs w:val="20"/>
                <w:lang w:val="en-GB"/>
              </w:rPr>
            </w:pPr>
            <w:r w:rsidRPr="00812FFB">
              <w:rPr>
                <w:rFonts w:eastAsia="Arial"/>
                <w:sz w:val="20"/>
                <w:szCs w:val="20"/>
                <w:lang w:val="en-GB"/>
              </w:rPr>
              <w:t>Grey Water Recycling to use as Non-Potable Water</w:t>
            </w:r>
            <w:r w:rsidR="3B918288" w:rsidRPr="00812FFB">
              <w:rPr>
                <w:rFonts w:eastAsia="Arial"/>
                <w:sz w:val="20"/>
                <w:szCs w:val="20"/>
                <w:lang w:val="en-GB"/>
              </w:rPr>
              <w:t xml:space="preserve"> (1.08 million cubes a year)</w:t>
            </w:r>
          </w:p>
        </w:tc>
        <w:tc>
          <w:tcPr>
            <w:tcW w:w="49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B8F13A" w14:textId="0C935485" w:rsidR="3F99D55D" w:rsidRPr="00812FFB" w:rsidRDefault="0893F835" w:rsidP="3F99D55D">
            <w:pPr>
              <w:jc w:val="both"/>
              <w:rPr>
                <w:rFonts w:eastAsia="Arial"/>
                <w:sz w:val="20"/>
                <w:szCs w:val="20"/>
                <w:lang w:val="en-GB"/>
              </w:rPr>
            </w:pPr>
            <w:r w:rsidRPr="00812FFB">
              <w:rPr>
                <w:rFonts w:eastAsia="Arial"/>
                <w:sz w:val="20"/>
                <w:szCs w:val="20"/>
                <w:lang w:val="en-GB"/>
              </w:rPr>
              <w:t xml:space="preserve">The target demand is 2.3 mil meter cubes per year. </w:t>
            </w:r>
            <w:r w:rsidR="7AD9DCD3" w:rsidRPr="00812FFB">
              <w:rPr>
                <w:rFonts w:eastAsia="Arial"/>
                <w:sz w:val="20"/>
                <w:szCs w:val="20"/>
                <w:lang w:val="en-GB"/>
              </w:rPr>
              <w:t>The target on-campus water generation is 2.04 mil meter cubes per year – 89% self</w:t>
            </w:r>
            <w:r w:rsidR="003C4284" w:rsidRPr="00812FFB">
              <w:rPr>
                <w:rFonts w:eastAsia="Arial"/>
                <w:sz w:val="20"/>
                <w:szCs w:val="20"/>
                <w:lang w:val="en-GB"/>
              </w:rPr>
              <w:t>-</w:t>
            </w:r>
            <w:r w:rsidR="7AD9DCD3" w:rsidRPr="00812FFB">
              <w:rPr>
                <w:rFonts w:eastAsia="Arial"/>
                <w:sz w:val="20"/>
                <w:szCs w:val="20"/>
                <w:lang w:val="en-GB"/>
              </w:rPr>
              <w:t xml:space="preserve">sufficient. </w:t>
            </w:r>
          </w:p>
        </w:tc>
      </w:tr>
      <w:tr w:rsidR="3F99D55D" w:rsidRPr="00812FFB" w14:paraId="76810E6E" w14:textId="77777777" w:rsidTr="000123CA">
        <w:trPr>
          <w:trHeight w:val="300"/>
        </w:trPr>
        <w:tc>
          <w:tcPr>
            <w:tcW w:w="9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B92BB2" w14:textId="17B0B7A2" w:rsidR="3F99D55D" w:rsidRPr="00812FFB" w:rsidRDefault="3F99D55D" w:rsidP="3F99D55D">
            <w:pPr>
              <w:jc w:val="center"/>
              <w:rPr>
                <w:rFonts w:eastAsia="Arial"/>
                <w:b/>
                <w:bCs/>
                <w:sz w:val="20"/>
                <w:szCs w:val="20"/>
                <w:lang w:val="en-GB"/>
              </w:rPr>
            </w:pPr>
            <w:r w:rsidRPr="00812FFB">
              <w:rPr>
                <w:rFonts w:eastAsia="Arial"/>
                <w:b/>
                <w:bCs/>
                <w:sz w:val="20"/>
                <w:szCs w:val="20"/>
                <w:lang w:val="en-GB"/>
              </w:rPr>
              <w:lastRenderedPageBreak/>
              <w:t>Greenery</w:t>
            </w:r>
          </w:p>
        </w:tc>
        <w:tc>
          <w:tcPr>
            <w:tcW w:w="4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C0CDC4" w14:textId="49508A72" w:rsidR="0BE65E5D" w:rsidRPr="00812FFB" w:rsidRDefault="0BE65E5D" w:rsidP="3F99D55D">
            <w:pPr>
              <w:jc w:val="both"/>
              <w:rPr>
                <w:rFonts w:eastAsia="Arial"/>
                <w:sz w:val="20"/>
                <w:szCs w:val="20"/>
                <w:lang w:val="en-GB"/>
              </w:rPr>
            </w:pPr>
            <w:r w:rsidRPr="00812FFB">
              <w:rPr>
                <w:rFonts w:eastAsia="Arial"/>
                <w:sz w:val="20"/>
                <w:szCs w:val="20"/>
                <w:lang w:val="en-GB"/>
              </w:rPr>
              <w:t>Lack greenery on the campus</w:t>
            </w:r>
            <w:r w:rsidR="1E95EF67" w:rsidRPr="00812FFB">
              <w:rPr>
                <w:rFonts w:eastAsia="Arial"/>
                <w:sz w:val="20"/>
                <w:szCs w:val="20"/>
                <w:lang w:val="en-GB"/>
              </w:rPr>
              <w:t xml:space="preserve"> and limited green coverage.</w:t>
            </w:r>
          </w:p>
          <w:p w14:paraId="45447167" w14:textId="522B903F" w:rsidR="3F99D55D" w:rsidRPr="00812FFB" w:rsidRDefault="3F99D55D" w:rsidP="3F99D55D">
            <w:pPr>
              <w:jc w:val="both"/>
              <w:rPr>
                <w:rFonts w:eastAsia="Arial"/>
                <w:sz w:val="20"/>
                <w:szCs w:val="20"/>
                <w:lang w:val="en-GB"/>
              </w:rPr>
            </w:pPr>
          </w:p>
          <w:p w14:paraId="6DCD486C" w14:textId="2FE52FC9" w:rsidR="0BE65E5D" w:rsidRPr="00812FFB" w:rsidRDefault="0BE65E5D" w:rsidP="3F99D55D">
            <w:pPr>
              <w:jc w:val="both"/>
              <w:rPr>
                <w:rFonts w:eastAsia="Arial"/>
                <w:sz w:val="20"/>
                <w:szCs w:val="20"/>
                <w:lang w:val="en-GB"/>
              </w:rPr>
            </w:pPr>
            <w:r w:rsidRPr="00812FFB">
              <w:rPr>
                <w:rFonts w:eastAsia="Arial"/>
                <w:sz w:val="20"/>
                <w:szCs w:val="20"/>
                <w:lang w:val="en-GB"/>
              </w:rPr>
              <w:t>Lack of water-centric</w:t>
            </w:r>
            <w:r w:rsidR="3F99D55D" w:rsidRPr="00812FFB">
              <w:rPr>
                <w:rFonts w:eastAsia="Arial"/>
                <w:sz w:val="20"/>
                <w:szCs w:val="20"/>
                <w:lang w:val="en-GB"/>
              </w:rPr>
              <w:t xml:space="preserve"> </w:t>
            </w:r>
            <w:r w:rsidR="120BF806" w:rsidRPr="00812FFB">
              <w:rPr>
                <w:rFonts w:eastAsia="Arial"/>
                <w:sz w:val="20"/>
                <w:szCs w:val="20"/>
                <w:lang w:val="en-GB"/>
              </w:rPr>
              <w:t xml:space="preserve">spaces. </w:t>
            </w:r>
          </w:p>
          <w:p w14:paraId="54888347" w14:textId="5298A993" w:rsidR="120BF806" w:rsidRPr="00812FFB" w:rsidRDefault="120BF806" w:rsidP="3F99D55D">
            <w:pPr>
              <w:jc w:val="both"/>
              <w:rPr>
                <w:rFonts w:eastAsia="Arial"/>
                <w:sz w:val="20"/>
                <w:szCs w:val="20"/>
                <w:lang w:val="en-GB"/>
              </w:rPr>
            </w:pPr>
            <w:r w:rsidRPr="00812FFB">
              <w:rPr>
                <w:rFonts w:eastAsia="Arial"/>
                <w:sz w:val="20"/>
                <w:szCs w:val="20"/>
                <w:lang w:val="en-GB"/>
              </w:rPr>
              <w:t xml:space="preserve"> </w:t>
            </w:r>
          </w:p>
        </w:tc>
        <w:tc>
          <w:tcPr>
            <w:tcW w:w="39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F27433" w14:textId="5D06ABBE" w:rsidR="0EEC5B05" w:rsidRPr="00812FFB" w:rsidRDefault="0EEC5B05" w:rsidP="3F99D55D">
            <w:pPr>
              <w:jc w:val="both"/>
              <w:rPr>
                <w:rFonts w:eastAsia="Arial"/>
                <w:sz w:val="20"/>
                <w:szCs w:val="20"/>
                <w:lang w:val="en-GB"/>
              </w:rPr>
            </w:pPr>
            <w:r w:rsidRPr="00812FFB">
              <w:rPr>
                <w:rFonts w:eastAsia="Arial"/>
                <w:sz w:val="20"/>
                <w:szCs w:val="20"/>
                <w:lang w:val="en-GB"/>
              </w:rPr>
              <w:t>By p</w:t>
            </w:r>
            <w:r w:rsidR="5C907079" w:rsidRPr="00812FFB">
              <w:rPr>
                <w:rFonts w:eastAsia="Arial"/>
                <w:sz w:val="20"/>
                <w:szCs w:val="20"/>
                <w:lang w:val="en-GB"/>
              </w:rPr>
              <w:t>lant</w:t>
            </w:r>
            <w:r w:rsidR="3FEAA9E1" w:rsidRPr="00812FFB">
              <w:rPr>
                <w:rFonts w:eastAsia="Arial"/>
                <w:sz w:val="20"/>
                <w:szCs w:val="20"/>
                <w:lang w:val="en-GB"/>
              </w:rPr>
              <w:t>ing</w:t>
            </w:r>
            <w:r w:rsidR="5C907079" w:rsidRPr="00812FFB">
              <w:rPr>
                <w:rFonts w:eastAsia="Arial"/>
                <w:sz w:val="20"/>
                <w:szCs w:val="20"/>
                <w:lang w:val="en-GB"/>
              </w:rPr>
              <w:t xml:space="preserve"> 100,000 new trees on the campus through polyculture of trees, Vertical </w:t>
            </w:r>
            <w:proofErr w:type="gramStart"/>
            <w:r w:rsidR="5C907079" w:rsidRPr="00812FFB">
              <w:rPr>
                <w:rFonts w:eastAsia="Arial"/>
                <w:sz w:val="20"/>
                <w:szCs w:val="20"/>
                <w:lang w:val="en-GB"/>
              </w:rPr>
              <w:t>greenery</w:t>
            </w:r>
            <w:proofErr w:type="gramEnd"/>
            <w:r w:rsidR="5C907079" w:rsidRPr="00812FFB">
              <w:rPr>
                <w:rFonts w:eastAsia="Arial"/>
                <w:sz w:val="20"/>
                <w:szCs w:val="20"/>
                <w:lang w:val="en-GB"/>
              </w:rPr>
              <w:t xml:space="preserve"> and </w:t>
            </w:r>
            <w:r w:rsidR="6811885E" w:rsidRPr="00812FFB">
              <w:rPr>
                <w:rFonts w:eastAsia="Arial"/>
                <w:sz w:val="20"/>
                <w:szCs w:val="20"/>
                <w:lang w:val="en-GB"/>
              </w:rPr>
              <w:t>U</w:t>
            </w:r>
            <w:r w:rsidR="5C907079" w:rsidRPr="00812FFB">
              <w:rPr>
                <w:rFonts w:eastAsia="Arial"/>
                <w:sz w:val="20"/>
                <w:szCs w:val="20"/>
                <w:lang w:val="en-GB"/>
              </w:rPr>
              <w:t xml:space="preserve">rban farming.  </w:t>
            </w:r>
          </w:p>
          <w:p w14:paraId="37937E6A" w14:textId="21E7742C" w:rsidR="3F99D55D" w:rsidRPr="00812FFB" w:rsidRDefault="3F99D55D" w:rsidP="3F99D55D">
            <w:pPr>
              <w:jc w:val="both"/>
              <w:rPr>
                <w:rFonts w:eastAsia="Arial"/>
                <w:sz w:val="20"/>
                <w:szCs w:val="20"/>
                <w:lang w:val="en-GB"/>
              </w:rPr>
            </w:pPr>
          </w:p>
          <w:p w14:paraId="48BA6A93" w14:textId="43BB334A" w:rsidR="49A31C2C" w:rsidRPr="00812FFB" w:rsidRDefault="49A31C2C" w:rsidP="3F99D55D">
            <w:pPr>
              <w:jc w:val="both"/>
              <w:rPr>
                <w:rFonts w:eastAsia="Arial"/>
                <w:sz w:val="20"/>
                <w:szCs w:val="20"/>
                <w:lang w:val="en-GB"/>
              </w:rPr>
            </w:pPr>
            <w:r w:rsidRPr="00812FFB">
              <w:rPr>
                <w:rFonts w:eastAsia="Arial"/>
                <w:sz w:val="20"/>
                <w:szCs w:val="20"/>
                <w:lang w:val="en-GB"/>
              </w:rPr>
              <w:t xml:space="preserve">Create experiential landscape, recreational natural </w:t>
            </w:r>
            <w:proofErr w:type="gramStart"/>
            <w:r w:rsidRPr="00812FFB">
              <w:rPr>
                <w:rFonts w:eastAsia="Arial"/>
                <w:sz w:val="20"/>
                <w:szCs w:val="20"/>
                <w:lang w:val="en-GB"/>
              </w:rPr>
              <w:t>space</w:t>
            </w:r>
            <w:proofErr w:type="gramEnd"/>
            <w:r w:rsidRPr="00812FFB">
              <w:rPr>
                <w:rFonts w:eastAsia="Arial"/>
                <w:sz w:val="20"/>
                <w:szCs w:val="20"/>
                <w:lang w:val="en-GB"/>
              </w:rPr>
              <w:t xml:space="preserve"> and freshwater habitat. </w:t>
            </w:r>
          </w:p>
        </w:tc>
        <w:tc>
          <w:tcPr>
            <w:tcW w:w="49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DABE9D" w14:textId="456F1B10" w:rsidR="49A31C2C" w:rsidRPr="00812FFB" w:rsidRDefault="49A31C2C" w:rsidP="3F99D55D">
            <w:pPr>
              <w:jc w:val="both"/>
              <w:rPr>
                <w:rFonts w:eastAsia="Arial"/>
                <w:sz w:val="20"/>
                <w:szCs w:val="20"/>
                <w:lang w:val="en-GB"/>
              </w:rPr>
            </w:pPr>
            <w:r w:rsidRPr="00812FFB">
              <w:rPr>
                <w:rFonts w:eastAsia="Arial"/>
                <w:sz w:val="20"/>
                <w:szCs w:val="20"/>
                <w:lang w:val="en-GB"/>
              </w:rPr>
              <w:t xml:space="preserve">Increase total number of trees on campus by 100,000. </w:t>
            </w:r>
          </w:p>
          <w:p w14:paraId="034CC0DF" w14:textId="231EDB53" w:rsidR="3F99D55D" w:rsidRPr="00812FFB" w:rsidRDefault="3F99D55D" w:rsidP="3F99D55D">
            <w:pPr>
              <w:jc w:val="both"/>
              <w:rPr>
                <w:rFonts w:eastAsia="Arial"/>
                <w:sz w:val="20"/>
                <w:szCs w:val="20"/>
                <w:lang w:val="en-GB"/>
              </w:rPr>
            </w:pPr>
          </w:p>
          <w:p w14:paraId="30498FCD" w14:textId="6CF1CDA4" w:rsidR="49A31C2C" w:rsidRPr="00812FFB" w:rsidRDefault="49A31C2C" w:rsidP="3F99D55D">
            <w:pPr>
              <w:jc w:val="both"/>
              <w:rPr>
                <w:rFonts w:eastAsia="Arial"/>
                <w:sz w:val="20"/>
                <w:szCs w:val="20"/>
                <w:lang w:val="en-GB"/>
              </w:rPr>
            </w:pPr>
            <w:r w:rsidRPr="00812FFB">
              <w:rPr>
                <w:rFonts w:eastAsia="Arial"/>
                <w:sz w:val="20"/>
                <w:szCs w:val="20"/>
                <w:lang w:val="en-GB"/>
              </w:rPr>
              <w:t>Increase Total Green Space on Campus by 23.4%.</w:t>
            </w:r>
          </w:p>
          <w:p w14:paraId="78967288" w14:textId="21CAFFD5" w:rsidR="3F99D55D" w:rsidRPr="00812FFB" w:rsidRDefault="3F99D55D" w:rsidP="3F99D55D">
            <w:pPr>
              <w:jc w:val="both"/>
              <w:rPr>
                <w:rFonts w:eastAsia="Arial"/>
                <w:sz w:val="20"/>
                <w:szCs w:val="20"/>
                <w:lang w:val="en-GB"/>
              </w:rPr>
            </w:pPr>
          </w:p>
          <w:p w14:paraId="4CB0D427" w14:textId="4F32E364" w:rsidR="49A31C2C" w:rsidRPr="00812FFB" w:rsidRDefault="49A31C2C" w:rsidP="3F99D55D">
            <w:pPr>
              <w:jc w:val="both"/>
              <w:rPr>
                <w:rFonts w:eastAsia="Arial"/>
                <w:sz w:val="20"/>
                <w:szCs w:val="20"/>
                <w:lang w:val="en-GB"/>
              </w:rPr>
            </w:pPr>
            <w:r w:rsidRPr="00812FFB">
              <w:rPr>
                <w:rFonts w:eastAsia="Arial"/>
                <w:sz w:val="20"/>
                <w:szCs w:val="20"/>
                <w:lang w:val="en-GB"/>
              </w:rPr>
              <w:t>Reduce Campus Daytime urban heat island intensity by 1.6 Degree Celsius.</w:t>
            </w:r>
          </w:p>
        </w:tc>
      </w:tr>
      <w:tr w:rsidR="3F99D55D" w:rsidRPr="00812FFB" w14:paraId="77116002" w14:textId="77777777" w:rsidTr="000123CA">
        <w:trPr>
          <w:trHeight w:val="1865"/>
        </w:trPr>
        <w:tc>
          <w:tcPr>
            <w:tcW w:w="9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9313A0" w14:textId="6C910EDC" w:rsidR="1CF8907C" w:rsidRPr="00812FFB" w:rsidRDefault="1CF8907C" w:rsidP="3F99D55D">
            <w:pPr>
              <w:jc w:val="center"/>
              <w:rPr>
                <w:rFonts w:eastAsia="Arial"/>
                <w:b/>
                <w:bCs/>
                <w:sz w:val="20"/>
                <w:szCs w:val="20"/>
                <w:lang w:val="en-GB"/>
              </w:rPr>
            </w:pPr>
            <w:r w:rsidRPr="00812FFB">
              <w:rPr>
                <w:rFonts w:eastAsia="Arial"/>
                <w:b/>
                <w:bCs/>
                <w:sz w:val="20"/>
                <w:szCs w:val="20"/>
                <w:lang w:val="en-GB"/>
              </w:rPr>
              <w:t>Mobility</w:t>
            </w:r>
          </w:p>
        </w:tc>
        <w:tc>
          <w:tcPr>
            <w:tcW w:w="4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8A709A" w14:textId="1A2D0037" w:rsidR="00052717" w:rsidRPr="00812FFB" w:rsidRDefault="00E62596" w:rsidP="00052717">
            <w:pPr>
              <w:jc w:val="both"/>
              <w:rPr>
                <w:rFonts w:eastAsia="Arial"/>
                <w:sz w:val="20"/>
                <w:szCs w:val="20"/>
                <w:lang w:val="en-GB"/>
              </w:rPr>
            </w:pPr>
            <w:r w:rsidRPr="00812FFB">
              <w:rPr>
                <w:rFonts w:eastAsia="Arial"/>
                <w:sz w:val="20"/>
                <w:szCs w:val="20"/>
                <w:lang w:val="en-GB"/>
              </w:rPr>
              <w:t xml:space="preserve">Currently takes approximately 30mins to travel from </w:t>
            </w:r>
            <w:r w:rsidR="00420053" w:rsidRPr="00812FFB">
              <w:rPr>
                <w:rFonts w:eastAsia="Arial"/>
                <w:sz w:val="20"/>
                <w:szCs w:val="20"/>
                <w:lang w:val="en-GB"/>
              </w:rPr>
              <w:t>Clementi to Faculty of Science</w:t>
            </w:r>
          </w:p>
          <w:p w14:paraId="48382145" w14:textId="39F336CF" w:rsidR="1CF8907C" w:rsidRPr="00812FFB" w:rsidRDefault="1CF8907C" w:rsidP="001C78A2">
            <w:pPr>
              <w:pStyle w:val="ListParagraph"/>
              <w:numPr>
                <w:ilvl w:val="0"/>
                <w:numId w:val="15"/>
              </w:numPr>
              <w:jc w:val="both"/>
              <w:rPr>
                <w:rFonts w:eastAsia="Arial"/>
                <w:sz w:val="20"/>
                <w:szCs w:val="20"/>
                <w:lang w:val="en-GB"/>
              </w:rPr>
            </w:pPr>
            <w:r w:rsidRPr="00812FFB">
              <w:rPr>
                <w:rFonts w:eastAsia="Arial"/>
                <w:sz w:val="20"/>
                <w:szCs w:val="20"/>
                <w:lang w:val="en-GB"/>
              </w:rPr>
              <w:t>Lack of walkable and cyclable spaces, with</w:t>
            </w:r>
            <w:r w:rsidR="63B90DC8" w:rsidRPr="00812FFB">
              <w:rPr>
                <w:rFonts w:eastAsia="Arial"/>
                <w:sz w:val="20"/>
                <w:szCs w:val="20"/>
                <w:lang w:val="en-GB"/>
              </w:rPr>
              <w:t xml:space="preserve"> congested buses</w:t>
            </w:r>
            <w:r w:rsidRPr="00812FFB">
              <w:rPr>
                <w:rFonts w:eastAsia="Arial"/>
                <w:sz w:val="20"/>
                <w:szCs w:val="20"/>
                <w:lang w:val="en-GB"/>
              </w:rPr>
              <w:t xml:space="preserve"> the main form of public transport</w:t>
            </w:r>
            <w:r w:rsidR="55DF658C" w:rsidRPr="00812FFB">
              <w:rPr>
                <w:rFonts w:eastAsia="Arial"/>
                <w:sz w:val="20"/>
                <w:szCs w:val="20"/>
                <w:lang w:val="en-GB"/>
              </w:rPr>
              <w:t xml:space="preserve"> within the campus. </w:t>
            </w:r>
          </w:p>
          <w:p w14:paraId="76D5B549" w14:textId="77777777" w:rsidR="00E255E0" w:rsidRPr="00812FFB" w:rsidRDefault="005224D4" w:rsidP="001C78A2">
            <w:pPr>
              <w:pStyle w:val="ListParagraph"/>
              <w:numPr>
                <w:ilvl w:val="0"/>
                <w:numId w:val="15"/>
              </w:numPr>
              <w:jc w:val="both"/>
              <w:rPr>
                <w:rFonts w:eastAsia="Arial"/>
                <w:sz w:val="20"/>
                <w:szCs w:val="20"/>
                <w:lang w:val="en-GB"/>
              </w:rPr>
            </w:pPr>
            <w:r w:rsidRPr="00812FFB">
              <w:rPr>
                <w:rFonts w:eastAsia="Arial"/>
                <w:sz w:val="20"/>
                <w:szCs w:val="20"/>
                <w:lang w:val="en-GB"/>
              </w:rPr>
              <w:t xml:space="preserve">Driverless shuttle buses on a university campus reduce emissions and promote efficient </w:t>
            </w:r>
            <w:proofErr w:type="gramStart"/>
            <w:r w:rsidRPr="00812FFB">
              <w:rPr>
                <w:rFonts w:eastAsia="Arial"/>
                <w:sz w:val="20"/>
                <w:szCs w:val="20"/>
                <w:lang w:val="en-GB"/>
              </w:rPr>
              <w:t>transportation</w:t>
            </w:r>
            <w:proofErr w:type="gramEnd"/>
          </w:p>
          <w:p w14:paraId="0A2EF39C" w14:textId="2FBBA543" w:rsidR="1CF8907C" w:rsidRPr="00812FFB" w:rsidRDefault="00ED17CB" w:rsidP="001C78A2">
            <w:pPr>
              <w:pStyle w:val="ListParagraph"/>
              <w:numPr>
                <w:ilvl w:val="0"/>
                <w:numId w:val="15"/>
              </w:numPr>
              <w:jc w:val="both"/>
              <w:rPr>
                <w:rFonts w:eastAsia="Arial"/>
                <w:sz w:val="20"/>
                <w:szCs w:val="20"/>
                <w:lang w:val="en-GB"/>
              </w:rPr>
            </w:pPr>
            <w:r w:rsidRPr="00812FFB">
              <w:rPr>
                <w:rFonts w:eastAsia="Arial"/>
                <w:sz w:val="20"/>
                <w:szCs w:val="20"/>
                <w:lang w:val="en-GB"/>
              </w:rPr>
              <w:t>Monorails for fast mobility reduce traffic congestion and carbon emissions, supporting urban sustainability</w:t>
            </w:r>
          </w:p>
        </w:tc>
        <w:tc>
          <w:tcPr>
            <w:tcW w:w="39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C8A136" w14:textId="52CBBA7F" w:rsidR="002B345E" w:rsidRPr="00812FFB" w:rsidRDefault="002B345E" w:rsidP="002B345E">
            <w:pPr>
              <w:jc w:val="both"/>
              <w:rPr>
                <w:rFonts w:eastAsia="Arial"/>
                <w:sz w:val="20"/>
                <w:szCs w:val="20"/>
                <w:lang w:val="en-GB"/>
              </w:rPr>
            </w:pPr>
            <w:r w:rsidRPr="00812FFB">
              <w:rPr>
                <w:rFonts w:eastAsia="Arial"/>
                <w:sz w:val="20"/>
                <w:szCs w:val="20"/>
                <w:lang w:val="en-GB"/>
              </w:rPr>
              <w:t xml:space="preserve">Proposed measures to </w:t>
            </w:r>
            <w:r w:rsidR="0030764A" w:rsidRPr="00812FFB">
              <w:rPr>
                <w:rFonts w:eastAsia="Arial"/>
                <w:sz w:val="20"/>
                <w:szCs w:val="20"/>
                <w:lang w:val="en-GB"/>
              </w:rPr>
              <w:t>increase mobility across campus:</w:t>
            </w:r>
          </w:p>
          <w:p w14:paraId="3ABE90BD" w14:textId="77777777" w:rsidR="55DF658C" w:rsidRPr="00812FFB" w:rsidRDefault="55DF658C" w:rsidP="001C78A2">
            <w:pPr>
              <w:pStyle w:val="ListParagraph"/>
              <w:numPr>
                <w:ilvl w:val="0"/>
                <w:numId w:val="14"/>
              </w:numPr>
              <w:jc w:val="both"/>
              <w:rPr>
                <w:rFonts w:eastAsia="Arial"/>
                <w:sz w:val="20"/>
                <w:szCs w:val="20"/>
                <w:lang w:val="en-GB"/>
              </w:rPr>
            </w:pPr>
            <w:r w:rsidRPr="00812FFB">
              <w:rPr>
                <w:rFonts w:eastAsia="Arial"/>
                <w:sz w:val="20"/>
                <w:szCs w:val="20"/>
                <w:lang w:val="en-GB"/>
              </w:rPr>
              <w:t>Create a Canopy Walk Network and reinforced Yellow Cycling Canopy Network</w:t>
            </w:r>
            <w:r w:rsidR="00C94F0E" w:rsidRPr="00812FFB">
              <w:rPr>
                <w:rFonts w:eastAsia="Arial"/>
                <w:sz w:val="20"/>
                <w:szCs w:val="20"/>
                <w:lang w:val="en-GB"/>
              </w:rPr>
              <w:t xml:space="preserve"> for slow </w:t>
            </w:r>
            <w:proofErr w:type="gramStart"/>
            <w:r w:rsidR="00C94F0E" w:rsidRPr="00812FFB">
              <w:rPr>
                <w:rFonts w:eastAsia="Arial"/>
                <w:sz w:val="20"/>
                <w:szCs w:val="20"/>
                <w:lang w:val="en-GB"/>
              </w:rPr>
              <w:t>mobility</w:t>
            </w:r>
            <w:proofErr w:type="gramEnd"/>
          </w:p>
          <w:p w14:paraId="547F5D37" w14:textId="14419732" w:rsidR="00C94F0E" w:rsidRPr="00812FFB" w:rsidRDefault="00640AE1" w:rsidP="001C78A2">
            <w:pPr>
              <w:pStyle w:val="ListParagraph"/>
              <w:numPr>
                <w:ilvl w:val="0"/>
                <w:numId w:val="14"/>
              </w:numPr>
              <w:jc w:val="both"/>
              <w:rPr>
                <w:rFonts w:eastAsia="Arial"/>
                <w:sz w:val="20"/>
                <w:szCs w:val="20"/>
                <w:lang w:val="en-GB"/>
              </w:rPr>
            </w:pPr>
            <w:r w:rsidRPr="00812FFB">
              <w:rPr>
                <w:rFonts w:eastAsia="Arial"/>
                <w:sz w:val="20"/>
                <w:szCs w:val="20"/>
                <w:lang w:val="en-GB"/>
              </w:rPr>
              <w:t>Driverless shuttle bus</w:t>
            </w:r>
            <w:r w:rsidR="004A45A1" w:rsidRPr="00812FFB">
              <w:rPr>
                <w:rFonts w:eastAsia="Arial"/>
                <w:sz w:val="20"/>
                <w:szCs w:val="20"/>
                <w:lang w:val="en-GB"/>
              </w:rPr>
              <w:t xml:space="preserve"> for medium mobility</w:t>
            </w:r>
          </w:p>
          <w:p w14:paraId="5BF2D4F3" w14:textId="4B8A215C" w:rsidR="55DF658C" w:rsidRPr="00812FFB" w:rsidRDefault="00E92593" w:rsidP="001C78A2">
            <w:pPr>
              <w:pStyle w:val="ListParagraph"/>
              <w:numPr>
                <w:ilvl w:val="0"/>
                <w:numId w:val="14"/>
              </w:numPr>
              <w:jc w:val="both"/>
              <w:rPr>
                <w:rFonts w:eastAsia="Arial"/>
                <w:sz w:val="20"/>
                <w:szCs w:val="20"/>
                <w:lang w:val="en-GB"/>
              </w:rPr>
            </w:pPr>
            <w:r w:rsidRPr="00812FFB">
              <w:rPr>
                <w:rFonts w:eastAsia="Arial"/>
                <w:sz w:val="20"/>
                <w:szCs w:val="20"/>
                <w:lang w:val="en-GB"/>
              </w:rPr>
              <w:t xml:space="preserve">Monorail for </w:t>
            </w:r>
            <w:r w:rsidR="00E2498D" w:rsidRPr="00812FFB">
              <w:rPr>
                <w:rFonts w:eastAsia="Arial"/>
                <w:sz w:val="20"/>
                <w:szCs w:val="20"/>
                <w:lang w:val="en-GB"/>
              </w:rPr>
              <w:t>fast mobility</w:t>
            </w:r>
          </w:p>
        </w:tc>
        <w:tc>
          <w:tcPr>
            <w:tcW w:w="49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4135BB" w14:textId="7618B715" w:rsidR="0067656A" w:rsidRPr="00812FFB" w:rsidRDefault="00FD3259" w:rsidP="3F99D55D">
            <w:pPr>
              <w:jc w:val="both"/>
              <w:rPr>
                <w:rFonts w:eastAsia="Arial"/>
                <w:sz w:val="20"/>
                <w:szCs w:val="20"/>
              </w:rPr>
            </w:pPr>
            <w:r w:rsidRPr="00812FFB">
              <w:rPr>
                <w:rFonts w:eastAsia="Arial"/>
                <w:sz w:val="20"/>
                <w:szCs w:val="20"/>
              </w:rPr>
              <w:t xml:space="preserve">Reduce </w:t>
            </w:r>
            <w:r w:rsidR="00B2596B" w:rsidRPr="00812FFB">
              <w:rPr>
                <w:rFonts w:eastAsia="Arial"/>
                <w:sz w:val="20"/>
                <w:szCs w:val="20"/>
              </w:rPr>
              <w:t>overall time taken to travel across the campus</w:t>
            </w:r>
            <w:r w:rsidR="00152472" w:rsidRPr="00812FFB">
              <w:rPr>
                <w:rFonts w:eastAsia="Arial"/>
                <w:sz w:val="20"/>
                <w:szCs w:val="20"/>
              </w:rPr>
              <w:t xml:space="preserve">; decrease time taken to travel from Clementi to Faculty of Science by </w:t>
            </w:r>
            <w:r w:rsidR="00CE631E" w:rsidRPr="00812FFB">
              <w:rPr>
                <w:rFonts w:eastAsia="Arial"/>
                <w:sz w:val="20"/>
                <w:szCs w:val="20"/>
              </w:rPr>
              <w:t>63%</w:t>
            </w:r>
            <w:r w:rsidR="0067656A" w:rsidRPr="00812FFB">
              <w:rPr>
                <w:rFonts w:eastAsia="Arial"/>
                <w:sz w:val="20"/>
                <w:szCs w:val="20"/>
              </w:rPr>
              <w:t>.</w:t>
            </w:r>
          </w:p>
          <w:p w14:paraId="484F594C" w14:textId="513C3EC7" w:rsidR="00FD3259" w:rsidRPr="00812FFB" w:rsidRDefault="00B2596B" w:rsidP="3F99D55D">
            <w:pPr>
              <w:jc w:val="both"/>
              <w:rPr>
                <w:rFonts w:eastAsia="Arial"/>
                <w:sz w:val="20"/>
                <w:szCs w:val="20"/>
              </w:rPr>
            </w:pPr>
            <w:r w:rsidRPr="00812FFB">
              <w:rPr>
                <w:rFonts w:eastAsia="Arial"/>
                <w:sz w:val="20"/>
                <w:szCs w:val="20"/>
              </w:rPr>
              <w:t xml:space="preserve"> </w:t>
            </w:r>
            <w:r w:rsidR="00FD3259" w:rsidRPr="00812FFB">
              <w:rPr>
                <w:rFonts w:eastAsia="Arial"/>
                <w:sz w:val="20"/>
                <w:szCs w:val="20"/>
              </w:rPr>
              <w:t xml:space="preserve"> </w:t>
            </w:r>
          </w:p>
          <w:p w14:paraId="3464CF10" w14:textId="348E0B2C" w:rsidR="55DF658C" w:rsidRPr="00812FFB" w:rsidRDefault="55DF658C" w:rsidP="3F99D55D">
            <w:pPr>
              <w:jc w:val="both"/>
              <w:rPr>
                <w:rFonts w:eastAsia="Arial"/>
                <w:sz w:val="20"/>
                <w:szCs w:val="20"/>
              </w:rPr>
            </w:pPr>
            <w:r w:rsidRPr="00812FFB">
              <w:rPr>
                <w:rFonts w:eastAsia="Arial"/>
                <w:sz w:val="20"/>
                <w:szCs w:val="20"/>
              </w:rPr>
              <w:t xml:space="preserve">Create a car-free and walkable and cyclable area on campus. </w:t>
            </w:r>
          </w:p>
        </w:tc>
      </w:tr>
      <w:tr w:rsidR="3F99D55D" w:rsidRPr="00812FFB" w14:paraId="67C0A270" w14:textId="77777777" w:rsidTr="000123CA">
        <w:trPr>
          <w:trHeight w:val="2694"/>
        </w:trPr>
        <w:tc>
          <w:tcPr>
            <w:tcW w:w="9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07C3D3" w14:textId="7A22C8D0" w:rsidR="3F99D55D" w:rsidRPr="00812FFB" w:rsidRDefault="3F99D55D" w:rsidP="3F99D55D">
            <w:pPr>
              <w:jc w:val="center"/>
              <w:rPr>
                <w:rFonts w:eastAsia="Arial"/>
                <w:b/>
                <w:bCs/>
                <w:sz w:val="20"/>
                <w:szCs w:val="20"/>
                <w:lang w:val="en-GB"/>
              </w:rPr>
            </w:pPr>
            <w:r w:rsidRPr="00812FFB">
              <w:rPr>
                <w:rFonts w:eastAsia="Arial"/>
                <w:b/>
                <w:bCs/>
                <w:sz w:val="20"/>
                <w:szCs w:val="20"/>
                <w:lang w:val="en-GB"/>
              </w:rPr>
              <w:t>Public Space</w:t>
            </w:r>
          </w:p>
        </w:tc>
        <w:tc>
          <w:tcPr>
            <w:tcW w:w="4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4FA8C7" w14:textId="4E071B68" w:rsidR="3F99D55D" w:rsidRPr="00812FFB" w:rsidRDefault="3F99D55D" w:rsidP="3F99D55D">
            <w:pPr>
              <w:rPr>
                <w:rFonts w:eastAsia="Arial"/>
                <w:sz w:val="20"/>
                <w:szCs w:val="20"/>
                <w:lang w:val="en-GB"/>
              </w:rPr>
            </w:pPr>
            <w:r w:rsidRPr="00812FFB">
              <w:rPr>
                <w:rFonts w:eastAsia="Arial"/>
                <w:sz w:val="20"/>
                <w:szCs w:val="20"/>
                <w:lang w:val="en-GB"/>
              </w:rPr>
              <w:t xml:space="preserve">Limited </w:t>
            </w:r>
            <w:r w:rsidR="146BB8F8" w:rsidRPr="00812FFB">
              <w:rPr>
                <w:rFonts w:eastAsia="Arial"/>
                <w:sz w:val="20"/>
                <w:szCs w:val="20"/>
                <w:lang w:val="en-GB"/>
              </w:rPr>
              <w:t xml:space="preserve">open </w:t>
            </w:r>
            <w:r w:rsidRPr="00812FFB">
              <w:rPr>
                <w:rFonts w:eastAsia="Arial"/>
                <w:sz w:val="20"/>
                <w:szCs w:val="20"/>
                <w:lang w:val="en-GB"/>
              </w:rPr>
              <w:t>public spaces available for staff and students</w:t>
            </w:r>
            <w:r w:rsidR="2EA06252" w:rsidRPr="00812FFB">
              <w:rPr>
                <w:rFonts w:eastAsia="Arial"/>
                <w:sz w:val="20"/>
                <w:szCs w:val="20"/>
                <w:lang w:val="en-GB"/>
              </w:rPr>
              <w:t xml:space="preserve"> to interact and be engaged in community events.</w:t>
            </w:r>
          </w:p>
          <w:p w14:paraId="2019344E" w14:textId="0B15CC59" w:rsidR="3F99D55D" w:rsidRPr="00812FFB" w:rsidRDefault="3F99D55D" w:rsidP="3F99D55D">
            <w:pPr>
              <w:rPr>
                <w:sz w:val="20"/>
                <w:szCs w:val="20"/>
              </w:rPr>
            </w:pPr>
            <w:r w:rsidRPr="00812FFB">
              <w:rPr>
                <w:rFonts w:eastAsia="Arial"/>
                <w:sz w:val="20"/>
                <w:szCs w:val="20"/>
                <w:lang w:val="en-GB"/>
              </w:rPr>
              <w:t xml:space="preserve"> </w:t>
            </w:r>
          </w:p>
          <w:p w14:paraId="6D42428D" w14:textId="6B0F4367" w:rsidR="57924E62" w:rsidRPr="00812FFB" w:rsidRDefault="57924E62" w:rsidP="3F99D55D">
            <w:pPr>
              <w:rPr>
                <w:rFonts w:eastAsia="Arial"/>
                <w:sz w:val="20"/>
                <w:szCs w:val="20"/>
                <w:lang w:val="en-GB"/>
              </w:rPr>
            </w:pPr>
            <w:r w:rsidRPr="00812FFB">
              <w:rPr>
                <w:rFonts w:eastAsia="Arial"/>
                <w:sz w:val="20"/>
                <w:szCs w:val="20"/>
                <w:lang w:val="en-GB"/>
              </w:rPr>
              <w:t xml:space="preserve">Currently, existing public spaces </w:t>
            </w:r>
            <w:r w:rsidR="31DEDEA0" w:rsidRPr="00812FFB">
              <w:rPr>
                <w:rFonts w:eastAsia="Arial"/>
                <w:sz w:val="20"/>
                <w:szCs w:val="20"/>
                <w:lang w:val="en-GB"/>
              </w:rPr>
              <w:t xml:space="preserve">in NUS </w:t>
            </w:r>
            <w:r w:rsidRPr="00812FFB">
              <w:rPr>
                <w:rFonts w:eastAsia="Arial"/>
                <w:sz w:val="20"/>
                <w:szCs w:val="20"/>
                <w:lang w:val="en-GB"/>
              </w:rPr>
              <w:t>cover only 2.6</w:t>
            </w:r>
            <w:r w:rsidR="0E052294" w:rsidRPr="00812FFB">
              <w:rPr>
                <w:rFonts w:eastAsia="Arial"/>
                <w:sz w:val="20"/>
                <w:szCs w:val="20"/>
                <w:lang w:val="en-GB"/>
              </w:rPr>
              <w:t xml:space="preserve"> </w:t>
            </w:r>
            <w:r w:rsidRPr="00812FFB">
              <w:rPr>
                <w:rFonts w:eastAsia="Arial"/>
                <w:sz w:val="20"/>
                <w:szCs w:val="20"/>
                <w:lang w:val="en-GB"/>
              </w:rPr>
              <w:t>hectares</w:t>
            </w:r>
            <w:r w:rsidR="1797E79D" w:rsidRPr="00812FFB">
              <w:rPr>
                <w:rFonts w:eastAsia="Arial"/>
                <w:sz w:val="20"/>
                <w:szCs w:val="20"/>
                <w:lang w:val="en-GB"/>
              </w:rPr>
              <w:t>, which is 1.73% of the total campus area.</w:t>
            </w:r>
          </w:p>
          <w:p w14:paraId="270546B3" w14:textId="039EA23F" w:rsidR="3F99D55D" w:rsidRPr="00812FFB" w:rsidRDefault="3F99D55D" w:rsidP="3F99D55D">
            <w:pPr>
              <w:rPr>
                <w:rFonts w:eastAsia="Arial"/>
                <w:sz w:val="20"/>
                <w:szCs w:val="20"/>
                <w:lang w:val="en-GB"/>
              </w:rPr>
            </w:pPr>
          </w:p>
          <w:p w14:paraId="61418A98" w14:textId="207A3407" w:rsidR="03A48556" w:rsidRPr="00812FFB" w:rsidRDefault="03A48556" w:rsidP="3F99D55D">
            <w:pPr>
              <w:rPr>
                <w:rFonts w:eastAsia="Arial"/>
                <w:sz w:val="20"/>
                <w:szCs w:val="20"/>
                <w:lang w:val="en-GB"/>
              </w:rPr>
            </w:pPr>
            <w:r w:rsidRPr="00812FFB">
              <w:rPr>
                <w:rFonts w:eastAsia="Arial"/>
                <w:sz w:val="20"/>
                <w:szCs w:val="20"/>
                <w:lang w:val="en-GB"/>
              </w:rPr>
              <w:t xml:space="preserve">For scale, </w:t>
            </w:r>
            <w:proofErr w:type="spellStart"/>
            <w:r w:rsidRPr="00812FFB">
              <w:rPr>
                <w:rFonts w:eastAsia="Arial"/>
                <w:sz w:val="20"/>
                <w:szCs w:val="20"/>
                <w:lang w:val="en-GB"/>
              </w:rPr>
              <w:t>Utown</w:t>
            </w:r>
            <w:proofErr w:type="spellEnd"/>
            <w:r w:rsidRPr="00812FFB">
              <w:rPr>
                <w:rFonts w:eastAsia="Arial"/>
                <w:sz w:val="20"/>
                <w:szCs w:val="20"/>
                <w:lang w:val="en-GB"/>
              </w:rPr>
              <w:t xml:space="preserve"> Green takes up approximately half that </w:t>
            </w:r>
            <w:r w:rsidR="75C6E2F6" w:rsidRPr="00812FFB">
              <w:rPr>
                <w:rFonts w:eastAsia="Arial"/>
                <w:sz w:val="20"/>
                <w:szCs w:val="20"/>
                <w:lang w:val="en-GB"/>
              </w:rPr>
              <w:t>specified space</w:t>
            </w:r>
            <w:r w:rsidRPr="00812FFB">
              <w:rPr>
                <w:rFonts w:eastAsia="Arial"/>
                <w:sz w:val="20"/>
                <w:szCs w:val="20"/>
                <w:lang w:val="en-GB"/>
              </w:rPr>
              <w:t xml:space="preserve"> (appendix)</w:t>
            </w:r>
          </w:p>
        </w:tc>
        <w:tc>
          <w:tcPr>
            <w:tcW w:w="39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A1AAA6" w14:textId="59740320" w:rsidR="383E6C48" w:rsidRPr="00812FFB" w:rsidRDefault="383E6C48" w:rsidP="3F99D55D">
            <w:pPr>
              <w:jc w:val="both"/>
              <w:rPr>
                <w:rFonts w:eastAsia="Arial"/>
                <w:sz w:val="20"/>
                <w:szCs w:val="20"/>
                <w:lang w:val="en-GB"/>
              </w:rPr>
            </w:pPr>
            <w:r w:rsidRPr="00812FFB">
              <w:rPr>
                <w:rFonts w:eastAsia="Arial"/>
                <w:sz w:val="20"/>
                <w:szCs w:val="20"/>
                <w:lang w:val="en-GB"/>
              </w:rPr>
              <w:t>Creation of 7 new public space areas, strategically positioned across the entire campus area</w:t>
            </w:r>
            <w:r w:rsidR="5C9C5A76" w:rsidRPr="00812FFB">
              <w:rPr>
                <w:rFonts w:eastAsia="Arial"/>
                <w:sz w:val="20"/>
                <w:szCs w:val="20"/>
                <w:lang w:val="en-GB"/>
              </w:rPr>
              <w:t xml:space="preserve"> from the faculty of arts to </w:t>
            </w:r>
            <w:r w:rsidR="44BA9423" w:rsidRPr="00812FFB">
              <w:rPr>
                <w:rFonts w:eastAsia="Arial"/>
                <w:sz w:val="20"/>
                <w:szCs w:val="20"/>
                <w:lang w:val="en-GB"/>
              </w:rPr>
              <w:t xml:space="preserve">the </w:t>
            </w:r>
            <w:r w:rsidR="5C9C5A76" w:rsidRPr="00812FFB">
              <w:rPr>
                <w:rFonts w:eastAsia="Arial"/>
                <w:sz w:val="20"/>
                <w:szCs w:val="20"/>
                <w:lang w:val="en-GB"/>
              </w:rPr>
              <w:t>faculty of science.</w:t>
            </w:r>
          </w:p>
          <w:p w14:paraId="764E2095" w14:textId="4352985A" w:rsidR="3F99D55D" w:rsidRPr="00812FFB" w:rsidRDefault="3F99D55D" w:rsidP="3F99D55D">
            <w:pPr>
              <w:jc w:val="both"/>
              <w:rPr>
                <w:sz w:val="20"/>
                <w:szCs w:val="20"/>
              </w:rPr>
            </w:pPr>
            <w:r w:rsidRPr="00812FFB">
              <w:rPr>
                <w:rFonts w:eastAsia="Arial"/>
                <w:sz w:val="20"/>
                <w:szCs w:val="20"/>
                <w:lang w:val="en-GB"/>
              </w:rPr>
              <w:t xml:space="preserve"> </w:t>
            </w:r>
          </w:p>
          <w:p w14:paraId="46A0ED58" w14:textId="3769C54A" w:rsidR="2A406FEB" w:rsidRPr="00812FFB" w:rsidRDefault="2A406FEB" w:rsidP="3F99D55D">
            <w:pPr>
              <w:jc w:val="both"/>
              <w:rPr>
                <w:rFonts w:eastAsia="Arial"/>
                <w:sz w:val="20"/>
                <w:szCs w:val="20"/>
                <w:lang w:val="en-GB"/>
              </w:rPr>
            </w:pPr>
            <w:r w:rsidRPr="00812FFB">
              <w:rPr>
                <w:rFonts w:eastAsia="Arial"/>
                <w:sz w:val="20"/>
                <w:szCs w:val="20"/>
                <w:lang w:val="en-GB"/>
              </w:rPr>
              <w:t>Merging of public spaces with natural surroundings as well as green transportation through the construction of a new eco-link coverage</w:t>
            </w:r>
            <w:r w:rsidR="06587AC5" w:rsidRPr="00812FFB">
              <w:rPr>
                <w:rFonts w:eastAsia="Arial"/>
                <w:sz w:val="20"/>
                <w:szCs w:val="20"/>
                <w:lang w:val="en-GB"/>
              </w:rPr>
              <w:t>.</w:t>
            </w:r>
          </w:p>
        </w:tc>
        <w:tc>
          <w:tcPr>
            <w:tcW w:w="49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48DFB4" w14:textId="0054F8B7" w:rsidR="013153ED" w:rsidRPr="00812FFB" w:rsidRDefault="013153ED" w:rsidP="3F99D55D">
            <w:pPr>
              <w:jc w:val="both"/>
              <w:rPr>
                <w:rFonts w:eastAsia="Arial"/>
                <w:sz w:val="20"/>
                <w:szCs w:val="20"/>
                <w:lang w:val="en-GB"/>
              </w:rPr>
            </w:pPr>
            <w:r w:rsidRPr="00812FFB">
              <w:rPr>
                <w:rFonts w:eastAsia="Arial"/>
                <w:sz w:val="20"/>
                <w:szCs w:val="20"/>
                <w:lang w:val="en-GB"/>
              </w:rPr>
              <w:t xml:space="preserve">Increase the total amount of public space available to </w:t>
            </w:r>
            <w:r w:rsidR="6345A0EA" w:rsidRPr="00812FFB">
              <w:rPr>
                <w:rFonts w:eastAsia="Arial"/>
                <w:sz w:val="20"/>
                <w:szCs w:val="20"/>
                <w:lang w:val="en-GB"/>
              </w:rPr>
              <w:t>51.6 hectares</w:t>
            </w:r>
            <w:r w:rsidR="40D70627" w:rsidRPr="00812FFB">
              <w:rPr>
                <w:rFonts w:eastAsia="Arial"/>
                <w:sz w:val="20"/>
                <w:szCs w:val="20"/>
                <w:lang w:val="en-GB"/>
              </w:rPr>
              <w:t>, which is approximately a third of the overall campus area. (150 hectares).</w:t>
            </w:r>
          </w:p>
          <w:p w14:paraId="78216612" w14:textId="78AF1B60" w:rsidR="3F99D55D" w:rsidRPr="00812FFB" w:rsidRDefault="3F99D55D" w:rsidP="3F99D55D">
            <w:pPr>
              <w:jc w:val="both"/>
              <w:rPr>
                <w:sz w:val="20"/>
                <w:szCs w:val="20"/>
              </w:rPr>
            </w:pPr>
            <w:r w:rsidRPr="00812FFB">
              <w:rPr>
                <w:rFonts w:eastAsia="Arial"/>
                <w:sz w:val="20"/>
                <w:szCs w:val="20"/>
                <w:lang w:val="en-GB"/>
              </w:rPr>
              <w:t xml:space="preserve"> </w:t>
            </w:r>
          </w:p>
          <w:p w14:paraId="0C1063F9" w14:textId="3B2637FD" w:rsidR="3DAAD782" w:rsidRPr="00812FFB" w:rsidRDefault="3DAAD782" w:rsidP="3F99D55D">
            <w:pPr>
              <w:jc w:val="both"/>
              <w:rPr>
                <w:rFonts w:eastAsia="Arial"/>
                <w:sz w:val="20"/>
                <w:szCs w:val="20"/>
                <w:lang w:val="en-GB"/>
              </w:rPr>
            </w:pPr>
            <w:r w:rsidRPr="00812FFB">
              <w:rPr>
                <w:rFonts w:eastAsia="Arial"/>
                <w:sz w:val="20"/>
                <w:szCs w:val="20"/>
                <w:lang w:val="en-GB"/>
              </w:rPr>
              <w:t>These public spaces will be available for students and staff</w:t>
            </w:r>
            <w:r w:rsidR="1A47147E" w:rsidRPr="00812FFB">
              <w:rPr>
                <w:rFonts w:eastAsia="Arial"/>
                <w:sz w:val="20"/>
                <w:szCs w:val="20"/>
                <w:lang w:val="en-GB"/>
              </w:rPr>
              <w:t xml:space="preserve"> alike to </w:t>
            </w:r>
            <w:r w:rsidR="6534F455" w:rsidRPr="00812FFB">
              <w:rPr>
                <w:rFonts w:eastAsia="Arial"/>
                <w:sz w:val="20"/>
                <w:szCs w:val="20"/>
                <w:lang w:val="en-GB"/>
              </w:rPr>
              <w:t>build more networks, take part in recreational activities</w:t>
            </w:r>
            <w:r w:rsidR="38B9F2CB" w:rsidRPr="00812FFB">
              <w:rPr>
                <w:rFonts w:eastAsia="Arial"/>
                <w:sz w:val="20"/>
                <w:szCs w:val="20"/>
                <w:lang w:val="en-GB"/>
              </w:rPr>
              <w:t>,</w:t>
            </w:r>
            <w:r w:rsidR="6534F455" w:rsidRPr="00812FFB">
              <w:rPr>
                <w:rFonts w:eastAsia="Arial"/>
                <w:sz w:val="20"/>
                <w:szCs w:val="20"/>
                <w:lang w:val="en-GB"/>
              </w:rPr>
              <w:t xml:space="preserve"> and lead a more fulfilling campus lifestyle.</w:t>
            </w:r>
          </w:p>
          <w:p w14:paraId="69C2874A" w14:textId="4BB982CB" w:rsidR="3F99D55D" w:rsidRPr="00812FFB" w:rsidRDefault="3F99D55D" w:rsidP="3F99D55D">
            <w:pPr>
              <w:jc w:val="both"/>
              <w:rPr>
                <w:sz w:val="20"/>
                <w:szCs w:val="20"/>
              </w:rPr>
            </w:pPr>
            <w:r w:rsidRPr="00812FFB">
              <w:rPr>
                <w:rFonts w:eastAsia="Arial"/>
                <w:sz w:val="20"/>
                <w:szCs w:val="20"/>
                <w:lang w:val="en-GB"/>
              </w:rPr>
              <w:t xml:space="preserve"> </w:t>
            </w:r>
          </w:p>
        </w:tc>
      </w:tr>
    </w:tbl>
    <w:p w14:paraId="1756DCF0" w14:textId="338983C8" w:rsidR="3A91AC43" w:rsidRPr="00812FFB" w:rsidRDefault="3A91AC43" w:rsidP="3A91AC43">
      <w:pPr>
        <w:spacing w:line="276" w:lineRule="auto"/>
        <w:rPr>
          <w:sz w:val="20"/>
          <w:szCs w:val="20"/>
        </w:rPr>
      </w:pPr>
    </w:p>
    <w:tbl>
      <w:tblPr>
        <w:tblW w:w="14176" w:type="dxa"/>
        <w:tblInd w:w="-152" w:type="dxa"/>
        <w:tblLayout w:type="fixed"/>
        <w:tblLook w:val="0600" w:firstRow="0" w:lastRow="0" w:firstColumn="0" w:lastColumn="0" w:noHBand="1" w:noVBand="1"/>
      </w:tblPr>
      <w:tblGrid>
        <w:gridCol w:w="1702"/>
        <w:gridCol w:w="12474"/>
      </w:tblGrid>
      <w:tr w:rsidR="3F99D55D" w:rsidRPr="00812FFB" w14:paraId="2921F12A" w14:textId="77777777" w:rsidTr="6D772B93">
        <w:trPr>
          <w:trHeight w:val="420"/>
        </w:trPr>
        <w:tc>
          <w:tcPr>
            <w:tcW w:w="14176"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Mar>
              <w:top w:w="100" w:type="dxa"/>
              <w:left w:w="100" w:type="dxa"/>
              <w:bottom w:w="100" w:type="dxa"/>
              <w:right w:w="100" w:type="dxa"/>
            </w:tcMar>
          </w:tcPr>
          <w:p w14:paraId="141A0EF4" w14:textId="1CF4F516" w:rsidR="3F99D55D" w:rsidRPr="00812FFB" w:rsidRDefault="3F99D55D" w:rsidP="3F99D55D">
            <w:pPr>
              <w:jc w:val="center"/>
              <w:rPr>
                <w:sz w:val="20"/>
                <w:szCs w:val="20"/>
              </w:rPr>
            </w:pPr>
            <w:r w:rsidRPr="00812FFB">
              <w:rPr>
                <w:rFonts w:eastAsia="Arial"/>
                <w:b/>
                <w:bCs/>
                <w:color w:val="000000" w:themeColor="text1"/>
                <w:sz w:val="20"/>
                <w:szCs w:val="20"/>
                <w:u w:val="single"/>
                <w:lang w:val="en-GB"/>
              </w:rPr>
              <w:t>Evidence to Substantiate the Need for Intervention</w:t>
            </w:r>
          </w:p>
        </w:tc>
      </w:tr>
      <w:tr w:rsidR="3F99D55D" w:rsidRPr="00812FFB" w14:paraId="7DD5C7AF" w14:textId="77777777" w:rsidTr="6D772B93">
        <w:trPr>
          <w:trHeight w:val="420"/>
        </w:trPr>
        <w:tc>
          <w:tcPr>
            <w:tcW w:w="17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93E022" w14:textId="234A8160" w:rsidR="0049410F" w:rsidRPr="00812FFB" w:rsidRDefault="0049410F" w:rsidP="0049410F">
            <w:pPr>
              <w:jc w:val="both"/>
              <w:rPr>
                <w:rFonts w:eastAsia="Arial"/>
                <w:b/>
                <w:bCs/>
                <w:sz w:val="20"/>
                <w:szCs w:val="20"/>
              </w:rPr>
            </w:pPr>
            <w:r w:rsidRPr="00812FFB">
              <w:rPr>
                <w:rFonts w:eastAsia="Arial"/>
                <w:b/>
                <w:bCs/>
                <w:sz w:val="20"/>
                <w:szCs w:val="20"/>
                <w:lang w:val="en-GB"/>
              </w:rPr>
              <w:t xml:space="preserve">Increased need </w:t>
            </w:r>
            <w:r w:rsidR="00EF1562" w:rsidRPr="00812FFB">
              <w:rPr>
                <w:rFonts w:eastAsia="Arial"/>
                <w:b/>
                <w:bCs/>
                <w:sz w:val="20"/>
                <w:szCs w:val="20"/>
                <w:lang w:val="en-GB"/>
              </w:rPr>
              <w:t>to improve</w:t>
            </w:r>
            <w:r w:rsidRPr="00812FFB">
              <w:rPr>
                <w:rFonts w:eastAsia="Arial"/>
                <w:b/>
                <w:bCs/>
                <w:sz w:val="20"/>
                <w:szCs w:val="20"/>
              </w:rPr>
              <w:t xml:space="preserve"> </w:t>
            </w:r>
            <w:r w:rsidR="00BB0B4B" w:rsidRPr="00812FFB">
              <w:rPr>
                <w:rFonts w:eastAsia="Arial"/>
                <w:b/>
                <w:bCs/>
                <w:sz w:val="20"/>
                <w:szCs w:val="20"/>
              </w:rPr>
              <w:t>e</w:t>
            </w:r>
            <w:r w:rsidRPr="00812FFB">
              <w:rPr>
                <w:rFonts w:eastAsia="Arial"/>
                <w:b/>
                <w:bCs/>
                <w:sz w:val="20"/>
                <w:szCs w:val="20"/>
              </w:rPr>
              <w:t xml:space="preserve">nergy </w:t>
            </w:r>
            <w:proofErr w:type="gramStart"/>
            <w:r w:rsidR="00BB0B4B" w:rsidRPr="00812FFB">
              <w:rPr>
                <w:rFonts w:eastAsia="Arial"/>
                <w:b/>
                <w:bCs/>
                <w:sz w:val="20"/>
                <w:szCs w:val="20"/>
              </w:rPr>
              <w:t>s</w:t>
            </w:r>
            <w:r w:rsidRPr="00812FFB">
              <w:rPr>
                <w:rFonts w:eastAsia="Arial"/>
                <w:b/>
                <w:bCs/>
                <w:sz w:val="20"/>
                <w:szCs w:val="20"/>
              </w:rPr>
              <w:t>elf-</w:t>
            </w:r>
            <w:r w:rsidR="00BB0B4B" w:rsidRPr="00812FFB">
              <w:rPr>
                <w:rFonts w:eastAsia="Arial"/>
                <w:b/>
                <w:bCs/>
                <w:sz w:val="20"/>
                <w:szCs w:val="20"/>
              </w:rPr>
              <w:t>s</w:t>
            </w:r>
            <w:r w:rsidRPr="00812FFB">
              <w:rPr>
                <w:rFonts w:eastAsia="Arial"/>
                <w:b/>
                <w:bCs/>
                <w:sz w:val="20"/>
                <w:szCs w:val="20"/>
              </w:rPr>
              <w:t>ufficiency</w:t>
            </w:r>
            <w:proofErr w:type="gramEnd"/>
          </w:p>
          <w:p w14:paraId="720A2E99" w14:textId="77777777" w:rsidR="0049410F" w:rsidRPr="00812FFB" w:rsidRDefault="0049410F" w:rsidP="0049410F">
            <w:pPr>
              <w:jc w:val="both"/>
              <w:rPr>
                <w:rFonts w:eastAsia="Arial"/>
                <w:b/>
                <w:bCs/>
                <w:sz w:val="20"/>
                <w:szCs w:val="20"/>
              </w:rPr>
            </w:pPr>
          </w:p>
          <w:p w14:paraId="2FDD9F56" w14:textId="0BAA90E8" w:rsidR="0049410F" w:rsidRPr="00812FFB" w:rsidRDefault="0049410F" w:rsidP="3F99D55D">
            <w:pPr>
              <w:jc w:val="both"/>
              <w:rPr>
                <w:rFonts w:eastAsia="Arial"/>
                <w:b/>
                <w:sz w:val="20"/>
                <w:szCs w:val="20"/>
              </w:rPr>
            </w:pPr>
          </w:p>
        </w:tc>
        <w:tc>
          <w:tcPr>
            <w:tcW w:w="12474"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79754F" w14:textId="18CD7A71" w:rsidR="00AA10D8" w:rsidRPr="00812FFB" w:rsidRDefault="00AA10D8" w:rsidP="001C78A2">
            <w:pPr>
              <w:pStyle w:val="ListParagraph"/>
              <w:numPr>
                <w:ilvl w:val="0"/>
                <w:numId w:val="10"/>
              </w:numPr>
              <w:jc w:val="both"/>
              <w:rPr>
                <w:sz w:val="20"/>
                <w:szCs w:val="20"/>
              </w:rPr>
            </w:pPr>
            <w:r w:rsidRPr="00812FFB">
              <w:rPr>
                <w:sz w:val="20"/>
                <w:szCs w:val="20"/>
              </w:rPr>
              <w:t xml:space="preserve">Singapore's heavy reliance on imported natural gas, which accounts for 95% of its electricity generation, makes it highly vulnerable to price fluctuations in the global energy market. Any fluctuations in the global energy market will potentially lead to higher domestic electricity prices when fuel prices rise (Energy Market Authority, 2022).  </w:t>
            </w:r>
            <w:r w:rsidRPr="00812FFB">
              <w:rPr>
                <w:sz w:val="20"/>
                <w:szCs w:val="20"/>
              </w:rPr>
              <w:br/>
              <w:t xml:space="preserve">Given the ongoing uncertainties and volatilities in global energy markets, </w:t>
            </w:r>
            <w:r w:rsidR="6FAE781A" w:rsidRPr="00812FFB">
              <w:rPr>
                <w:sz w:val="20"/>
                <w:szCs w:val="20"/>
              </w:rPr>
              <w:t>due to</w:t>
            </w:r>
            <w:r w:rsidRPr="00812FFB">
              <w:rPr>
                <w:sz w:val="20"/>
                <w:szCs w:val="20"/>
              </w:rPr>
              <w:t xml:space="preserve"> the surge in global gas prices and the prolonged conflict in Ukraine, Singapore faces a pressing need to enhance its energy self-sufficiency. The Energy Market Authority </w:t>
            </w:r>
            <w:r w:rsidR="6132C0A3" w:rsidRPr="00812FFB">
              <w:rPr>
                <w:sz w:val="20"/>
                <w:szCs w:val="20"/>
              </w:rPr>
              <w:t xml:space="preserve">of Singapore </w:t>
            </w:r>
            <w:r w:rsidR="77783778" w:rsidRPr="00812FFB">
              <w:rPr>
                <w:sz w:val="20"/>
                <w:szCs w:val="20"/>
              </w:rPr>
              <w:t xml:space="preserve">has </w:t>
            </w:r>
            <w:r w:rsidR="01F2893C" w:rsidRPr="00812FFB">
              <w:rPr>
                <w:sz w:val="20"/>
                <w:szCs w:val="20"/>
              </w:rPr>
              <w:t>also</w:t>
            </w:r>
            <w:r w:rsidRPr="00812FFB">
              <w:rPr>
                <w:sz w:val="20"/>
                <w:szCs w:val="20"/>
              </w:rPr>
              <w:t xml:space="preserve"> been actively encouraging and implementing measures to enhance the nation's energy security</w:t>
            </w:r>
            <w:r w:rsidR="26CB5A54" w:rsidRPr="00812FFB">
              <w:rPr>
                <w:sz w:val="20"/>
                <w:szCs w:val="20"/>
              </w:rPr>
              <w:t xml:space="preserve">. </w:t>
            </w:r>
          </w:p>
          <w:p w14:paraId="41344E48" w14:textId="6CB1EB1A" w:rsidR="3F99D55D" w:rsidRPr="00812FFB" w:rsidRDefault="003F5C73" w:rsidP="001C78A2">
            <w:pPr>
              <w:pStyle w:val="ListParagraph"/>
              <w:numPr>
                <w:ilvl w:val="0"/>
                <w:numId w:val="10"/>
              </w:numPr>
              <w:jc w:val="both"/>
              <w:rPr>
                <w:sz w:val="20"/>
                <w:szCs w:val="20"/>
                <w:lang w:val="en-GB"/>
              </w:rPr>
            </w:pPr>
            <w:r w:rsidRPr="00812FFB">
              <w:rPr>
                <w:sz w:val="20"/>
                <w:szCs w:val="20"/>
                <w:lang w:val="en-GB"/>
              </w:rPr>
              <w:lastRenderedPageBreak/>
              <w:t>Nonetheless,</w:t>
            </w:r>
            <w:r w:rsidR="00F97D23" w:rsidRPr="00812FFB">
              <w:rPr>
                <w:sz w:val="20"/>
                <w:szCs w:val="20"/>
                <w:lang w:val="en-GB"/>
              </w:rPr>
              <w:t xml:space="preserve"> </w:t>
            </w:r>
            <w:r w:rsidR="0F29F38D" w:rsidRPr="00812FFB">
              <w:rPr>
                <w:sz w:val="20"/>
                <w:szCs w:val="20"/>
                <w:lang w:val="en-GB"/>
              </w:rPr>
              <w:t>Singapore's leading universities have shown minimal to negligible progress in reducing the reliance on oil and gas industry (Hicks, 2023).</w:t>
            </w:r>
          </w:p>
          <w:p w14:paraId="0E2C376D" w14:textId="5D89282B" w:rsidR="3F99D55D" w:rsidRPr="00812FFB" w:rsidRDefault="7A11575D" w:rsidP="001C78A2">
            <w:pPr>
              <w:pStyle w:val="ListParagraph"/>
              <w:numPr>
                <w:ilvl w:val="0"/>
                <w:numId w:val="10"/>
              </w:numPr>
              <w:jc w:val="both"/>
              <w:rPr>
                <w:sz w:val="20"/>
                <w:szCs w:val="20"/>
                <w:lang w:val="en-GB"/>
              </w:rPr>
            </w:pPr>
            <w:r w:rsidRPr="00812FFB">
              <w:rPr>
                <w:sz w:val="20"/>
                <w:szCs w:val="20"/>
                <w:lang w:val="en-GB"/>
              </w:rPr>
              <w:t>None of the top universities in Singapore have established a timeline for divestment from fossil fuels</w:t>
            </w:r>
            <w:r w:rsidR="38AB31BC" w:rsidRPr="00812FFB">
              <w:rPr>
                <w:sz w:val="20"/>
                <w:szCs w:val="20"/>
                <w:lang w:val="en-GB"/>
              </w:rPr>
              <w:t xml:space="preserve"> (Students for a Fossil Free Future, 2022)</w:t>
            </w:r>
            <w:r w:rsidRPr="00812FFB">
              <w:rPr>
                <w:sz w:val="20"/>
                <w:szCs w:val="20"/>
                <w:lang w:val="en-GB"/>
              </w:rPr>
              <w:t xml:space="preserve">. This absence of a clear roadmap hinders progress toward reducing dependency on fossil fuels. </w:t>
            </w:r>
          </w:p>
          <w:p w14:paraId="5D608483" w14:textId="76379E47" w:rsidR="00C9658C" w:rsidRPr="00812FFB" w:rsidRDefault="473F9499" w:rsidP="001C78A2">
            <w:pPr>
              <w:pStyle w:val="ListParagraph"/>
              <w:numPr>
                <w:ilvl w:val="0"/>
                <w:numId w:val="10"/>
              </w:numPr>
              <w:jc w:val="both"/>
              <w:rPr>
                <w:sz w:val="20"/>
                <w:szCs w:val="20"/>
                <w:lang w:val="en-GB"/>
              </w:rPr>
            </w:pPr>
            <w:r w:rsidRPr="00812FFB">
              <w:rPr>
                <w:sz w:val="20"/>
                <w:szCs w:val="20"/>
                <w:lang w:val="en-GB"/>
              </w:rPr>
              <w:t>Extensive ties</w:t>
            </w:r>
            <w:r w:rsidR="003A13EF" w:rsidRPr="00812FFB">
              <w:rPr>
                <w:sz w:val="20"/>
                <w:szCs w:val="20"/>
                <w:lang w:val="en-GB"/>
              </w:rPr>
              <w:t xml:space="preserve"> even</w:t>
            </w:r>
            <w:r w:rsidRPr="00812FFB">
              <w:rPr>
                <w:sz w:val="20"/>
                <w:szCs w:val="20"/>
                <w:lang w:val="en-GB"/>
              </w:rPr>
              <w:t xml:space="preserve"> exist between Singaporean universities and the fossil fuel industry, as these institutions have yet to pledge the cessation of investments in fossil fuel companies </w:t>
            </w:r>
            <w:r w:rsidR="2CAFB0D2" w:rsidRPr="00812FFB">
              <w:rPr>
                <w:sz w:val="20"/>
                <w:szCs w:val="20"/>
                <w:lang w:val="en-GB"/>
              </w:rPr>
              <w:t>(CNA, 2022)</w:t>
            </w:r>
            <w:r w:rsidR="20043637" w:rsidRPr="00812FFB">
              <w:rPr>
                <w:sz w:val="20"/>
                <w:szCs w:val="20"/>
                <w:lang w:val="en-GB"/>
              </w:rPr>
              <w:t xml:space="preserve">. </w:t>
            </w:r>
            <w:r w:rsidR="118828A9" w:rsidRPr="00812FFB">
              <w:rPr>
                <w:sz w:val="20"/>
                <w:szCs w:val="20"/>
                <w:lang w:val="en-GB"/>
              </w:rPr>
              <w:t xml:space="preserve">For example, </w:t>
            </w:r>
            <w:r w:rsidR="1BDCF49D" w:rsidRPr="00812FFB">
              <w:rPr>
                <w:sz w:val="20"/>
                <w:szCs w:val="20"/>
                <w:lang w:val="en-GB"/>
              </w:rPr>
              <w:t>NUS has substantial investments, estimated at a minimum of S$59 million</w:t>
            </w:r>
            <w:r w:rsidR="42068509" w:rsidRPr="00812FFB">
              <w:rPr>
                <w:sz w:val="20"/>
                <w:szCs w:val="20"/>
                <w:lang w:val="en-GB"/>
              </w:rPr>
              <w:t xml:space="preserve"> as of 2021</w:t>
            </w:r>
            <w:r w:rsidR="1BDCF49D" w:rsidRPr="00812FFB">
              <w:rPr>
                <w:sz w:val="20"/>
                <w:szCs w:val="20"/>
                <w:lang w:val="en-GB"/>
              </w:rPr>
              <w:t xml:space="preserve">, indirectly linked to fossil fuels through its endowment fund. </w:t>
            </w:r>
            <w:r w:rsidR="1E1B9D39" w:rsidRPr="00812FFB">
              <w:rPr>
                <w:sz w:val="20"/>
                <w:szCs w:val="20"/>
                <w:lang w:val="en-GB"/>
              </w:rPr>
              <w:t>By comparison, NUS's investments in fossil fuels are three times greater than those of National Taiwan University, which successfully completed a divestment of NT$432 million (S$21 million) from six companies characterized as having 'high pollution' and 'high carbon emissions' in 20</w:t>
            </w:r>
            <w:r w:rsidR="076D2894" w:rsidRPr="00812FFB">
              <w:rPr>
                <w:sz w:val="20"/>
                <w:szCs w:val="20"/>
                <w:lang w:val="en-GB"/>
              </w:rPr>
              <w:t>19 (Wu, 2019).</w:t>
            </w:r>
            <w:r w:rsidR="009515FD" w:rsidRPr="00812FFB">
              <w:rPr>
                <w:sz w:val="20"/>
                <w:szCs w:val="20"/>
                <w:lang w:val="en-GB"/>
              </w:rPr>
              <w:t xml:space="preserve"> NUS’s continued financial reliance on the fossil fuel industry hence contradicts efforts to achieving energy self-sufficiency.</w:t>
            </w:r>
          </w:p>
          <w:p w14:paraId="21F6C678" w14:textId="7F7566C6" w:rsidR="2F85C337" w:rsidRPr="00812FFB" w:rsidRDefault="2B05AAEF" w:rsidP="001C78A2">
            <w:pPr>
              <w:pStyle w:val="ListParagraph"/>
              <w:numPr>
                <w:ilvl w:val="0"/>
                <w:numId w:val="10"/>
              </w:numPr>
              <w:jc w:val="both"/>
              <w:rPr>
                <w:sz w:val="20"/>
                <w:szCs w:val="20"/>
                <w:lang w:val="en-GB"/>
              </w:rPr>
            </w:pPr>
            <w:r w:rsidRPr="00812FFB">
              <w:rPr>
                <w:sz w:val="20"/>
                <w:szCs w:val="20"/>
                <w:lang w:val="en-GB"/>
              </w:rPr>
              <w:t xml:space="preserve">With the adoption of solar energy, </w:t>
            </w:r>
            <w:r w:rsidR="49DA38A4" w:rsidRPr="00812FFB">
              <w:rPr>
                <w:sz w:val="20"/>
                <w:szCs w:val="20"/>
                <w:lang w:val="en-GB"/>
              </w:rPr>
              <w:t>Singapore could attain a remarkable 22% and 43% solar power contribution to its electricity demand during mid-day by the year 2030 and 2050 respectively</w:t>
            </w:r>
            <w:r w:rsidR="48BE2927" w:rsidRPr="00812FFB">
              <w:rPr>
                <w:sz w:val="20"/>
                <w:szCs w:val="20"/>
                <w:lang w:val="en-GB"/>
              </w:rPr>
              <w:t xml:space="preserve"> (Solar Energy Research Institute of Singapore</w:t>
            </w:r>
            <w:r w:rsidR="006F0E18" w:rsidRPr="00812FFB">
              <w:rPr>
                <w:sz w:val="20"/>
                <w:szCs w:val="20"/>
                <w:lang w:val="en-GB"/>
              </w:rPr>
              <w:t xml:space="preserve">, </w:t>
            </w:r>
            <w:r w:rsidR="48BE2927" w:rsidRPr="00812FFB">
              <w:rPr>
                <w:sz w:val="20"/>
                <w:szCs w:val="20"/>
                <w:lang w:val="en-GB"/>
              </w:rPr>
              <w:t>2020)</w:t>
            </w:r>
            <w:r w:rsidR="55553CFF" w:rsidRPr="00812FFB">
              <w:rPr>
                <w:sz w:val="20"/>
                <w:szCs w:val="20"/>
                <w:lang w:val="en-GB"/>
              </w:rPr>
              <w:t>.</w:t>
            </w:r>
            <w:r w:rsidR="49DA38A4" w:rsidRPr="00812FFB">
              <w:rPr>
                <w:sz w:val="20"/>
                <w:szCs w:val="20"/>
                <w:lang w:val="en-GB"/>
              </w:rPr>
              <w:t xml:space="preserve"> This progress would also lead to annual CO2 emission reductions of 1.6 and 3.4 million tonnes (Mt) in 2030 and 2050, respectively. Th</w:t>
            </w:r>
            <w:r w:rsidR="42D2E695" w:rsidRPr="00812FFB">
              <w:rPr>
                <w:sz w:val="20"/>
                <w:szCs w:val="20"/>
                <w:lang w:val="en-GB"/>
              </w:rPr>
              <w:t>e</w:t>
            </w:r>
            <w:r w:rsidR="49DA38A4" w:rsidRPr="00812FFB">
              <w:rPr>
                <w:sz w:val="20"/>
                <w:szCs w:val="20"/>
                <w:lang w:val="en-GB"/>
              </w:rPr>
              <w:t xml:space="preserve"> projected level of </w:t>
            </w:r>
            <w:r w:rsidR="7A2A2690" w:rsidRPr="00812FFB">
              <w:rPr>
                <w:sz w:val="20"/>
                <w:szCs w:val="20"/>
                <w:lang w:val="en-GB"/>
              </w:rPr>
              <w:t xml:space="preserve">solar power </w:t>
            </w:r>
            <w:r w:rsidR="49DA38A4" w:rsidRPr="00812FFB">
              <w:rPr>
                <w:sz w:val="20"/>
                <w:szCs w:val="20"/>
                <w:lang w:val="en-GB"/>
              </w:rPr>
              <w:t>photovoltaic (PV) penetration signifies a substantial increase from our current 5% (Union Power, 2022</w:t>
            </w:r>
            <w:r w:rsidR="2D38B4D7" w:rsidRPr="00812FFB">
              <w:rPr>
                <w:sz w:val="20"/>
                <w:szCs w:val="20"/>
                <w:lang w:val="en-GB"/>
              </w:rPr>
              <w:t>)</w:t>
            </w:r>
            <w:r w:rsidR="1E8672F1" w:rsidRPr="00812FFB">
              <w:rPr>
                <w:sz w:val="20"/>
                <w:szCs w:val="20"/>
                <w:lang w:val="en-GB"/>
              </w:rPr>
              <w:t>.</w:t>
            </w:r>
          </w:p>
          <w:p w14:paraId="7E69FDD4" w14:textId="20588DCE" w:rsidR="3F99D55D" w:rsidRPr="00812FFB" w:rsidRDefault="3EA5840A" w:rsidP="001C78A2">
            <w:pPr>
              <w:pStyle w:val="ListParagraph"/>
              <w:numPr>
                <w:ilvl w:val="0"/>
                <w:numId w:val="10"/>
              </w:numPr>
              <w:jc w:val="both"/>
              <w:rPr>
                <w:sz w:val="20"/>
                <w:szCs w:val="20"/>
                <w:lang w:val="en-GB"/>
              </w:rPr>
            </w:pPr>
            <w:r w:rsidRPr="00812FFB">
              <w:rPr>
                <w:sz w:val="20"/>
                <w:szCs w:val="20"/>
                <w:lang w:val="en-GB"/>
              </w:rPr>
              <w:t>Reducing reliance</w:t>
            </w:r>
            <w:r w:rsidR="000913B6" w:rsidRPr="00812FFB">
              <w:rPr>
                <w:sz w:val="20"/>
                <w:szCs w:val="20"/>
                <w:lang w:val="en-GB"/>
              </w:rPr>
              <w:t xml:space="preserve"> on fossil fuels and </w:t>
            </w:r>
            <w:r w:rsidRPr="00812FFB">
              <w:rPr>
                <w:sz w:val="20"/>
                <w:szCs w:val="20"/>
                <w:lang w:val="en-GB"/>
              </w:rPr>
              <w:t>embracing</w:t>
            </w:r>
            <w:r w:rsidR="00D3650F" w:rsidRPr="00812FFB">
              <w:rPr>
                <w:sz w:val="20"/>
                <w:szCs w:val="20"/>
                <w:lang w:val="en-GB"/>
              </w:rPr>
              <w:t xml:space="preserve"> renewable energy initiatives </w:t>
            </w:r>
            <w:r w:rsidRPr="00812FFB">
              <w:rPr>
                <w:sz w:val="20"/>
                <w:szCs w:val="20"/>
                <w:lang w:val="en-GB"/>
              </w:rPr>
              <w:t xml:space="preserve">would </w:t>
            </w:r>
            <w:r w:rsidR="00D3650F" w:rsidRPr="00812FFB">
              <w:rPr>
                <w:sz w:val="20"/>
                <w:szCs w:val="20"/>
                <w:lang w:val="en-GB"/>
              </w:rPr>
              <w:t xml:space="preserve">hence </w:t>
            </w:r>
            <w:r w:rsidRPr="00812FFB">
              <w:rPr>
                <w:sz w:val="20"/>
                <w:szCs w:val="20"/>
                <w:lang w:val="en-GB"/>
              </w:rPr>
              <w:t>empower</w:t>
            </w:r>
            <w:r w:rsidR="00D3650F" w:rsidRPr="00812FFB">
              <w:rPr>
                <w:sz w:val="20"/>
                <w:szCs w:val="20"/>
                <w:lang w:val="en-GB"/>
              </w:rPr>
              <w:t xml:space="preserve"> NUS to </w:t>
            </w:r>
            <w:r w:rsidRPr="00812FFB">
              <w:rPr>
                <w:sz w:val="20"/>
                <w:szCs w:val="20"/>
                <w:lang w:val="en-GB"/>
              </w:rPr>
              <w:t>enhance</w:t>
            </w:r>
            <w:r w:rsidR="002352D5" w:rsidRPr="00812FFB">
              <w:rPr>
                <w:sz w:val="20"/>
                <w:szCs w:val="20"/>
                <w:lang w:val="en-GB"/>
              </w:rPr>
              <w:t xml:space="preserve"> its energy self-sufficiency</w:t>
            </w:r>
            <w:r w:rsidR="00651E15" w:rsidRPr="00812FFB">
              <w:rPr>
                <w:sz w:val="20"/>
                <w:szCs w:val="20"/>
                <w:lang w:val="en-GB"/>
              </w:rPr>
              <w:t>.</w:t>
            </w:r>
          </w:p>
        </w:tc>
      </w:tr>
      <w:tr w:rsidR="3F99D55D" w:rsidRPr="00812FFB" w14:paraId="658EA363" w14:textId="77777777" w:rsidTr="6D772B93">
        <w:trPr>
          <w:trHeight w:val="2955"/>
        </w:trPr>
        <w:tc>
          <w:tcPr>
            <w:tcW w:w="17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A33EBA" w14:textId="64534F7F" w:rsidR="3F99D55D" w:rsidRPr="00812FFB" w:rsidRDefault="3A58A950" w:rsidP="3F99D55D">
            <w:pPr>
              <w:jc w:val="both"/>
              <w:rPr>
                <w:rFonts w:eastAsia="Arial"/>
                <w:b/>
                <w:bCs/>
                <w:sz w:val="20"/>
                <w:szCs w:val="20"/>
                <w:lang w:val="en-GB"/>
              </w:rPr>
            </w:pPr>
            <w:r w:rsidRPr="00812FFB">
              <w:rPr>
                <w:rFonts w:eastAsia="Arial"/>
                <w:b/>
                <w:bCs/>
                <w:sz w:val="20"/>
                <w:szCs w:val="20"/>
                <w:lang w:val="en-GB"/>
              </w:rPr>
              <w:lastRenderedPageBreak/>
              <w:t>Reasons for intervention in water</w:t>
            </w:r>
          </w:p>
        </w:tc>
        <w:tc>
          <w:tcPr>
            <w:tcW w:w="124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C20898" w14:textId="369B6400" w:rsidR="5CAB1C17" w:rsidRPr="00812FFB" w:rsidRDefault="5CAB1C17" w:rsidP="001C78A2">
            <w:pPr>
              <w:pStyle w:val="ListParagraph"/>
              <w:numPr>
                <w:ilvl w:val="0"/>
                <w:numId w:val="8"/>
              </w:numPr>
              <w:jc w:val="both"/>
              <w:rPr>
                <w:sz w:val="20"/>
                <w:szCs w:val="20"/>
                <w:lang w:val="en-GB"/>
              </w:rPr>
            </w:pPr>
            <w:r w:rsidRPr="00812FFB">
              <w:rPr>
                <w:sz w:val="20"/>
                <w:szCs w:val="20"/>
                <w:lang w:val="en-GB"/>
              </w:rPr>
              <w:t xml:space="preserve">Need to be self-sufficient on a national </w:t>
            </w:r>
            <w:proofErr w:type="gramStart"/>
            <w:r w:rsidRPr="00812FFB">
              <w:rPr>
                <w:sz w:val="20"/>
                <w:szCs w:val="20"/>
                <w:lang w:val="en-GB"/>
              </w:rPr>
              <w:t>level</w:t>
            </w:r>
            <w:proofErr w:type="gramEnd"/>
          </w:p>
          <w:p w14:paraId="439153E4" w14:textId="25FD8595" w:rsidR="3F99D55D" w:rsidRPr="00812FFB" w:rsidRDefault="00035078" w:rsidP="001C78A2">
            <w:pPr>
              <w:pStyle w:val="ListParagraph"/>
              <w:numPr>
                <w:ilvl w:val="0"/>
                <w:numId w:val="4"/>
              </w:numPr>
              <w:jc w:val="both"/>
              <w:rPr>
                <w:sz w:val="20"/>
                <w:szCs w:val="20"/>
                <w:lang w:val="en-GB"/>
              </w:rPr>
            </w:pPr>
            <w:r w:rsidRPr="00812FFB">
              <w:rPr>
                <w:sz w:val="20"/>
                <w:szCs w:val="20"/>
                <w:shd w:val="clear" w:color="auto" w:fill="FFFFFF"/>
              </w:rPr>
              <w:t>Singapore has the goal of becoming fully water self-sufficient as early as possible. The deadline for this is the year 2061, when the second contract for water import with Malaysia will expire</w:t>
            </w:r>
            <w:r w:rsidR="00EF65C6" w:rsidRPr="00812FFB">
              <w:rPr>
                <w:sz w:val="20"/>
                <w:szCs w:val="20"/>
                <w:shd w:val="clear" w:color="auto" w:fill="FFFFFF"/>
              </w:rPr>
              <w:t xml:space="preserve"> (</w:t>
            </w:r>
            <w:proofErr w:type="spellStart"/>
            <w:r w:rsidR="00EF65C6" w:rsidRPr="00812FFB">
              <w:rPr>
                <w:sz w:val="20"/>
                <w:szCs w:val="20"/>
                <w:shd w:val="clear" w:color="auto" w:fill="FFFFFF"/>
              </w:rPr>
              <w:t>Puttkamer</w:t>
            </w:r>
            <w:proofErr w:type="spellEnd"/>
            <w:r w:rsidR="00EF65C6" w:rsidRPr="00812FFB">
              <w:rPr>
                <w:sz w:val="20"/>
                <w:szCs w:val="20"/>
                <w:shd w:val="clear" w:color="auto" w:fill="FFFFFF"/>
              </w:rPr>
              <w:t>, 2023)</w:t>
            </w:r>
            <w:r w:rsidRPr="00812FFB">
              <w:rPr>
                <w:sz w:val="20"/>
                <w:szCs w:val="20"/>
                <w:shd w:val="clear" w:color="auto" w:fill="FFFFFF"/>
              </w:rPr>
              <w:t xml:space="preserve">. NUS as a leading </w:t>
            </w:r>
            <w:r w:rsidR="009918D7" w:rsidRPr="00812FFB">
              <w:rPr>
                <w:sz w:val="20"/>
                <w:szCs w:val="20"/>
                <w:shd w:val="clear" w:color="auto" w:fill="FFFFFF"/>
              </w:rPr>
              <w:t xml:space="preserve">university in Singapore need to lead </w:t>
            </w:r>
            <w:r w:rsidR="00E64989" w:rsidRPr="00812FFB">
              <w:rPr>
                <w:sz w:val="20"/>
                <w:szCs w:val="20"/>
                <w:shd w:val="clear" w:color="auto" w:fill="FFFFFF"/>
              </w:rPr>
              <w:t>the change and spearhead initiatives to achieve this goal.</w:t>
            </w:r>
          </w:p>
          <w:p w14:paraId="1ACC417C" w14:textId="7322AFBD" w:rsidR="7C64492E" w:rsidRPr="00812FFB" w:rsidRDefault="7C64492E" w:rsidP="001C78A2">
            <w:pPr>
              <w:pStyle w:val="ListParagraph"/>
              <w:numPr>
                <w:ilvl w:val="0"/>
                <w:numId w:val="8"/>
              </w:numPr>
              <w:jc w:val="both"/>
              <w:rPr>
                <w:sz w:val="20"/>
                <w:szCs w:val="20"/>
                <w:lang w:val="en-GB"/>
              </w:rPr>
            </w:pPr>
            <w:r w:rsidRPr="00812FFB">
              <w:rPr>
                <w:sz w:val="20"/>
                <w:szCs w:val="20"/>
                <w:lang w:val="en-GB"/>
              </w:rPr>
              <w:t>Increasing water demand</w:t>
            </w:r>
          </w:p>
          <w:p w14:paraId="3673B006" w14:textId="3D4B51D1" w:rsidR="3F99D55D" w:rsidRPr="00812FFB" w:rsidRDefault="00DE1C6B" w:rsidP="001C78A2">
            <w:pPr>
              <w:pStyle w:val="ListParagraph"/>
              <w:numPr>
                <w:ilvl w:val="0"/>
                <w:numId w:val="3"/>
              </w:numPr>
              <w:jc w:val="both"/>
              <w:rPr>
                <w:sz w:val="20"/>
                <w:szCs w:val="20"/>
                <w:lang w:val="en-GB"/>
              </w:rPr>
            </w:pPr>
            <w:r w:rsidRPr="00812FFB">
              <w:rPr>
                <w:sz w:val="20"/>
                <w:szCs w:val="20"/>
                <w:lang w:val="en-GB"/>
              </w:rPr>
              <w:t xml:space="preserve">NUS graduate student enrolment has increased steadily </w:t>
            </w:r>
            <w:r w:rsidR="00BB0727" w:rsidRPr="00812FFB">
              <w:rPr>
                <w:sz w:val="20"/>
                <w:szCs w:val="20"/>
                <w:lang w:val="en-GB"/>
              </w:rPr>
              <w:t xml:space="preserve">across the years – from </w:t>
            </w:r>
            <w:r w:rsidR="005A2380" w:rsidRPr="00812FFB">
              <w:rPr>
                <w:sz w:val="20"/>
                <w:szCs w:val="20"/>
                <w:lang w:val="en-GB"/>
              </w:rPr>
              <w:t>11,300 in 2020 to 16,200 in 2022</w:t>
            </w:r>
            <w:r w:rsidR="00563391" w:rsidRPr="00812FFB">
              <w:rPr>
                <w:sz w:val="20"/>
                <w:szCs w:val="20"/>
                <w:lang w:val="en-GB"/>
              </w:rPr>
              <w:t xml:space="preserve">. The increase in student population drives demand for both potable and non-potable water. </w:t>
            </w:r>
          </w:p>
          <w:p w14:paraId="0A8C9B31" w14:textId="6C64935B" w:rsidR="12940075" w:rsidRPr="00812FFB" w:rsidRDefault="12940075" w:rsidP="001C78A2">
            <w:pPr>
              <w:pStyle w:val="ListParagraph"/>
              <w:numPr>
                <w:ilvl w:val="0"/>
                <w:numId w:val="8"/>
              </w:numPr>
              <w:jc w:val="both"/>
              <w:rPr>
                <w:sz w:val="20"/>
                <w:szCs w:val="20"/>
                <w:lang w:val="en-GB"/>
              </w:rPr>
            </w:pPr>
            <w:r w:rsidRPr="00812FFB">
              <w:rPr>
                <w:sz w:val="20"/>
                <w:szCs w:val="20"/>
                <w:lang w:val="en-GB"/>
              </w:rPr>
              <w:t>Well positioned for water recycling</w:t>
            </w:r>
          </w:p>
          <w:p w14:paraId="10ADDA09" w14:textId="0A7F3423" w:rsidR="00D968DD" w:rsidRPr="00812FFB" w:rsidRDefault="12940075" w:rsidP="62E4FD21">
            <w:pPr>
              <w:jc w:val="both"/>
              <w:rPr>
                <w:sz w:val="20"/>
                <w:szCs w:val="20"/>
                <w:lang w:val="en-GB"/>
              </w:rPr>
            </w:pPr>
            <w:r w:rsidRPr="00812FFB">
              <w:rPr>
                <w:sz w:val="20"/>
                <w:szCs w:val="20"/>
                <w:shd w:val="clear" w:color="auto" w:fill="FFFFFF"/>
              </w:rPr>
              <w:t xml:space="preserve">                    a.   </w:t>
            </w:r>
            <w:r w:rsidR="00D968DD" w:rsidRPr="00812FFB">
              <w:rPr>
                <w:sz w:val="20"/>
                <w:szCs w:val="20"/>
                <w:shd w:val="clear" w:color="auto" w:fill="FFFFFF"/>
              </w:rPr>
              <w:t>Annual rainfall in Singapore is 2,400 mm, more than double the global average of 1,050 mm</w:t>
            </w:r>
            <w:r w:rsidR="00A64C4F" w:rsidRPr="00812FFB">
              <w:rPr>
                <w:sz w:val="20"/>
                <w:szCs w:val="20"/>
              </w:rPr>
              <w:t xml:space="preserve"> (</w:t>
            </w:r>
            <w:proofErr w:type="spellStart"/>
            <w:r w:rsidR="00A64C4F" w:rsidRPr="00812FFB">
              <w:rPr>
                <w:sz w:val="20"/>
                <w:szCs w:val="20"/>
                <w:shd w:val="clear" w:color="auto" w:fill="FFFFFF"/>
              </w:rPr>
              <w:t>Puttkamer</w:t>
            </w:r>
            <w:proofErr w:type="spellEnd"/>
            <w:r w:rsidR="00A64C4F" w:rsidRPr="00812FFB">
              <w:rPr>
                <w:sz w:val="20"/>
                <w:szCs w:val="20"/>
                <w:shd w:val="clear" w:color="auto" w:fill="FFFFFF"/>
              </w:rPr>
              <w:t>, 2023</w:t>
            </w:r>
            <w:r w:rsidR="00A64C4F" w:rsidRPr="00812FFB">
              <w:rPr>
                <w:sz w:val="20"/>
                <w:szCs w:val="20"/>
              </w:rPr>
              <w:t>)</w:t>
            </w:r>
            <w:r w:rsidR="008054CF" w:rsidRPr="00812FFB">
              <w:rPr>
                <w:sz w:val="20"/>
                <w:szCs w:val="20"/>
              </w:rPr>
              <w:t xml:space="preserve">. </w:t>
            </w:r>
            <w:r w:rsidR="71A3A73A" w:rsidRPr="00812FFB">
              <w:rPr>
                <w:sz w:val="20"/>
                <w:szCs w:val="20"/>
              </w:rPr>
              <w:t xml:space="preserve">  </w:t>
            </w:r>
            <w:r w:rsidR="008054CF" w:rsidRPr="00812FFB">
              <w:rPr>
                <w:sz w:val="20"/>
                <w:szCs w:val="20"/>
              </w:rPr>
              <w:t xml:space="preserve">This gives NUS the </w:t>
            </w:r>
            <w:r w:rsidR="00A64C4F" w:rsidRPr="00812FFB">
              <w:rPr>
                <w:sz w:val="20"/>
                <w:szCs w:val="20"/>
              </w:rPr>
              <w:t>advantage to utilize rainwater harvesting for self-sustaining its water demand.</w:t>
            </w:r>
          </w:p>
        </w:tc>
      </w:tr>
      <w:tr w:rsidR="3F99D55D" w:rsidRPr="00812FFB" w14:paraId="4D34D0C3" w14:textId="77777777" w:rsidTr="6D772B93">
        <w:trPr>
          <w:trHeight w:val="3283"/>
        </w:trPr>
        <w:tc>
          <w:tcPr>
            <w:tcW w:w="17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033562" w14:textId="20F3EC00" w:rsidR="3F99D55D" w:rsidRPr="00812FFB" w:rsidRDefault="3F99D55D" w:rsidP="3F99D55D">
            <w:pPr>
              <w:jc w:val="both"/>
              <w:rPr>
                <w:rFonts w:eastAsia="Arial"/>
                <w:b/>
                <w:bCs/>
                <w:sz w:val="20"/>
                <w:szCs w:val="20"/>
                <w:lang w:val="en-GB"/>
              </w:rPr>
            </w:pPr>
            <w:r w:rsidRPr="00812FFB">
              <w:rPr>
                <w:rFonts w:eastAsia="Arial"/>
                <w:b/>
                <w:bCs/>
                <w:sz w:val="20"/>
                <w:szCs w:val="20"/>
                <w:lang w:val="en-GB"/>
              </w:rPr>
              <w:lastRenderedPageBreak/>
              <w:t xml:space="preserve"> </w:t>
            </w:r>
          </w:p>
          <w:p w14:paraId="7A00EDE3" w14:textId="48760559" w:rsidR="3F99D55D" w:rsidRPr="00812FFB" w:rsidRDefault="3F99D55D" w:rsidP="3F99D55D">
            <w:pPr>
              <w:jc w:val="both"/>
              <w:rPr>
                <w:rFonts w:eastAsia="Arial"/>
                <w:b/>
                <w:bCs/>
                <w:sz w:val="20"/>
                <w:szCs w:val="20"/>
                <w:lang w:val="en-GB"/>
              </w:rPr>
            </w:pPr>
            <w:r w:rsidRPr="00812FFB">
              <w:rPr>
                <w:rFonts w:eastAsia="Arial"/>
                <w:b/>
                <w:bCs/>
                <w:sz w:val="20"/>
                <w:szCs w:val="20"/>
                <w:lang w:val="en-GB"/>
              </w:rPr>
              <w:t xml:space="preserve"> </w:t>
            </w:r>
          </w:p>
          <w:p w14:paraId="367B35F3" w14:textId="0E599E94" w:rsidR="3F99D55D" w:rsidRPr="00812FFB" w:rsidRDefault="3F99D55D" w:rsidP="3F99D55D">
            <w:pPr>
              <w:jc w:val="both"/>
              <w:rPr>
                <w:rFonts w:eastAsia="Arial"/>
                <w:b/>
                <w:bCs/>
                <w:sz w:val="20"/>
                <w:szCs w:val="20"/>
                <w:lang w:val="en-GB"/>
              </w:rPr>
            </w:pPr>
            <w:r w:rsidRPr="00812FFB">
              <w:rPr>
                <w:rFonts w:eastAsia="Arial"/>
                <w:b/>
                <w:bCs/>
                <w:sz w:val="20"/>
                <w:szCs w:val="20"/>
                <w:lang w:val="en-GB"/>
              </w:rPr>
              <w:t>Increased need for green spaces</w:t>
            </w:r>
          </w:p>
        </w:tc>
        <w:tc>
          <w:tcPr>
            <w:tcW w:w="124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F64DD6" w14:textId="0B00A611" w:rsidR="3F99D55D" w:rsidRPr="00812FFB" w:rsidRDefault="3F99D55D" w:rsidP="001C78A2">
            <w:pPr>
              <w:pStyle w:val="ListParagraph"/>
              <w:numPr>
                <w:ilvl w:val="0"/>
                <w:numId w:val="7"/>
              </w:numPr>
              <w:jc w:val="both"/>
              <w:rPr>
                <w:sz w:val="20"/>
                <w:szCs w:val="20"/>
                <w:lang w:val="en-GB"/>
              </w:rPr>
            </w:pPr>
            <w:r w:rsidRPr="00812FFB">
              <w:rPr>
                <w:sz w:val="20"/>
                <w:szCs w:val="20"/>
                <w:lang w:val="en-GB"/>
              </w:rPr>
              <w:t xml:space="preserve">Societal benefits: </w:t>
            </w:r>
          </w:p>
          <w:p w14:paraId="636AD3DE" w14:textId="4B590433" w:rsidR="3D15A30C" w:rsidRPr="00812FFB" w:rsidRDefault="3D15A30C" w:rsidP="001C78A2">
            <w:pPr>
              <w:pStyle w:val="ListParagraph"/>
              <w:numPr>
                <w:ilvl w:val="1"/>
                <w:numId w:val="7"/>
              </w:numPr>
              <w:jc w:val="both"/>
              <w:rPr>
                <w:sz w:val="20"/>
                <w:szCs w:val="20"/>
                <w:lang w:val="en-GB"/>
              </w:rPr>
            </w:pPr>
            <w:r w:rsidRPr="00812FFB">
              <w:rPr>
                <w:sz w:val="20"/>
                <w:szCs w:val="20"/>
                <w:lang w:val="en-GB"/>
              </w:rPr>
              <w:t xml:space="preserve">The lack of </w:t>
            </w:r>
            <w:proofErr w:type="gramStart"/>
            <w:r w:rsidRPr="00812FFB">
              <w:rPr>
                <w:sz w:val="20"/>
                <w:szCs w:val="20"/>
                <w:lang w:val="en-GB"/>
              </w:rPr>
              <w:t>Green</w:t>
            </w:r>
            <w:proofErr w:type="gramEnd"/>
            <w:r w:rsidRPr="00812FFB">
              <w:rPr>
                <w:sz w:val="20"/>
                <w:szCs w:val="20"/>
                <w:lang w:val="en-GB"/>
              </w:rPr>
              <w:t xml:space="preserve"> spaces in urban cities can lead to a lower life expectancy. </w:t>
            </w:r>
          </w:p>
          <w:p w14:paraId="07EEE2A3" w14:textId="7806A3EB" w:rsidR="40D83F04" w:rsidRPr="00812FFB" w:rsidRDefault="40D83F04" w:rsidP="001C78A2">
            <w:pPr>
              <w:pStyle w:val="ListParagraph"/>
              <w:numPr>
                <w:ilvl w:val="1"/>
                <w:numId w:val="7"/>
              </w:numPr>
              <w:jc w:val="both"/>
              <w:rPr>
                <w:sz w:val="20"/>
                <w:szCs w:val="20"/>
                <w:lang w:val="en-GB"/>
              </w:rPr>
            </w:pPr>
            <w:r w:rsidRPr="00812FFB">
              <w:rPr>
                <w:sz w:val="20"/>
                <w:szCs w:val="20"/>
                <w:lang w:val="en-GB"/>
              </w:rPr>
              <w:t>An increased amount of time spent surrounded by greenery can benefit mental wellness.</w:t>
            </w:r>
            <w:r w:rsidR="051F483C" w:rsidRPr="00812FFB">
              <w:rPr>
                <w:sz w:val="20"/>
                <w:szCs w:val="20"/>
                <w:lang w:val="en-GB"/>
              </w:rPr>
              <w:t xml:space="preserve"> </w:t>
            </w:r>
            <w:r w:rsidR="5EC71792" w:rsidRPr="00812FFB">
              <w:rPr>
                <w:sz w:val="20"/>
                <w:szCs w:val="20"/>
                <w:lang w:val="en-GB"/>
              </w:rPr>
              <w:t>(</w:t>
            </w:r>
            <w:r w:rsidR="051F483C" w:rsidRPr="00812FFB">
              <w:rPr>
                <w:sz w:val="20"/>
                <w:szCs w:val="20"/>
                <w:lang w:val="en-GB"/>
              </w:rPr>
              <w:t>Chowdhury, 2023)</w:t>
            </w:r>
            <w:r w:rsidRPr="00812FFB">
              <w:rPr>
                <w:sz w:val="20"/>
                <w:szCs w:val="20"/>
                <w:lang w:val="en-GB"/>
              </w:rPr>
              <w:t xml:space="preserve"> </w:t>
            </w:r>
          </w:p>
          <w:p w14:paraId="2A0C2CE1" w14:textId="600A2777" w:rsidR="0DFF52B5" w:rsidRPr="00812FFB" w:rsidRDefault="0DFF52B5" w:rsidP="001C78A2">
            <w:pPr>
              <w:pStyle w:val="ListParagraph"/>
              <w:numPr>
                <w:ilvl w:val="1"/>
                <w:numId w:val="7"/>
              </w:numPr>
              <w:jc w:val="both"/>
              <w:rPr>
                <w:sz w:val="20"/>
                <w:szCs w:val="20"/>
                <w:lang w:val="en-GB"/>
              </w:rPr>
            </w:pPr>
            <w:r w:rsidRPr="00812FFB">
              <w:rPr>
                <w:sz w:val="20"/>
                <w:szCs w:val="20"/>
                <w:lang w:val="en-GB"/>
              </w:rPr>
              <w:t>Parks and Green spaces also provide an environment for people to partake in physical activity, benefitting their health</w:t>
            </w:r>
            <w:r w:rsidR="4BC6BD38" w:rsidRPr="00812FFB">
              <w:rPr>
                <w:sz w:val="20"/>
                <w:szCs w:val="20"/>
                <w:lang w:val="en-GB"/>
              </w:rPr>
              <w:t xml:space="preserve"> (Fransen, 2023)</w:t>
            </w:r>
            <w:r w:rsidRPr="00812FFB">
              <w:rPr>
                <w:sz w:val="20"/>
                <w:szCs w:val="20"/>
                <w:lang w:val="en-GB"/>
              </w:rPr>
              <w:t>.</w:t>
            </w:r>
          </w:p>
          <w:p w14:paraId="2B4EFE8C" w14:textId="109684E2" w:rsidR="14A66055" w:rsidRPr="00812FFB" w:rsidRDefault="14A66055" w:rsidP="001C78A2">
            <w:pPr>
              <w:pStyle w:val="ListParagraph"/>
              <w:numPr>
                <w:ilvl w:val="1"/>
                <w:numId w:val="7"/>
              </w:numPr>
              <w:jc w:val="both"/>
              <w:rPr>
                <w:sz w:val="20"/>
                <w:szCs w:val="20"/>
                <w:lang w:val="en-GB"/>
              </w:rPr>
            </w:pPr>
            <w:r w:rsidRPr="00812FFB">
              <w:rPr>
                <w:sz w:val="20"/>
                <w:szCs w:val="20"/>
                <w:lang w:val="en-GB"/>
              </w:rPr>
              <w:t xml:space="preserve">Singapore residents have stated that </w:t>
            </w:r>
            <w:proofErr w:type="gramStart"/>
            <w:r w:rsidRPr="00812FFB">
              <w:rPr>
                <w:sz w:val="20"/>
                <w:szCs w:val="20"/>
                <w:lang w:val="en-GB"/>
              </w:rPr>
              <w:t>Green</w:t>
            </w:r>
            <w:proofErr w:type="gramEnd"/>
            <w:r w:rsidRPr="00812FFB">
              <w:rPr>
                <w:sz w:val="20"/>
                <w:szCs w:val="20"/>
                <w:lang w:val="en-GB"/>
              </w:rPr>
              <w:t xml:space="preserve"> spaces have made Singapore a better place to live in, increasing their quality of life</w:t>
            </w:r>
            <w:r w:rsidR="7294E6E9" w:rsidRPr="00812FFB">
              <w:rPr>
                <w:sz w:val="20"/>
                <w:szCs w:val="20"/>
                <w:lang w:val="en-GB"/>
              </w:rPr>
              <w:t xml:space="preserve"> (Fransen, 2023)</w:t>
            </w:r>
            <w:r w:rsidRPr="00812FFB">
              <w:rPr>
                <w:sz w:val="20"/>
                <w:szCs w:val="20"/>
                <w:lang w:val="en-GB"/>
              </w:rPr>
              <w:t xml:space="preserve">. </w:t>
            </w:r>
          </w:p>
          <w:p w14:paraId="132A1D34" w14:textId="05C4D3A6" w:rsidR="3F99D55D" w:rsidRPr="00812FFB" w:rsidRDefault="3F99D55D" w:rsidP="001C78A2">
            <w:pPr>
              <w:pStyle w:val="ListParagraph"/>
              <w:numPr>
                <w:ilvl w:val="0"/>
                <w:numId w:val="7"/>
              </w:numPr>
              <w:jc w:val="both"/>
              <w:rPr>
                <w:sz w:val="20"/>
                <w:szCs w:val="20"/>
                <w:lang w:val="en-GB"/>
              </w:rPr>
            </w:pPr>
            <w:r w:rsidRPr="00812FFB">
              <w:rPr>
                <w:sz w:val="20"/>
                <w:szCs w:val="20"/>
                <w:lang w:val="en-GB"/>
              </w:rPr>
              <w:t>Environmental benefits</w:t>
            </w:r>
            <w:proofErr w:type="gramStart"/>
            <w:r w:rsidRPr="00812FFB">
              <w:rPr>
                <w:sz w:val="20"/>
                <w:szCs w:val="20"/>
                <w:lang w:val="en-GB"/>
              </w:rPr>
              <w:t>:  (</w:t>
            </w:r>
            <w:proofErr w:type="gramEnd"/>
            <w:r w:rsidRPr="00812FFB">
              <w:rPr>
                <w:sz w:val="20"/>
                <w:szCs w:val="20"/>
                <w:lang w:val="en-GB"/>
              </w:rPr>
              <w:t>Ng, 2021A)</w:t>
            </w:r>
          </w:p>
          <w:p w14:paraId="413C5D45" w14:textId="3F165992" w:rsidR="55319F50" w:rsidRPr="00812FFB" w:rsidRDefault="55319F50" w:rsidP="001C78A2">
            <w:pPr>
              <w:pStyle w:val="ListParagraph"/>
              <w:numPr>
                <w:ilvl w:val="1"/>
                <w:numId w:val="7"/>
              </w:numPr>
              <w:jc w:val="both"/>
              <w:rPr>
                <w:sz w:val="20"/>
                <w:szCs w:val="20"/>
                <w:lang w:val="en-GB"/>
              </w:rPr>
            </w:pPr>
            <w:r w:rsidRPr="00812FFB">
              <w:rPr>
                <w:sz w:val="20"/>
                <w:szCs w:val="20"/>
                <w:lang w:val="en-GB"/>
              </w:rPr>
              <w:t>Green spaces in cities mitigate the urban heat island effect, reducing the need for cooling and burning of fossil fuels which con</w:t>
            </w:r>
            <w:r w:rsidR="7B448F35" w:rsidRPr="00812FFB">
              <w:rPr>
                <w:sz w:val="20"/>
                <w:szCs w:val="20"/>
                <w:lang w:val="en-GB"/>
              </w:rPr>
              <w:t>tributes to air pollution</w:t>
            </w:r>
            <w:r w:rsidR="6C942D36" w:rsidRPr="00812FFB">
              <w:rPr>
                <w:sz w:val="20"/>
                <w:szCs w:val="20"/>
                <w:lang w:val="en-GB"/>
              </w:rPr>
              <w:t xml:space="preserve"> (Mair, n.d.)</w:t>
            </w:r>
            <w:r w:rsidR="7B448F35" w:rsidRPr="00812FFB">
              <w:rPr>
                <w:sz w:val="20"/>
                <w:szCs w:val="20"/>
                <w:lang w:val="en-GB"/>
              </w:rPr>
              <w:t>.</w:t>
            </w:r>
          </w:p>
          <w:p w14:paraId="5C84A6CE" w14:textId="5BD22BA9" w:rsidR="7E70BDDA" w:rsidRPr="00812FFB" w:rsidRDefault="7E70BDDA" w:rsidP="001C78A2">
            <w:pPr>
              <w:pStyle w:val="ListParagraph"/>
              <w:numPr>
                <w:ilvl w:val="1"/>
                <w:numId w:val="7"/>
              </w:numPr>
              <w:jc w:val="both"/>
              <w:rPr>
                <w:sz w:val="20"/>
                <w:szCs w:val="20"/>
                <w:lang w:val="en-GB"/>
              </w:rPr>
            </w:pPr>
            <w:r w:rsidRPr="00812FFB">
              <w:rPr>
                <w:sz w:val="20"/>
                <w:szCs w:val="20"/>
                <w:lang w:val="en-GB"/>
              </w:rPr>
              <w:t>This urban heat island effect can also result in h</w:t>
            </w:r>
            <w:r w:rsidR="7B448F35" w:rsidRPr="00812FFB">
              <w:rPr>
                <w:sz w:val="20"/>
                <w:szCs w:val="20"/>
                <w:lang w:val="en-GB"/>
              </w:rPr>
              <w:t xml:space="preserve">otter pavements </w:t>
            </w:r>
            <w:r w:rsidR="7451B1CD" w:rsidRPr="00812FFB">
              <w:rPr>
                <w:sz w:val="20"/>
                <w:szCs w:val="20"/>
                <w:lang w:val="en-GB"/>
              </w:rPr>
              <w:t xml:space="preserve">that can </w:t>
            </w:r>
            <w:r w:rsidR="7B448F35" w:rsidRPr="00812FFB">
              <w:rPr>
                <w:sz w:val="20"/>
                <w:szCs w:val="20"/>
                <w:lang w:val="en-GB"/>
              </w:rPr>
              <w:t>damage the aquatic ecosystem, as the h</w:t>
            </w:r>
            <w:r w:rsidR="0453221D" w:rsidRPr="00812FFB">
              <w:rPr>
                <w:sz w:val="20"/>
                <w:szCs w:val="20"/>
                <w:lang w:val="en-GB"/>
              </w:rPr>
              <w:t>eat transfers to the rainwater which is then drained out into surrounding water bodies</w:t>
            </w:r>
            <w:r w:rsidR="2B27E6A4" w:rsidRPr="00812FFB">
              <w:rPr>
                <w:sz w:val="20"/>
                <w:szCs w:val="20"/>
                <w:lang w:val="en-GB"/>
              </w:rPr>
              <w:t xml:space="preserve"> (Mair, n.d.)</w:t>
            </w:r>
            <w:r w:rsidR="0453221D" w:rsidRPr="00812FFB">
              <w:rPr>
                <w:sz w:val="20"/>
                <w:szCs w:val="20"/>
                <w:lang w:val="en-GB"/>
              </w:rPr>
              <w:t xml:space="preserve">. </w:t>
            </w:r>
          </w:p>
          <w:p w14:paraId="34B3B1E4" w14:textId="6B11F5CE" w:rsidR="3F99D55D" w:rsidRPr="00812FFB" w:rsidRDefault="58D3C6FD" w:rsidP="001C78A2">
            <w:pPr>
              <w:pStyle w:val="ListParagraph"/>
              <w:numPr>
                <w:ilvl w:val="1"/>
                <w:numId w:val="7"/>
              </w:numPr>
              <w:jc w:val="both"/>
              <w:rPr>
                <w:sz w:val="20"/>
                <w:szCs w:val="20"/>
                <w:lang w:val="en-GB"/>
              </w:rPr>
            </w:pPr>
            <w:r w:rsidRPr="00812FFB">
              <w:rPr>
                <w:sz w:val="20"/>
                <w:szCs w:val="20"/>
                <w:lang w:val="en-GB"/>
              </w:rPr>
              <w:t>Green spaces can increase biodiversity</w:t>
            </w:r>
            <w:r w:rsidR="72412EC3" w:rsidRPr="00812FFB">
              <w:rPr>
                <w:sz w:val="20"/>
                <w:szCs w:val="20"/>
                <w:lang w:val="en-GB"/>
              </w:rPr>
              <w:t xml:space="preserve">, allowing ecosystems to flourish. </w:t>
            </w:r>
          </w:p>
        </w:tc>
      </w:tr>
      <w:tr w:rsidR="3F99D55D" w:rsidRPr="00812FFB" w14:paraId="4D38C3EF" w14:textId="77777777" w:rsidTr="6D772B93">
        <w:trPr>
          <w:trHeight w:val="1588"/>
        </w:trPr>
        <w:tc>
          <w:tcPr>
            <w:tcW w:w="17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64F23A" w14:textId="31C8E59A" w:rsidR="52B4E64E" w:rsidRPr="00812FFB" w:rsidRDefault="52B4E64E" w:rsidP="3F99D55D">
            <w:pPr>
              <w:jc w:val="both"/>
              <w:rPr>
                <w:rFonts w:eastAsia="Arial"/>
                <w:b/>
                <w:bCs/>
                <w:sz w:val="20"/>
                <w:szCs w:val="20"/>
                <w:lang w:val="en-GB"/>
              </w:rPr>
            </w:pPr>
            <w:r w:rsidRPr="00812FFB">
              <w:rPr>
                <w:rFonts w:eastAsia="Arial"/>
                <w:b/>
                <w:bCs/>
                <w:sz w:val="20"/>
                <w:szCs w:val="20"/>
                <w:lang w:val="en-GB"/>
              </w:rPr>
              <w:t>Increased need for more walkable and cyclable infrastructures.</w:t>
            </w:r>
          </w:p>
        </w:tc>
        <w:tc>
          <w:tcPr>
            <w:tcW w:w="124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B267FD" w14:textId="2B0BBF35" w:rsidR="3D76B635" w:rsidRPr="00812FFB" w:rsidRDefault="3D76B635" w:rsidP="6D772B93">
            <w:pPr>
              <w:pStyle w:val="ListParagraph"/>
              <w:numPr>
                <w:ilvl w:val="0"/>
                <w:numId w:val="1"/>
              </w:numPr>
              <w:jc w:val="both"/>
              <w:rPr>
                <w:sz w:val="20"/>
                <w:szCs w:val="20"/>
                <w:lang w:val="en-GB"/>
              </w:rPr>
            </w:pPr>
            <w:r w:rsidRPr="6D772B93">
              <w:rPr>
                <w:sz w:val="20"/>
                <w:szCs w:val="20"/>
                <w:lang w:val="en-GB"/>
              </w:rPr>
              <w:t xml:space="preserve">More mobility options </w:t>
            </w:r>
            <w:r w:rsidR="7C1B9B66" w:rsidRPr="6D772B93">
              <w:rPr>
                <w:sz w:val="20"/>
                <w:szCs w:val="20"/>
                <w:lang w:val="en-GB"/>
              </w:rPr>
              <w:t xml:space="preserve">and a development plan with the stakeholders in mind is </w:t>
            </w:r>
            <w:r w:rsidRPr="6D772B93">
              <w:rPr>
                <w:sz w:val="20"/>
                <w:szCs w:val="20"/>
                <w:lang w:val="en-GB"/>
              </w:rPr>
              <w:t xml:space="preserve">essential </w:t>
            </w:r>
            <w:r w:rsidR="76393724" w:rsidRPr="6D772B93">
              <w:rPr>
                <w:sz w:val="20"/>
                <w:szCs w:val="20"/>
                <w:lang w:val="en-GB"/>
              </w:rPr>
              <w:t xml:space="preserve">to encourage </w:t>
            </w:r>
            <w:r w:rsidRPr="6D772B93">
              <w:rPr>
                <w:sz w:val="20"/>
                <w:szCs w:val="20"/>
                <w:lang w:val="en-GB"/>
              </w:rPr>
              <w:t xml:space="preserve">a more active lifestyle </w:t>
            </w:r>
            <w:r w:rsidR="64F299EE" w:rsidRPr="6D772B93">
              <w:rPr>
                <w:sz w:val="20"/>
                <w:szCs w:val="20"/>
                <w:lang w:val="en-GB"/>
              </w:rPr>
              <w:t>among</w:t>
            </w:r>
            <w:r w:rsidRPr="6D772B93">
              <w:rPr>
                <w:sz w:val="20"/>
                <w:szCs w:val="20"/>
                <w:lang w:val="en-GB"/>
              </w:rPr>
              <w:t xml:space="preserve"> </w:t>
            </w:r>
            <w:r w:rsidR="20F5E9E4" w:rsidRPr="6D772B93">
              <w:rPr>
                <w:sz w:val="20"/>
                <w:szCs w:val="20"/>
                <w:lang w:val="en-GB"/>
              </w:rPr>
              <w:t>students</w:t>
            </w:r>
            <w:r w:rsidR="6D2C79FD" w:rsidRPr="6D772B93">
              <w:rPr>
                <w:sz w:val="20"/>
                <w:szCs w:val="20"/>
                <w:lang w:val="en-GB"/>
              </w:rPr>
              <w:t xml:space="preserve"> and staff on campus</w:t>
            </w:r>
            <w:r w:rsidR="20F5E9E4" w:rsidRPr="6D772B93">
              <w:rPr>
                <w:sz w:val="20"/>
                <w:szCs w:val="20"/>
                <w:lang w:val="en-GB"/>
              </w:rPr>
              <w:t xml:space="preserve"> </w:t>
            </w:r>
            <w:r w:rsidR="15E99269" w:rsidRPr="6D772B93">
              <w:rPr>
                <w:sz w:val="20"/>
                <w:szCs w:val="20"/>
                <w:lang w:val="en-GB"/>
              </w:rPr>
              <w:t>and ensure their safety</w:t>
            </w:r>
            <w:r w:rsidR="4234D927" w:rsidRPr="6D772B93">
              <w:rPr>
                <w:sz w:val="20"/>
                <w:szCs w:val="20"/>
                <w:lang w:val="en-GB"/>
              </w:rPr>
              <w:t xml:space="preserve"> (</w:t>
            </w:r>
            <w:r w:rsidR="4234D927" w:rsidRPr="6D772B93">
              <w:rPr>
                <w:i/>
                <w:iCs/>
                <w:sz w:val="20"/>
                <w:szCs w:val="20"/>
                <w:lang w:val="en-GB"/>
              </w:rPr>
              <w:t>Building a better environment for cycling and walking</w:t>
            </w:r>
            <w:r w:rsidR="4234D927" w:rsidRPr="6D772B93">
              <w:rPr>
                <w:sz w:val="20"/>
                <w:szCs w:val="20"/>
                <w:lang w:val="en-GB"/>
              </w:rPr>
              <w:t xml:space="preserve"> 2016)</w:t>
            </w:r>
            <w:r w:rsidRPr="6D772B93">
              <w:rPr>
                <w:sz w:val="20"/>
                <w:szCs w:val="20"/>
                <w:lang w:val="en-GB"/>
              </w:rPr>
              <w:t xml:space="preserve">. </w:t>
            </w:r>
          </w:p>
          <w:p w14:paraId="6346643A" w14:textId="52EBE529" w:rsidR="47097B3E" w:rsidRPr="00812FFB" w:rsidRDefault="47097B3E" w:rsidP="6D772B93">
            <w:pPr>
              <w:pStyle w:val="ListParagraph"/>
              <w:numPr>
                <w:ilvl w:val="0"/>
                <w:numId w:val="1"/>
              </w:numPr>
              <w:jc w:val="both"/>
              <w:rPr>
                <w:sz w:val="20"/>
                <w:szCs w:val="20"/>
                <w:lang w:val="en-GB"/>
              </w:rPr>
            </w:pPr>
            <w:r w:rsidRPr="6D772B93">
              <w:rPr>
                <w:sz w:val="20"/>
                <w:szCs w:val="20"/>
                <w:lang w:val="en-GB"/>
              </w:rPr>
              <w:t>The promotion of walking and cycling reduce</w:t>
            </w:r>
            <w:r w:rsidR="2E7EB650" w:rsidRPr="6D772B93">
              <w:rPr>
                <w:sz w:val="20"/>
                <w:szCs w:val="20"/>
                <w:lang w:val="en-GB"/>
              </w:rPr>
              <w:t>s</w:t>
            </w:r>
            <w:r w:rsidRPr="6D772B93">
              <w:rPr>
                <w:sz w:val="20"/>
                <w:szCs w:val="20"/>
                <w:lang w:val="en-GB"/>
              </w:rPr>
              <w:t xml:space="preserve"> traffic congestion, increas</w:t>
            </w:r>
            <w:r w:rsidR="2CB44B21" w:rsidRPr="6D772B93">
              <w:rPr>
                <w:sz w:val="20"/>
                <w:szCs w:val="20"/>
                <w:lang w:val="en-GB"/>
              </w:rPr>
              <w:t>es</w:t>
            </w:r>
            <w:r w:rsidRPr="6D772B93">
              <w:rPr>
                <w:sz w:val="20"/>
                <w:szCs w:val="20"/>
                <w:lang w:val="en-GB"/>
              </w:rPr>
              <w:t xml:space="preserve"> accessibility to those without cars</w:t>
            </w:r>
            <w:r w:rsidR="46EC04F1" w:rsidRPr="6D772B93">
              <w:rPr>
                <w:sz w:val="20"/>
                <w:szCs w:val="20"/>
                <w:lang w:val="en-GB"/>
              </w:rPr>
              <w:t xml:space="preserve"> and </w:t>
            </w:r>
            <w:r w:rsidR="05AE6070" w:rsidRPr="6D772B93">
              <w:rPr>
                <w:sz w:val="20"/>
                <w:szCs w:val="20"/>
                <w:lang w:val="en-GB"/>
              </w:rPr>
              <w:t>en</w:t>
            </w:r>
            <w:r w:rsidR="5C3CEEB0" w:rsidRPr="6D772B93">
              <w:rPr>
                <w:sz w:val="20"/>
                <w:szCs w:val="20"/>
                <w:lang w:val="en-GB"/>
              </w:rPr>
              <w:t xml:space="preserve">sures </w:t>
            </w:r>
            <w:r w:rsidR="05AE6070" w:rsidRPr="6D772B93">
              <w:rPr>
                <w:sz w:val="20"/>
                <w:szCs w:val="20"/>
                <w:lang w:val="en-GB"/>
              </w:rPr>
              <w:t>a high degree of liveability</w:t>
            </w:r>
            <w:r w:rsidR="0A0FB63F" w:rsidRPr="6D772B93">
              <w:rPr>
                <w:sz w:val="20"/>
                <w:szCs w:val="20"/>
                <w:lang w:val="en-GB"/>
              </w:rPr>
              <w:t>, contributing to a more vibrant campus</w:t>
            </w:r>
            <w:r w:rsidR="5FD50B13" w:rsidRPr="6D772B93">
              <w:rPr>
                <w:sz w:val="20"/>
                <w:szCs w:val="20"/>
                <w:lang w:val="en-GB"/>
              </w:rPr>
              <w:t xml:space="preserve"> (Shah, 2014)</w:t>
            </w:r>
            <w:r w:rsidR="0A0FB63F" w:rsidRPr="6D772B93">
              <w:rPr>
                <w:sz w:val="20"/>
                <w:szCs w:val="20"/>
                <w:lang w:val="en-GB"/>
              </w:rPr>
              <w:t>.</w:t>
            </w:r>
          </w:p>
          <w:p w14:paraId="1A901930" w14:textId="0536FC84" w:rsidR="3F99D55D" w:rsidRPr="00812FFB" w:rsidRDefault="0A0FB63F" w:rsidP="6D772B93">
            <w:pPr>
              <w:pStyle w:val="ListParagraph"/>
              <w:numPr>
                <w:ilvl w:val="0"/>
                <w:numId w:val="1"/>
              </w:numPr>
              <w:jc w:val="both"/>
              <w:rPr>
                <w:sz w:val="20"/>
                <w:szCs w:val="20"/>
                <w:lang w:val="en-GB"/>
              </w:rPr>
            </w:pPr>
            <w:r w:rsidRPr="6D772B93">
              <w:rPr>
                <w:sz w:val="20"/>
                <w:szCs w:val="20"/>
                <w:lang w:val="en-GB"/>
              </w:rPr>
              <w:t>The campus</w:t>
            </w:r>
            <w:r w:rsidR="6157A29F" w:rsidRPr="6D772B93">
              <w:rPr>
                <w:sz w:val="20"/>
                <w:szCs w:val="20"/>
                <w:lang w:val="en-GB"/>
              </w:rPr>
              <w:t xml:space="preserve"> also has limited space, thus encouraging walking and cycling and reducing our reliance on cars can ensure a more sustainable future</w:t>
            </w:r>
            <w:r w:rsidR="6A6BF6AC" w:rsidRPr="6D772B93">
              <w:rPr>
                <w:sz w:val="20"/>
                <w:szCs w:val="20"/>
                <w:lang w:val="en-GB"/>
              </w:rPr>
              <w:t xml:space="preserve"> (</w:t>
            </w:r>
            <w:r w:rsidR="6A6BF6AC" w:rsidRPr="6D772B93">
              <w:rPr>
                <w:i/>
                <w:iCs/>
                <w:sz w:val="20"/>
                <w:szCs w:val="20"/>
                <w:lang w:val="en-GB"/>
              </w:rPr>
              <w:t>Walkable bikeable cities – CLC, n.d.</w:t>
            </w:r>
            <w:r w:rsidR="6A6BF6AC" w:rsidRPr="6D772B93">
              <w:rPr>
                <w:sz w:val="20"/>
                <w:szCs w:val="20"/>
                <w:lang w:val="en-GB"/>
              </w:rPr>
              <w:t>)</w:t>
            </w:r>
            <w:r w:rsidR="6157A29F" w:rsidRPr="6D772B93">
              <w:rPr>
                <w:sz w:val="20"/>
                <w:szCs w:val="20"/>
                <w:lang w:val="en-GB"/>
              </w:rPr>
              <w:t xml:space="preserve">. </w:t>
            </w:r>
          </w:p>
        </w:tc>
      </w:tr>
      <w:tr w:rsidR="3F99D55D" w:rsidRPr="00812FFB" w14:paraId="669BE15D" w14:textId="77777777" w:rsidTr="6D772B93">
        <w:trPr>
          <w:trHeight w:val="3566"/>
        </w:trPr>
        <w:tc>
          <w:tcPr>
            <w:tcW w:w="17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7472EE" w14:textId="74BE39FB" w:rsidR="3F99D55D" w:rsidRPr="00812FFB" w:rsidRDefault="3F99D55D" w:rsidP="3F99D55D">
            <w:pPr>
              <w:jc w:val="both"/>
              <w:rPr>
                <w:rFonts w:eastAsia="Arial"/>
                <w:b/>
                <w:bCs/>
                <w:sz w:val="20"/>
                <w:szCs w:val="20"/>
                <w:lang w:val="en-GB"/>
              </w:rPr>
            </w:pPr>
            <w:r w:rsidRPr="00812FFB">
              <w:rPr>
                <w:rFonts w:eastAsia="Arial"/>
                <w:b/>
                <w:bCs/>
                <w:sz w:val="20"/>
                <w:szCs w:val="20"/>
                <w:lang w:val="en-GB"/>
              </w:rPr>
              <w:t xml:space="preserve">Demand for more public spaces </w:t>
            </w:r>
          </w:p>
        </w:tc>
        <w:tc>
          <w:tcPr>
            <w:tcW w:w="124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341FD7" w14:textId="3A9AD3F6" w:rsidR="3F99D55D" w:rsidRPr="00812FFB" w:rsidRDefault="3F99D55D" w:rsidP="001C78A2">
            <w:pPr>
              <w:pStyle w:val="ListParagraph"/>
              <w:numPr>
                <w:ilvl w:val="0"/>
                <w:numId w:val="5"/>
              </w:numPr>
              <w:jc w:val="both"/>
              <w:rPr>
                <w:sz w:val="20"/>
                <w:szCs w:val="20"/>
                <w:lang w:val="en-GB"/>
              </w:rPr>
            </w:pPr>
            <w:r w:rsidRPr="00812FFB">
              <w:rPr>
                <w:sz w:val="20"/>
                <w:szCs w:val="20"/>
                <w:lang w:val="en-GB"/>
              </w:rPr>
              <w:t>Public spaces provide a</w:t>
            </w:r>
            <w:r w:rsidR="0822B77F" w:rsidRPr="00812FFB">
              <w:rPr>
                <w:sz w:val="20"/>
                <w:szCs w:val="20"/>
                <w:lang w:val="en-GB"/>
              </w:rPr>
              <w:t>n avenue for chance meetings, informal discussions, and networks to form</w:t>
            </w:r>
            <w:r w:rsidR="53109756" w:rsidRPr="00812FFB">
              <w:rPr>
                <w:sz w:val="20"/>
                <w:szCs w:val="20"/>
                <w:lang w:val="en-GB"/>
              </w:rPr>
              <w:t xml:space="preserve"> among students and staff</w:t>
            </w:r>
            <w:r w:rsidR="3EAC0495" w:rsidRPr="00812FFB">
              <w:rPr>
                <w:sz w:val="20"/>
                <w:szCs w:val="20"/>
                <w:lang w:val="en-GB"/>
              </w:rPr>
              <w:t>.</w:t>
            </w:r>
          </w:p>
          <w:p w14:paraId="6D93CEB8" w14:textId="24940DDE" w:rsidR="2DAB891B" w:rsidRPr="00812FFB" w:rsidRDefault="2DAB891B" w:rsidP="001C78A2">
            <w:pPr>
              <w:pStyle w:val="ListParagraph"/>
              <w:numPr>
                <w:ilvl w:val="1"/>
                <w:numId w:val="5"/>
              </w:numPr>
              <w:jc w:val="both"/>
              <w:rPr>
                <w:sz w:val="20"/>
                <w:szCs w:val="20"/>
                <w:lang w:val="en-GB"/>
              </w:rPr>
            </w:pPr>
            <w:r w:rsidRPr="00812FFB">
              <w:rPr>
                <w:sz w:val="20"/>
                <w:szCs w:val="20"/>
                <w:lang w:val="en-GB"/>
              </w:rPr>
              <w:t>These kinds of interactions are especially valuable when students / staff from di</w:t>
            </w:r>
            <w:r w:rsidR="56B4D70A" w:rsidRPr="00812FFB">
              <w:rPr>
                <w:sz w:val="20"/>
                <w:szCs w:val="20"/>
                <w:lang w:val="en-GB"/>
              </w:rPr>
              <w:t xml:space="preserve">verse academic / cultural backgrounds can </w:t>
            </w:r>
            <w:r w:rsidR="0668C513" w:rsidRPr="00812FFB">
              <w:rPr>
                <w:sz w:val="20"/>
                <w:szCs w:val="20"/>
                <w:lang w:val="en-GB"/>
              </w:rPr>
              <w:t xml:space="preserve">interact via shared interests </w:t>
            </w:r>
            <w:r w:rsidR="5FC369F1" w:rsidRPr="00812FFB">
              <w:rPr>
                <w:sz w:val="20"/>
                <w:szCs w:val="20"/>
                <w:lang w:val="en-GB"/>
              </w:rPr>
              <w:t>and form networks which enhances the university experience</w:t>
            </w:r>
            <w:r w:rsidR="79D3F64A" w:rsidRPr="00812FFB">
              <w:rPr>
                <w:sz w:val="20"/>
                <w:szCs w:val="20"/>
                <w:lang w:val="en-GB"/>
              </w:rPr>
              <w:t xml:space="preserve"> (</w:t>
            </w:r>
            <w:r w:rsidR="79D3F64A" w:rsidRPr="00812FFB">
              <w:rPr>
                <w:i/>
                <w:iCs/>
                <w:sz w:val="20"/>
                <w:szCs w:val="20"/>
                <w:lang w:val="en-GB"/>
              </w:rPr>
              <w:t>The benefits of public spaces in cities,</w:t>
            </w:r>
            <w:r w:rsidR="79D3F64A" w:rsidRPr="00812FFB">
              <w:rPr>
                <w:sz w:val="20"/>
                <w:szCs w:val="20"/>
                <w:lang w:val="en-GB"/>
              </w:rPr>
              <w:t xml:space="preserve"> 2022)</w:t>
            </w:r>
            <w:r w:rsidR="5FC369F1" w:rsidRPr="00812FFB">
              <w:rPr>
                <w:sz w:val="20"/>
                <w:szCs w:val="20"/>
                <w:lang w:val="en-GB"/>
              </w:rPr>
              <w:t>.</w:t>
            </w:r>
          </w:p>
          <w:p w14:paraId="0B4FFF4F" w14:textId="0874F8BF" w:rsidR="2DAB891B" w:rsidRPr="00812FFB" w:rsidRDefault="2DAB891B" w:rsidP="001C78A2">
            <w:pPr>
              <w:pStyle w:val="ListParagraph"/>
              <w:numPr>
                <w:ilvl w:val="1"/>
                <w:numId w:val="5"/>
              </w:numPr>
              <w:jc w:val="both"/>
              <w:rPr>
                <w:sz w:val="20"/>
                <w:szCs w:val="20"/>
                <w:lang w:val="en-GB"/>
              </w:rPr>
            </w:pPr>
            <w:r w:rsidRPr="00812FFB">
              <w:rPr>
                <w:sz w:val="20"/>
                <w:szCs w:val="20"/>
                <w:lang w:val="en-GB"/>
              </w:rPr>
              <w:t xml:space="preserve">Innovation hubs in developed nations </w:t>
            </w:r>
            <w:r w:rsidR="7A86755C" w:rsidRPr="00812FFB">
              <w:rPr>
                <w:sz w:val="20"/>
                <w:szCs w:val="20"/>
                <w:lang w:val="en-GB"/>
              </w:rPr>
              <w:t xml:space="preserve">such as Silicon Valley </w:t>
            </w:r>
            <w:r w:rsidR="5EA95C30" w:rsidRPr="00812FFB">
              <w:rPr>
                <w:sz w:val="20"/>
                <w:szCs w:val="20"/>
                <w:lang w:val="en-GB"/>
              </w:rPr>
              <w:t xml:space="preserve">and various other science parks leverage public spaces for experts, </w:t>
            </w:r>
            <w:proofErr w:type="gramStart"/>
            <w:r w:rsidR="5EA95C30" w:rsidRPr="00812FFB">
              <w:rPr>
                <w:sz w:val="20"/>
                <w:szCs w:val="20"/>
                <w:lang w:val="en-GB"/>
              </w:rPr>
              <w:t>entrepreneurs</w:t>
            </w:r>
            <w:proofErr w:type="gramEnd"/>
            <w:r w:rsidR="5EA95C30" w:rsidRPr="00812FFB">
              <w:rPr>
                <w:sz w:val="20"/>
                <w:szCs w:val="20"/>
                <w:lang w:val="en-GB"/>
              </w:rPr>
              <w:t xml:space="preserve"> and various stakeholders</w:t>
            </w:r>
            <w:r w:rsidR="110546BC" w:rsidRPr="00812FFB">
              <w:rPr>
                <w:sz w:val="20"/>
                <w:szCs w:val="20"/>
                <w:lang w:val="en-GB"/>
              </w:rPr>
              <w:t xml:space="preserve"> to communicate and build networks which enhance innovation</w:t>
            </w:r>
            <w:r w:rsidR="516D7F32" w:rsidRPr="00812FFB">
              <w:rPr>
                <w:sz w:val="20"/>
                <w:szCs w:val="20"/>
                <w:lang w:val="en-GB"/>
              </w:rPr>
              <w:t xml:space="preserve"> (Wagner, 2023)</w:t>
            </w:r>
            <w:r w:rsidR="5E2C5A6C" w:rsidRPr="00812FFB">
              <w:rPr>
                <w:sz w:val="20"/>
                <w:szCs w:val="20"/>
                <w:lang w:val="en-GB"/>
              </w:rPr>
              <w:t>.</w:t>
            </w:r>
          </w:p>
          <w:p w14:paraId="100CAC05" w14:textId="51F26A19" w:rsidR="4705FDA4" w:rsidRPr="00812FFB" w:rsidRDefault="4705FDA4" w:rsidP="001C78A2">
            <w:pPr>
              <w:pStyle w:val="ListParagraph"/>
              <w:numPr>
                <w:ilvl w:val="0"/>
                <w:numId w:val="5"/>
              </w:numPr>
              <w:jc w:val="both"/>
              <w:rPr>
                <w:sz w:val="20"/>
                <w:szCs w:val="20"/>
                <w:lang w:val="en-GB"/>
              </w:rPr>
            </w:pPr>
            <w:r w:rsidRPr="00812FFB">
              <w:rPr>
                <w:sz w:val="20"/>
                <w:szCs w:val="20"/>
                <w:lang w:val="en-GB"/>
              </w:rPr>
              <w:t>Public spaces provide residents</w:t>
            </w:r>
            <w:r w:rsidR="5637D546" w:rsidRPr="00812FFB">
              <w:rPr>
                <w:sz w:val="20"/>
                <w:szCs w:val="20"/>
                <w:lang w:val="en-GB"/>
              </w:rPr>
              <w:t xml:space="preserve"> with a sense of belonging, as well as promote better mental and physical </w:t>
            </w:r>
            <w:proofErr w:type="gramStart"/>
            <w:r w:rsidR="5637D546" w:rsidRPr="00812FFB">
              <w:rPr>
                <w:sz w:val="20"/>
                <w:szCs w:val="20"/>
                <w:lang w:val="en-GB"/>
              </w:rPr>
              <w:t>health</w:t>
            </w:r>
            <w:proofErr w:type="gramEnd"/>
          </w:p>
          <w:p w14:paraId="210BE6DD" w14:textId="76F028BF" w:rsidR="59E8360D" w:rsidRPr="00812FFB" w:rsidRDefault="59E8360D" w:rsidP="001C78A2">
            <w:pPr>
              <w:pStyle w:val="ListParagraph"/>
              <w:numPr>
                <w:ilvl w:val="1"/>
                <w:numId w:val="5"/>
              </w:numPr>
              <w:jc w:val="both"/>
              <w:rPr>
                <w:sz w:val="20"/>
                <w:szCs w:val="20"/>
                <w:lang w:val="en-GB"/>
              </w:rPr>
            </w:pPr>
            <w:r w:rsidRPr="00812FFB">
              <w:rPr>
                <w:sz w:val="20"/>
                <w:szCs w:val="20"/>
                <w:lang w:val="en-GB"/>
              </w:rPr>
              <w:t>Increased social interaction in public spaces can help foster connections which inc</w:t>
            </w:r>
            <w:r w:rsidR="604ECC71" w:rsidRPr="00812FFB">
              <w:rPr>
                <w:sz w:val="20"/>
                <w:szCs w:val="20"/>
                <w:lang w:val="en-GB"/>
              </w:rPr>
              <w:t>rease mental wellbeing among students and staff</w:t>
            </w:r>
            <w:r w:rsidR="0BF1FD11" w:rsidRPr="00812FFB">
              <w:rPr>
                <w:sz w:val="20"/>
                <w:szCs w:val="20"/>
                <w:lang w:val="en-GB"/>
              </w:rPr>
              <w:t xml:space="preserve"> (</w:t>
            </w:r>
            <w:r w:rsidR="0BF1FD11" w:rsidRPr="00812FFB">
              <w:rPr>
                <w:i/>
                <w:iCs/>
                <w:sz w:val="20"/>
                <w:szCs w:val="20"/>
                <w:lang w:val="en-GB"/>
              </w:rPr>
              <w:t>The benefits of public spaces in cities,</w:t>
            </w:r>
            <w:r w:rsidR="0BF1FD11" w:rsidRPr="00812FFB">
              <w:rPr>
                <w:sz w:val="20"/>
                <w:szCs w:val="20"/>
                <w:lang w:val="en-GB"/>
              </w:rPr>
              <w:t xml:space="preserve"> 2022</w:t>
            </w:r>
            <w:r w:rsidR="604ECC71" w:rsidRPr="00812FFB">
              <w:rPr>
                <w:sz w:val="20"/>
                <w:szCs w:val="20"/>
                <w:lang w:val="en-GB"/>
              </w:rPr>
              <w:t>.</w:t>
            </w:r>
          </w:p>
          <w:p w14:paraId="48923F5B" w14:textId="61F37FB6" w:rsidR="1EF3B1A3" w:rsidRPr="00812FFB" w:rsidRDefault="1EF3B1A3" w:rsidP="001C78A2">
            <w:pPr>
              <w:pStyle w:val="ListParagraph"/>
              <w:numPr>
                <w:ilvl w:val="1"/>
                <w:numId w:val="5"/>
              </w:numPr>
              <w:jc w:val="both"/>
              <w:rPr>
                <w:sz w:val="20"/>
                <w:szCs w:val="20"/>
                <w:lang w:val="en-GB"/>
              </w:rPr>
            </w:pPr>
            <w:r w:rsidRPr="00812FFB">
              <w:rPr>
                <w:sz w:val="20"/>
                <w:szCs w:val="20"/>
                <w:lang w:val="en-GB"/>
              </w:rPr>
              <w:t xml:space="preserve">Public spaces allow for recreational activities to take place, which help people from diverse backgrounds </w:t>
            </w:r>
            <w:r w:rsidR="3A476A1D" w:rsidRPr="00812FFB">
              <w:rPr>
                <w:sz w:val="20"/>
                <w:szCs w:val="20"/>
                <w:lang w:val="en-GB"/>
              </w:rPr>
              <w:t>i</w:t>
            </w:r>
            <w:r w:rsidRPr="00812FFB">
              <w:rPr>
                <w:sz w:val="20"/>
                <w:szCs w:val="20"/>
                <w:lang w:val="en-GB"/>
              </w:rPr>
              <w:t>nteract with one another and form</w:t>
            </w:r>
            <w:r w:rsidR="70839405" w:rsidRPr="00812FFB">
              <w:rPr>
                <w:sz w:val="20"/>
                <w:szCs w:val="20"/>
                <w:lang w:val="en-GB"/>
              </w:rPr>
              <w:t xml:space="preserve"> connections</w:t>
            </w:r>
            <w:r w:rsidR="283F5DF7" w:rsidRPr="00812FFB">
              <w:rPr>
                <w:sz w:val="20"/>
                <w:szCs w:val="20"/>
                <w:lang w:val="en-GB"/>
              </w:rPr>
              <w:t xml:space="preserve"> (</w:t>
            </w:r>
            <w:r w:rsidR="283F5DF7" w:rsidRPr="00812FFB">
              <w:rPr>
                <w:i/>
                <w:iCs/>
                <w:sz w:val="20"/>
                <w:szCs w:val="20"/>
                <w:lang w:val="en-GB"/>
              </w:rPr>
              <w:t>The benefits of public spaces in cities,</w:t>
            </w:r>
            <w:r w:rsidR="283F5DF7" w:rsidRPr="00812FFB">
              <w:rPr>
                <w:sz w:val="20"/>
                <w:szCs w:val="20"/>
                <w:lang w:val="en-GB"/>
              </w:rPr>
              <w:t xml:space="preserve"> 2022</w:t>
            </w:r>
            <w:r w:rsidR="70839405" w:rsidRPr="00812FFB">
              <w:rPr>
                <w:sz w:val="20"/>
                <w:szCs w:val="20"/>
                <w:lang w:val="en-GB"/>
              </w:rPr>
              <w:t>.</w:t>
            </w:r>
          </w:p>
          <w:p w14:paraId="69B34E0E" w14:textId="3B878AC3" w:rsidR="2363D9AC" w:rsidRPr="00812FFB" w:rsidRDefault="2363D9AC" w:rsidP="001C78A2">
            <w:pPr>
              <w:pStyle w:val="ListParagraph"/>
              <w:numPr>
                <w:ilvl w:val="0"/>
                <w:numId w:val="5"/>
              </w:numPr>
              <w:jc w:val="both"/>
              <w:rPr>
                <w:sz w:val="20"/>
                <w:szCs w:val="20"/>
                <w:lang w:val="en-GB"/>
              </w:rPr>
            </w:pPr>
            <w:r w:rsidRPr="00812FFB">
              <w:rPr>
                <w:sz w:val="20"/>
                <w:szCs w:val="20"/>
                <w:lang w:val="en-GB"/>
              </w:rPr>
              <w:t xml:space="preserve">As the percentage of </w:t>
            </w:r>
            <w:r w:rsidR="1DFE772E" w:rsidRPr="00812FFB">
              <w:rPr>
                <w:sz w:val="20"/>
                <w:szCs w:val="20"/>
                <w:lang w:val="en-GB"/>
              </w:rPr>
              <w:t>students living in campus</w:t>
            </w:r>
            <w:r w:rsidR="6378BB6D" w:rsidRPr="00812FFB">
              <w:rPr>
                <w:sz w:val="20"/>
                <w:szCs w:val="20"/>
                <w:lang w:val="en-GB"/>
              </w:rPr>
              <w:t xml:space="preserve"> is projected to increase from 30% to 50%</w:t>
            </w:r>
            <w:r w:rsidR="009B46D0" w:rsidRPr="00812FFB">
              <w:rPr>
                <w:sz w:val="20"/>
                <w:szCs w:val="20"/>
                <w:lang w:val="en-GB"/>
              </w:rPr>
              <w:t>,</w:t>
            </w:r>
            <w:r w:rsidR="1DFE772E" w:rsidRPr="00812FFB">
              <w:rPr>
                <w:sz w:val="20"/>
                <w:szCs w:val="20"/>
                <w:lang w:val="en-GB"/>
              </w:rPr>
              <w:t xml:space="preserve"> it is paramount that the university has an adequate number of communal spaces to give its students the best pos</w:t>
            </w:r>
            <w:r w:rsidR="44116713" w:rsidRPr="00812FFB">
              <w:rPr>
                <w:sz w:val="20"/>
                <w:szCs w:val="20"/>
                <w:lang w:val="en-GB"/>
              </w:rPr>
              <w:t>sible university experience</w:t>
            </w:r>
            <w:r w:rsidR="122B7590" w:rsidRPr="00812FFB">
              <w:rPr>
                <w:sz w:val="20"/>
                <w:szCs w:val="20"/>
                <w:lang w:val="en-GB"/>
              </w:rPr>
              <w:t>.</w:t>
            </w:r>
          </w:p>
        </w:tc>
      </w:tr>
    </w:tbl>
    <w:p w14:paraId="00D30086" w14:textId="115F64F6" w:rsidR="00942535" w:rsidRPr="00812FFB" w:rsidRDefault="3FD681DF" w:rsidP="62E4FD21">
      <w:pPr>
        <w:rPr>
          <w:sz w:val="20"/>
          <w:szCs w:val="20"/>
        </w:rPr>
        <w:sectPr w:rsidR="00942535" w:rsidRPr="00812FFB" w:rsidSect="000123CA">
          <w:pgSz w:w="15840" w:h="12240" w:orient="landscape"/>
          <w:pgMar w:top="720" w:right="720" w:bottom="720" w:left="720" w:header="720" w:footer="720" w:gutter="0"/>
          <w:cols w:space="720"/>
          <w:docGrid w:linePitch="360"/>
        </w:sectPr>
      </w:pPr>
      <w:r w:rsidRPr="00812FFB">
        <w:rPr>
          <w:sz w:val="20"/>
          <w:szCs w:val="20"/>
          <w:lang w:val="en-GB"/>
        </w:rPr>
        <w:t xml:space="preserve"> </w:t>
      </w:r>
    </w:p>
    <w:p w14:paraId="79258D4C" w14:textId="2A82331B" w:rsidR="004D3232" w:rsidRPr="00812FFB" w:rsidRDefault="005140C4" w:rsidP="007A35B1">
      <w:pPr>
        <w:pStyle w:val="Heading1"/>
      </w:pPr>
      <w:bookmarkStart w:id="7" w:name="_Toc150204542"/>
      <w:r w:rsidRPr="00812FFB">
        <w:lastRenderedPageBreak/>
        <w:t>3.</w:t>
      </w:r>
      <w:r w:rsidR="005E505F" w:rsidRPr="00812FFB">
        <w:t xml:space="preserve"> </w:t>
      </w:r>
      <w:r w:rsidR="004D3232" w:rsidRPr="00812FFB">
        <w:t>Logic Model</w:t>
      </w:r>
      <w:bookmarkEnd w:id="7"/>
    </w:p>
    <w:p w14:paraId="45C84D57" w14:textId="09F4EA87" w:rsidR="3F977C63" w:rsidRPr="00812FFB" w:rsidRDefault="3F977C63" w:rsidP="3F977C63">
      <w:pPr>
        <w:ind w:left="720"/>
        <w:rPr>
          <w:color w:val="4472C4" w:themeColor="accent1"/>
          <w:sz w:val="20"/>
          <w:szCs w:val="20"/>
          <w:highlight w:val="yellow"/>
        </w:rPr>
      </w:pPr>
    </w:p>
    <w:p w14:paraId="41F388BF" w14:textId="59B8ABEE" w:rsidR="3F977C63" w:rsidRPr="00812FFB" w:rsidRDefault="00E707D4" w:rsidP="3F977C63">
      <w:pPr>
        <w:ind w:left="720"/>
        <w:rPr>
          <w:color w:val="4472C4" w:themeColor="accent1"/>
          <w:sz w:val="20"/>
          <w:szCs w:val="20"/>
          <w:highlight w:val="yellow"/>
        </w:rPr>
      </w:pPr>
      <w:r w:rsidRPr="00812FFB">
        <w:rPr>
          <w:color w:val="4472C4" w:themeColor="accent1"/>
          <w:sz w:val="20"/>
          <w:szCs w:val="20"/>
          <w:highlight w:val="yellow"/>
        </w:rPr>
        <w:br/>
      </w:r>
    </w:p>
    <w:p w14:paraId="0CF7FB90" w14:textId="77777777" w:rsidR="009B46D0" w:rsidRPr="00812FFB" w:rsidRDefault="00677F4F" w:rsidP="009B46D0">
      <w:pPr>
        <w:keepNext/>
        <w:jc w:val="both"/>
        <w:rPr>
          <w:sz w:val="20"/>
          <w:szCs w:val="20"/>
        </w:rPr>
      </w:pPr>
      <w:r w:rsidRPr="00812FFB">
        <w:rPr>
          <w:noProof/>
          <w:color w:val="4472C4" w:themeColor="accent1"/>
          <w:sz w:val="20"/>
          <w:szCs w:val="20"/>
        </w:rPr>
        <w:drawing>
          <wp:inline distT="0" distB="0" distL="0" distR="0" wp14:anchorId="4D92C347" wp14:editId="2C82C399">
            <wp:extent cx="6734031" cy="4079269"/>
            <wp:effectExtent l="0" t="0" r="0" b="0"/>
            <wp:docPr id="1034997612" name="Picture 1034997612" descr="A chart with many different colored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97612" name="Picture 3" descr="A chart with many different colored boxe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99814" cy="4119118"/>
                    </a:xfrm>
                    <a:prstGeom prst="rect">
                      <a:avLst/>
                    </a:prstGeom>
                  </pic:spPr>
                </pic:pic>
              </a:graphicData>
            </a:graphic>
          </wp:inline>
        </w:drawing>
      </w:r>
    </w:p>
    <w:p w14:paraId="207A78BD" w14:textId="0D805ABC" w:rsidR="009B46D0" w:rsidRPr="00812FFB" w:rsidRDefault="009B46D0" w:rsidP="009B46D0">
      <w:pPr>
        <w:pStyle w:val="Caption"/>
        <w:jc w:val="center"/>
        <w:rPr>
          <w:color w:val="auto"/>
          <w:sz w:val="20"/>
          <w:szCs w:val="20"/>
          <w:u w:val="single"/>
        </w:rPr>
      </w:pPr>
      <w:r w:rsidRPr="00812FFB">
        <w:rPr>
          <w:color w:val="auto"/>
          <w:sz w:val="20"/>
          <w:szCs w:val="20"/>
          <w:u w:val="single"/>
        </w:rPr>
        <w:t xml:space="preserve">Figure </w:t>
      </w:r>
      <w:r w:rsidRPr="00812FFB">
        <w:rPr>
          <w:color w:val="auto"/>
          <w:sz w:val="20"/>
          <w:szCs w:val="20"/>
          <w:u w:val="single"/>
        </w:rPr>
        <w:fldChar w:fldCharType="begin"/>
      </w:r>
      <w:r w:rsidRPr="00812FFB">
        <w:rPr>
          <w:color w:val="auto"/>
          <w:sz w:val="20"/>
          <w:szCs w:val="20"/>
          <w:u w:val="single"/>
        </w:rPr>
        <w:instrText xml:space="preserve"> SEQ Figure \* ARABIC </w:instrText>
      </w:r>
      <w:r w:rsidRPr="00812FFB">
        <w:rPr>
          <w:color w:val="auto"/>
          <w:sz w:val="20"/>
          <w:szCs w:val="20"/>
          <w:u w:val="single"/>
        </w:rPr>
        <w:fldChar w:fldCharType="separate"/>
      </w:r>
      <w:r w:rsidRPr="00812FFB">
        <w:rPr>
          <w:noProof/>
          <w:color w:val="auto"/>
          <w:sz w:val="20"/>
          <w:szCs w:val="20"/>
          <w:u w:val="single"/>
        </w:rPr>
        <w:t>1</w:t>
      </w:r>
      <w:r w:rsidRPr="00812FFB">
        <w:rPr>
          <w:color w:val="auto"/>
          <w:sz w:val="20"/>
          <w:szCs w:val="20"/>
          <w:u w:val="single"/>
        </w:rPr>
        <w:fldChar w:fldCharType="end"/>
      </w:r>
      <w:r w:rsidRPr="00812FFB">
        <w:rPr>
          <w:color w:val="auto"/>
          <w:sz w:val="20"/>
          <w:szCs w:val="20"/>
          <w:u w:val="single"/>
        </w:rPr>
        <w:t>: Logic Model</w:t>
      </w:r>
    </w:p>
    <w:p w14:paraId="6F6F6D01" w14:textId="57F92B1E" w:rsidR="006E645C" w:rsidRPr="00812FFB" w:rsidRDefault="009B1DC7" w:rsidP="004E6388">
      <w:pPr>
        <w:jc w:val="both"/>
        <w:rPr>
          <w:color w:val="4472C4" w:themeColor="accent1"/>
          <w:sz w:val="20"/>
          <w:szCs w:val="20"/>
          <w:highlight w:val="yellow"/>
        </w:rPr>
      </w:pPr>
      <w:r w:rsidRPr="00812FFB">
        <w:rPr>
          <w:color w:val="4472C4" w:themeColor="accent1"/>
          <w:sz w:val="20"/>
          <w:szCs w:val="20"/>
          <w:highlight w:val="yellow"/>
        </w:rPr>
        <w:br w:type="page"/>
      </w:r>
    </w:p>
    <w:p w14:paraId="1F4C3FE5" w14:textId="5C2F633D" w:rsidR="00F73512" w:rsidRPr="00812FFB" w:rsidRDefault="00D860BF" w:rsidP="007A35B1">
      <w:pPr>
        <w:pStyle w:val="Heading1"/>
      </w:pPr>
      <w:bookmarkStart w:id="8" w:name="_Toc150204543"/>
      <w:r w:rsidRPr="00812FFB">
        <w:lastRenderedPageBreak/>
        <w:t>4. I</w:t>
      </w:r>
      <w:r w:rsidR="006E645C" w:rsidRPr="00812FFB">
        <w:t xml:space="preserve">mpact </w:t>
      </w:r>
      <w:r w:rsidR="00CA16DF" w:rsidRPr="00812FFB">
        <w:t>V</w:t>
      </w:r>
      <w:r w:rsidR="006E645C" w:rsidRPr="00812FFB">
        <w:t>aluation</w:t>
      </w:r>
      <w:bookmarkEnd w:id="8"/>
    </w:p>
    <w:p w14:paraId="65BFE535" w14:textId="535983BF" w:rsidR="001F366A" w:rsidRPr="00812FFB" w:rsidRDefault="001F366A" w:rsidP="004E6388">
      <w:pPr>
        <w:jc w:val="both"/>
        <w:rPr>
          <w:sz w:val="20"/>
          <w:szCs w:val="20"/>
        </w:rPr>
      </w:pPr>
      <w:r w:rsidRPr="00812FFB">
        <w:rPr>
          <w:sz w:val="20"/>
          <w:szCs w:val="20"/>
        </w:rPr>
        <w:t xml:space="preserve">To assess the feasibility and potential of the re-development project at NUS for enhanced sustainability, the team employed the social return on investment (SROI) framework. </w:t>
      </w:r>
    </w:p>
    <w:p w14:paraId="3A7D359F" w14:textId="77777777" w:rsidR="00904897" w:rsidRPr="00812FFB" w:rsidRDefault="00904897" w:rsidP="004E6388">
      <w:pPr>
        <w:jc w:val="both"/>
        <w:rPr>
          <w:sz w:val="20"/>
          <w:szCs w:val="20"/>
        </w:rPr>
      </w:pPr>
    </w:p>
    <w:p w14:paraId="73C68784" w14:textId="13037F06" w:rsidR="001F366A" w:rsidRPr="00812FFB" w:rsidRDefault="001F366A" w:rsidP="004E6388">
      <w:pPr>
        <w:jc w:val="both"/>
        <w:rPr>
          <w:sz w:val="20"/>
          <w:szCs w:val="20"/>
        </w:rPr>
      </w:pPr>
      <w:r w:rsidRPr="00812FFB">
        <w:rPr>
          <w:sz w:val="20"/>
          <w:szCs w:val="20"/>
        </w:rPr>
        <w:t>Making use of the re-development information offered by the College of Design and Engineering from NUS regarding system deliverables and a range of financial proxies</w:t>
      </w:r>
      <w:r w:rsidR="00E42A5A" w:rsidRPr="00812FFB">
        <w:rPr>
          <w:sz w:val="20"/>
          <w:szCs w:val="20"/>
        </w:rPr>
        <w:t>, we</w:t>
      </w:r>
      <w:r w:rsidRPr="00812FFB">
        <w:rPr>
          <w:sz w:val="20"/>
          <w:szCs w:val="20"/>
        </w:rPr>
        <w:t xml:space="preserve"> measure the economic, environmental, and social benefits and costs of initiating the re-development scheme. We will discuss the assumptions underlying our impact valuation in the following sections.</w:t>
      </w:r>
    </w:p>
    <w:p w14:paraId="4A7AD811" w14:textId="77777777" w:rsidR="001F366A" w:rsidRPr="00812FFB" w:rsidRDefault="001F366A" w:rsidP="004E6388">
      <w:pPr>
        <w:jc w:val="both"/>
        <w:rPr>
          <w:sz w:val="20"/>
          <w:szCs w:val="20"/>
        </w:rPr>
      </w:pPr>
    </w:p>
    <w:p w14:paraId="3536D1AF" w14:textId="5D79292D" w:rsidR="00F73512" w:rsidRPr="00812FFB" w:rsidRDefault="00C50D6A" w:rsidP="001C78A2">
      <w:pPr>
        <w:pStyle w:val="Heading2"/>
        <w:numPr>
          <w:ilvl w:val="0"/>
          <w:numId w:val="17"/>
        </w:numPr>
        <w:rPr>
          <w:sz w:val="20"/>
          <w:szCs w:val="20"/>
        </w:rPr>
      </w:pPr>
      <w:bookmarkStart w:id="9" w:name="_Toc150204544"/>
      <w:r w:rsidRPr="00812FFB">
        <w:rPr>
          <w:sz w:val="20"/>
          <w:szCs w:val="20"/>
        </w:rPr>
        <w:t>General Model Assumptions</w:t>
      </w:r>
      <w:bookmarkEnd w:id="9"/>
    </w:p>
    <w:p w14:paraId="1DBDA8C9" w14:textId="7CE5FBBD" w:rsidR="001F1A12" w:rsidRPr="00812FFB" w:rsidRDefault="00C50D6A" w:rsidP="004E6388">
      <w:pPr>
        <w:jc w:val="both"/>
        <w:rPr>
          <w:sz w:val="20"/>
          <w:szCs w:val="20"/>
        </w:rPr>
      </w:pPr>
      <w:r w:rsidRPr="00812FFB">
        <w:rPr>
          <w:sz w:val="20"/>
          <w:szCs w:val="20"/>
        </w:rPr>
        <w:t xml:space="preserve">In order to forecast the SROI from the green campus project, we </w:t>
      </w:r>
      <w:r w:rsidR="00F73512" w:rsidRPr="00812FFB">
        <w:rPr>
          <w:sz w:val="20"/>
          <w:szCs w:val="20"/>
        </w:rPr>
        <w:t>built</w:t>
      </w:r>
      <w:r w:rsidRPr="00812FFB">
        <w:rPr>
          <w:sz w:val="20"/>
          <w:szCs w:val="20"/>
        </w:rPr>
        <w:t xml:space="preserve"> a financial model </w:t>
      </w:r>
      <w:r w:rsidR="00F73512" w:rsidRPr="00812FFB">
        <w:rPr>
          <w:sz w:val="20"/>
          <w:szCs w:val="20"/>
        </w:rPr>
        <w:t>that</w:t>
      </w:r>
      <w:r w:rsidRPr="00812FFB">
        <w:rPr>
          <w:sz w:val="20"/>
          <w:szCs w:val="20"/>
        </w:rPr>
        <w:t xml:space="preserve"> inc</w:t>
      </w:r>
      <w:r w:rsidR="000D1825" w:rsidRPr="00812FFB">
        <w:rPr>
          <w:sz w:val="20"/>
          <w:szCs w:val="20"/>
        </w:rPr>
        <w:t>orporated several key assumptions</w:t>
      </w:r>
      <w:r w:rsidR="0068211C" w:rsidRPr="00812FFB">
        <w:rPr>
          <w:sz w:val="20"/>
          <w:szCs w:val="20"/>
        </w:rPr>
        <w:t xml:space="preserve"> for e</w:t>
      </w:r>
      <w:r w:rsidR="00810113" w:rsidRPr="00812FFB">
        <w:rPr>
          <w:sz w:val="20"/>
          <w:szCs w:val="20"/>
        </w:rPr>
        <w:t xml:space="preserve">ach </w:t>
      </w:r>
      <w:r w:rsidR="00E334D3" w:rsidRPr="00812FFB">
        <w:rPr>
          <w:sz w:val="20"/>
          <w:szCs w:val="20"/>
        </w:rPr>
        <w:t>key element of the project. We will first discuss the general assumptions of the model – these are assumptions that affect the entire SROI analysis a</w:t>
      </w:r>
      <w:r w:rsidR="00523700" w:rsidRPr="00812FFB">
        <w:rPr>
          <w:sz w:val="20"/>
          <w:szCs w:val="20"/>
        </w:rPr>
        <w:t xml:space="preserve">nd affect the SROI figure generated from </w:t>
      </w:r>
      <w:r w:rsidR="00AB22BD" w:rsidRPr="00812FFB">
        <w:rPr>
          <w:sz w:val="20"/>
          <w:szCs w:val="20"/>
        </w:rPr>
        <w:t xml:space="preserve">not just </w:t>
      </w:r>
      <w:r w:rsidR="001D6929" w:rsidRPr="00812FFB">
        <w:rPr>
          <w:sz w:val="20"/>
          <w:szCs w:val="20"/>
        </w:rPr>
        <w:t>one</w:t>
      </w:r>
      <w:r w:rsidR="00AB22BD" w:rsidRPr="00812FFB">
        <w:rPr>
          <w:sz w:val="20"/>
          <w:szCs w:val="20"/>
        </w:rPr>
        <w:t xml:space="preserve"> key element but all key elements of the project</w:t>
      </w:r>
      <w:r w:rsidR="001F1A12" w:rsidRPr="00812FFB">
        <w:rPr>
          <w:sz w:val="20"/>
          <w:szCs w:val="20"/>
        </w:rPr>
        <w:t>.</w:t>
      </w:r>
      <w:r w:rsidR="00904897" w:rsidRPr="00812FFB">
        <w:rPr>
          <w:sz w:val="20"/>
          <w:szCs w:val="20"/>
        </w:rPr>
        <w:t xml:space="preserve"> </w:t>
      </w:r>
      <w:r w:rsidR="001F1A12" w:rsidRPr="00812FFB">
        <w:rPr>
          <w:sz w:val="20"/>
          <w:szCs w:val="20"/>
        </w:rPr>
        <w:t>Namely, these assumptions are</w:t>
      </w:r>
      <w:r w:rsidR="00337BE6" w:rsidRPr="00812FFB">
        <w:rPr>
          <w:sz w:val="20"/>
          <w:szCs w:val="20"/>
        </w:rPr>
        <w:t xml:space="preserve">: The model </w:t>
      </w:r>
      <w:r w:rsidR="00301C97" w:rsidRPr="00812FFB">
        <w:rPr>
          <w:sz w:val="20"/>
          <w:szCs w:val="20"/>
        </w:rPr>
        <w:t xml:space="preserve">forecasting period, </w:t>
      </w:r>
      <w:r w:rsidR="001D6929" w:rsidRPr="00812FFB">
        <w:rPr>
          <w:sz w:val="20"/>
          <w:szCs w:val="20"/>
        </w:rPr>
        <w:t>Discount Rate</w:t>
      </w:r>
      <w:r w:rsidR="00532BE6" w:rsidRPr="00812FFB">
        <w:rPr>
          <w:sz w:val="20"/>
          <w:szCs w:val="20"/>
        </w:rPr>
        <w:t xml:space="preserve">, Inflation Rate, </w:t>
      </w:r>
      <w:r w:rsidR="001D6929" w:rsidRPr="00812FFB">
        <w:rPr>
          <w:sz w:val="20"/>
          <w:szCs w:val="20"/>
        </w:rPr>
        <w:t>and terminal growth rate.</w:t>
      </w:r>
    </w:p>
    <w:p w14:paraId="64FF5DD1" w14:textId="77777777" w:rsidR="00904897" w:rsidRPr="00812FFB" w:rsidRDefault="00904897" w:rsidP="004E6388">
      <w:pPr>
        <w:jc w:val="both"/>
        <w:rPr>
          <w:sz w:val="20"/>
          <w:szCs w:val="20"/>
        </w:rPr>
      </w:pPr>
    </w:p>
    <w:p w14:paraId="102A173D" w14:textId="595C3B2A" w:rsidR="00792ED3" w:rsidRPr="00812FFB" w:rsidRDefault="00792ED3" w:rsidP="004E6388">
      <w:pPr>
        <w:jc w:val="both"/>
        <w:rPr>
          <w:sz w:val="20"/>
          <w:szCs w:val="20"/>
        </w:rPr>
      </w:pPr>
      <w:r w:rsidRPr="00812FFB">
        <w:rPr>
          <w:b/>
          <w:bCs/>
          <w:sz w:val="20"/>
          <w:szCs w:val="20"/>
        </w:rPr>
        <w:t>Discount Rate:</w:t>
      </w:r>
      <w:r w:rsidRPr="00812FFB">
        <w:rPr>
          <w:sz w:val="20"/>
          <w:szCs w:val="20"/>
        </w:rPr>
        <w:t xml:space="preserve"> </w:t>
      </w:r>
      <w:r w:rsidR="009E5C9C" w:rsidRPr="00812FFB">
        <w:rPr>
          <w:sz w:val="20"/>
          <w:szCs w:val="20"/>
        </w:rPr>
        <w:t>For SROI analysis, there appears to be no widely agreed upon method for determining the discount rate unlike in typical Discounted Cash Flow Valuations where the discount rate is typically WACC</w:t>
      </w:r>
      <w:r w:rsidR="00FB3F2C" w:rsidRPr="00812FFB">
        <w:rPr>
          <w:sz w:val="20"/>
          <w:szCs w:val="20"/>
        </w:rPr>
        <w:t>.</w:t>
      </w:r>
      <w:r w:rsidR="009E5C9C" w:rsidRPr="00812FFB">
        <w:rPr>
          <w:sz w:val="20"/>
          <w:szCs w:val="20"/>
        </w:rPr>
        <w:t xml:space="preserve"> </w:t>
      </w:r>
      <w:r w:rsidR="006106D3" w:rsidRPr="00812FFB">
        <w:rPr>
          <w:sz w:val="20"/>
          <w:szCs w:val="20"/>
        </w:rPr>
        <w:t>Many SROI projects use the municipal bond rate or the 30</w:t>
      </w:r>
      <w:r w:rsidR="007802F5" w:rsidRPr="00812FFB">
        <w:rPr>
          <w:sz w:val="20"/>
          <w:szCs w:val="20"/>
        </w:rPr>
        <w:t>-</w:t>
      </w:r>
      <w:r w:rsidR="006106D3" w:rsidRPr="00812FFB">
        <w:rPr>
          <w:sz w:val="20"/>
          <w:szCs w:val="20"/>
        </w:rPr>
        <w:t>year treasury rate</w:t>
      </w:r>
      <w:r w:rsidR="00FB3F2C" w:rsidRPr="00812FFB">
        <w:rPr>
          <w:sz w:val="20"/>
          <w:szCs w:val="20"/>
        </w:rPr>
        <w:t xml:space="preserve"> (</w:t>
      </w:r>
      <w:r w:rsidR="00B56F42" w:rsidRPr="00812FFB">
        <w:rPr>
          <w:bCs/>
          <w:sz w:val="20"/>
          <w:szCs w:val="20"/>
        </w:rPr>
        <w:t>Olsen &amp; Lingane, 2003)</w:t>
      </w:r>
      <w:r w:rsidR="00FB3F2C" w:rsidRPr="00812FFB">
        <w:rPr>
          <w:b/>
          <w:sz w:val="20"/>
          <w:szCs w:val="20"/>
        </w:rPr>
        <w:t>.</w:t>
      </w:r>
      <w:r w:rsidR="00220526" w:rsidRPr="00812FFB">
        <w:rPr>
          <w:sz w:val="20"/>
          <w:szCs w:val="20"/>
        </w:rPr>
        <w:t xml:space="preserve"> However, </w:t>
      </w:r>
      <w:r w:rsidR="00F255D4" w:rsidRPr="00812FFB">
        <w:rPr>
          <w:sz w:val="20"/>
          <w:szCs w:val="20"/>
        </w:rPr>
        <w:t xml:space="preserve">we find that a higher discount rate </w:t>
      </w:r>
      <w:r w:rsidR="00FA66FC" w:rsidRPr="00812FFB">
        <w:rPr>
          <w:sz w:val="20"/>
          <w:szCs w:val="20"/>
        </w:rPr>
        <w:t xml:space="preserve">would be more appropriate to reflect the risk associated with the fact that some of our </w:t>
      </w:r>
      <w:r w:rsidR="00E456C8" w:rsidRPr="00812FFB">
        <w:rPr>
          <w:sz w:val="20"/>
          <w:szCs w:val="20"/>
        </w:rPr>
        <w:t xml:space="preserve">forecasted social benefits </w:t>
      </w:r>
      <w:r w:rsidR="0005218E" w:rsidRPr="00812FFB">
        <w:rPr>
          <w:sz w:val="20"/>
          <w:szCs w:val="20"/>
        </w:rPr>
        <w:t xml:space="preserve">may not accrue as expected. </w:t>
      </w:r>
      <w:r w:rsidR="002E3F81" w:rsidRPr="00812FFB">
        <w:rPr>
          <w:sz w:val="20"/>
          <w:szCs w:val="20"/>
        </w:rPr>
        <w:t>Hence, we use a base discount rate of 7%.</w:t>
      </w:r>
    </w:p>
    <w:p w14:paraId="5F8D3C6F" w14:textId="77777777" w:rsidR="00904897" w:rsidRPr="00812FFB" w:rsidRDefault="00904897" w:rsidP="004E6388">
      <w:pPr>
        <w:jc w:val="both"/>
        <w:rPr>
          <w:sz w:val="20"/>
          <w:szCs w:val="20"/>
        </w:rPr>
      </w:pPr>
    </w:p>
    <w:p w14:paraId="426DE27D" w14:textId="1498FBA9" w:rsidR="00DB73B1" w:rsidRPr="00812FFB" w:rsidRDefault="00DB73B1" w:rsidP="004E6388">
      <w:pPr>
        <w:jc w:val="both"/>
        <w:rPr>
          <w:sz w:val="20"/>
          <w:szCs w:val="20"/>
        </w:rPr>
      </w:pPr>
      <w:r w:rsidRPr="00812FFB">
        <w:rPr>
          <w:b/>
          <w:bCs/>
          <w:sz w:val="20"/>
          <w:szCs w:val="20"/>
        </w:rPr>
        <w:t>Inflation Rate:</w:t>
      </w:r>
      <w:r w:rsidRPr="00812FFB">
        <w:rPr>
          <w:sz w:val="20"/>
          <w:szCs w:val="20"/>
        </w:rPr>
        <w:t xml:space="preserve"> We assume that the annual inflation rate in the model is </w:t>
      </w:r>
      <w:r w:rsidR="009B6734" w:rsidRPr="00812FFB">
        <w:rPr>
          <w:sz w:val="20"/>
          <w:szCs w:val="20"/>
        </w:rPr>
        <w:t xml:space="preserve">a </w:t>
      </w:r>
      <w:r w:rsidR="008A31DE" w:rsidRPr="00812FFB">
        <w:rPr>
          <w:sz w:val="20"/>
          <w:szCs w:val="20"/>
        </w:rPr>
        <w:t>constant</w:t>
      </w:r>
      <w:r w:rsidRPr="00812FFB">
        <w:rPr>
          <w:sz w:val="20"/>
          <w:szCs w:val="20"/>
        </w:rPr>
        <w:t>, determined by the historical average inflation rate of the past 51 years. Singapore has a good track record of maintaining low and stable inflation rates</w:t>
      </w:r>
      <w:r w:rsidR="009D5F05" w:rsidRPr="00812FFB">
        <w:rPr>
          <w:sz w:val="20"/>
          <w:szCs w:val="20"/>
        </w:rPr>
        <w:t>,</w:t>
      </w:r>
      <w:r w:rsidRPr="00812FFB">
        <w:rPr>
          <w:sz w:val="20"/>
          <w:szCs w:val="20"/>
        </w:rPr>
        <w:t xml:space="preserve"> hence we find this assumption reasonable.</w:t>
      </w:r>
    </w:p>
    <w:p w14:paraId="5952D994" w14:textId="77777777" w:rsidR="00904897" w:rsidRPr="00812FFB" w:rsidRDefault="00904897" w:rsidP="004E6388">
      <w:pPr>
        <w:jc w:val="both"/>
        <w:rPr>
          <w:sz w:val="20"/>
          <w:szCs w:val="20"/>
        </w:rPr>
      </w:pPr>
    </w:p>
    <w:p w14:paraId="07888D13" w14:textId="395F6578" w:rsidR="004749E9" w:rsidRPr="00812FFB" w:rsidRDefault="004B5B80" w:rsidP="004E6388">
      <w:pPr>
        <w:jc w:val="both"/>
        <w:rPr>
          <w:sz w:val="20"/>
          <w:szCs w:val="20"/>
        </w:rPr>
      </w:pPr>
      <w:r w:rsidRPr="00812FFB">
        <w:rPr>
          <w:b/>
          <w:bCs/>
          <w:sz w:val="20"/>
          <w:szCs w:val="20"/>
        </w:rPr>
        <w:t>Model Forecast Period:</w:t>
      </w:r>
      <w:r w:rsidRPr="00812FFB">
        <w:rPr>
          <w:sz w:val="20"/>
          <w:szCs w:val="20"/>
        </w:rPr>
        <w:t xml:space="preserve"> </w:t>
      </w:r>
      <w:r w:rsidR="002A2260" w:rsidRPr="00812FFB">
        <w:rPr>
          <w:sz w:val="20"/>
          <w:szCs w:val="20"/>
        </w:rPr>
        <w:t xml:space="preserve">We assume that most of our project elements </w:t>
      </w:r>
      <w:r w:rsidR="00862214" w:rsidRPr="00812FFB">
        <w:rPr>
          <w:sz w:val="20"/>
          <w:szCs w:val="20"/>
        </w:rPr>
        <w:t>will continue to exist and accrue social benefits</w:t>
      </w:r>
      <w:r w:rsidR="00C637E6" w:rsidRPr="00812FFB">
        <w:rPr>
          <w:sz w:val="20"/>
          <w:szCs w:val="20"/>
        </w:rPr>
        <w:t xml:space="preserve">, </w:t>
      </w:r>
      <w:r w:rsidR="00862214" w:rsidRPr="00812FFB">
        <w:rPr>
          <w:sz w:val="20"/>
          <w:szCs w:val="20"/>
        </w:rPr>
        <w:t>as well as costs for</w:t>
      </w:r>
      <w:r w:rsidR="005F4DE2" w:rsidRPr="00812FFB">
        <w:rPr>
          <w:sz w:val="20"/>
          <w:szCs w:val="20"/>
        </w:rPr>
        <w:t xml:space="preserve"> an indefinite period</w:t>
      </w:r>
      <w:r w:rsidR="00C637E6" w:rsidRPr="00812FFB">
        <w:rPr>
          <w:sz w:val="20"/>
          <w:szCs w:val="20"/>
        </w:rPr>
        <w:t xml:space="preserve"> of time</w:t>
      </w:r>
      <w:r w:rsidR="005F4DE2" w:rsidRPr="00812FFB">
        <w:rPr>
          <w:sz w:val="20"/>
          <w:szCs w:val="20"/>
        </w:rPr>
        <w:t xml:space="preserve">. However, there are a few elements </w:t>
      </w:r>
      <w:r w:rsidR="007C0573" w:rsidRPr="00812FFB">
        <w:rPr>
          <w:sz w:val="20"/>
          <w:szCs w:val="20"/>
        </w:rPr>
        <w:t xml:space="preserve">in the SROI analysis that do not follow this assumption – </w:t>
      </w:r>
      <w:r w:rsidR="006475A5" w:rsidRPr="00812FFB">
        <w:rPr>
          <w:sz w:val="20"/>
          <w:szCs w:val="20"/>
        </w:rPr>
        <w:t>one example is the</w:t>
      </w:r>
      <w:r w:rsidR="007C0573" w:rsidRPr="00812FFB">
        <w:rPr>
          <w:sz w:val="20"/>
          <w:szCs w:val="20"/>
        </w:rPr>
        <w:t xml:space="preserve"> </w:t>
      </w:r>
      <w:r w:rsidR="00457C04" w:rsidRPr="00812FFB">
        <w:rPr>
          <w:sz w:val="20"/>
          <w:szCs w:val="20"/>
        </w:rPr>
        <w:t xml:space="preserve">use of solar panels in our project. Solar panels do not have </w:t>
      </w:r>
      <w:r w:rsidR="00C637E6" w:rsidRPr="00812FFB">
        <w:rPr>
          <w:sz w:val="20"/>
          <w:szCs w:val="20"/>
        </w:rPr>
        <w:t>a</w:t>
      </w:r>
      <w:r w:rsidR="00457C04" w:rsidRPr="00812FFB">
        <w:rPr>
          <w:sz w:val="20"/>
          <w:szCs w:val="20"/>
        </w:rPr>
        <w:t xml:space="preserve"> plausibly indefinite lifespan, and most usually come with a 25 – </w:t>
      </w:r>
      <w:r w:rsidR="00C637E6" w:rsidRPr="00812FFB">
        <w:rPr>
          <w:sz w:val="20"/>
          <w:szCs w:val="20"/>
        </w:rPr>
        <w:t>30-year</w:t>
      </w:r>
      <w:r w:rsidR="00457C04" w:rsidRPr="00812FFB">
        <w:rPr>
          <w:sz w:val="20"/>
          <w:szCs w:val="20"/>
        </w:rPr>
        <w:t xml:space="preserve"> useful life warranty</w:t>
      </w:r>
      <w:r w:rsidR="00FB3F2C" w:rsidRPr="00812FFB">
        <w:rPr>
          <w:sz w:val="20"/>
          <w:szCs w:val="20"/>
        </w:rPr>
        <w:t xml:space="preserve"> (</w:t>
      </w:r>
      <w:r w:rsidR="00217FCF" w:rsidRPr="00812FFB">
        <w:rPr>
          <w:bCs/>
          <w:sz w:val="20"/>
          <w:szCs w:val="20"/>
        </w:rPr>
        <w:t>Glo</w:t>
      </w:r>
      <w:r w:rsidR="00CE78C5" w:rsidRPr="00812FFB">
        <w:rPr>
          <w:bCs/>
          <w:sz w:val="20"/>
          <w:szCs w:val="20"/>
        </w:rPr>
        <w:t>v</w:t>
      </w:r>
      <w:r w:rsidR="00217FCF" w:rsidRPr="00812FFB">
        <w:rPr>
          <w:bCs/>
          <w:sz w:val="20"/>
          <w:szCs w:val="20"/>
        </w:rPr>
        <w:t>er</w:t>
      </w:r>
      <w:r w:rsidR="00F3687A" w:rsidRPr="00812FFB">
        <w:rPr>
          <w:bCs/>
          <w:sz w:val="20"/>
          <w:szCs w:val="20"/>
        </w:rPr>
        <w:t xml:space="preserve"> &amp;</w:t>
      </w:r>
      <w:r w:rsidR="00217FCF" w:rsidRPr="00812FFB">
        <w:rPr>
          <w:sz w:val="20"/>
          <w:szCs w:val="20"/>
        </w:rPr>
        <w:t xml:space="preserve"> Tynan</w:t>
      </w:r>
      <w:r w:rsidR="00CE78C5" w:rsidRPr="00812FFB">
        <w:rPr>
          <w:bCs/>
          <w:sz w:val="20"/>
          <w:szCs w:val="20"/>
        </w:rPr>
        <w:t xml:space="preserve"> 2023</w:t>
      </w:r>
      <w:r w:rsidR="00FB3F2C" w:rsidRPr="00812FFB">
        <w:rPr>
          <w:sz w:val="20"/>
          <w:szCs w:val="20"/>
        </w:rPr>
        <w:t>).</w:t>
      </w:r>
      <w:r w:rsidR="00457C04" w:rsidRPr="00812FFB">
        <w:rPr>
          <w:sz w:val="20"/>
          <w:szCs w:val="20"/>
        </w:rPr>
        <w:t xml:space="preserve"> Hence,</w:t>
      </w:r>
      <w:r w:rsidR="00301878" w:rsidRPr="00812FFB">
        <w:rPr>
          <w:sz w:val="20"/>
          <w:szCs w:val="20"/>
        </w:rPr>
        <w:t xml:space="preserve"> we forecast the </w:t>
      </w:r>
      <w:r w:rsidR="00B25084" w:rsidRPr="00812FFB">
        <w:rPr>
          <w:sz w:val="20"/>
          <w:szCs w:val="20"/>
        </w:rPr>
        <w:t>model for 30 years</w:t>
      </w:r>
      <w:r w:rsidR="00E3540B" w:rsidRPr="00812FFB">
        <w:rPr>
          <w:sz w:val="20"/>
          <w:szCs w:val="20"/>
        </w:rPr>
        <w:t xml:space="preserve"> to allow for the </w:t>
      </w:r>
      <w:r w:rsidR="00617AD5" w:rsidRPr="00812FFB">
        <w:rPr>
          <w:sz w:val="20"/>
          <w:szCs w:val="20"/>
        </w:rPr>
        <w:t>end of the useful life of the solar panels.</w:t>
      </w:r>
    </w:p>
    <w:p w14:paraId="0E99C450" w14:textId="77777777" w:rsidR="00904897" w:rsidRPr="00812FFB" w:rsidRDefault="00904897" w:rsidP="004E6388">
      <w:pPr>
        <w:jc w:val="both"/>
        <w:rPr>
          <w:sz w:val="20"/>
          <w:szCs w:val="20"/>
        </w:rPr>
      </w:pPr>
    </w:p>
    <w:p w14:paraId="25242E63" w14:textId="73656CC2" w:rsidR="00F63DD3" w:rsidRPr="00812FFB" w:rsidRDefault="00DB73B1" w:rsidP="004E6388">
      <w:pPr>
        <w:jc w:val="both"/>
        <w:rPr>
          <w:sz w:val="20"/>
          <w:szCs w:val="20"/>
        </w:rPr>
      </w:pPr>
      <w:r w:rsidRPr="00812FFB">
        <w:rPr>
          <w:b/>
          <w:bCs/>
          <w:sz w:val="20"/>
          <w:szCs w:val="20"/>
        </w:rPr>
        <w:t>Terminal Growth Rate</w:t>
      </w:r>
      <w:r w:rsidRPr="00812FFB">
        <w:rPr>
          <w:sz w:val="20"/>
          <w:szCs w:val="20"/>
        </w:rPr>
        <w:t xml:space="preserve">: Because we assume that the project will have an indefinite useful life, we will also have to forecast a terminal growth rate. </w:t>
      </w:r>
      <w:r w:rsidR="00046B38" w:rsidRPr="00812FFB">
        <w:rPr>
          <w:sz w:val="20"/>
          <w:szCs w:val="20"/>
        </w:rPr>
        <w:t>In typical valuation models, the terminal growth rate is somewhere between the historical average inflation rate and the nominal GDP growth rate</w:t>
      </w:r>
      <w:r w:rsidR="00FB3F2C" w:rsidRPr="00812FFB">
        <w:rPr>
          <w:sz w:val="20"/>
          <w:szCs w:val="20"/>
        </w:rPr>
        <w:t xml:space="preserve"> (</w:t>
      </w:r>
      <w:r w:rsidR="003F586B" w:rsidRPr="00812FFB">
        <w:rPr>
          <w:sz w:val="20"/>
          <w:szCs w:val="20"/>
        </w:rPr>
        <w:t>Corporate Finance Institute</w:t>
      </w:r>
      <w:r w:rsidR="003E2EAE" w:rsidRPr="00812FFB">
        <w:rPr>
          <w:bCs/>
          <w:sz w:val="20"/>
          <w:szCs w:val="20"/>
        </w:rPr>
        <w:t xml:space="preserve"> n.d.</w:t>
      </w:r>
      <w:r w:rsidR="00FB3F2C" w:rsidRPr="00812FFB">
        <w:rPr>
          <w:bCs/>
          <w:sz w:val="20"/>
          <w:szCs w:val="20"/>
        </w:rPr>
        <w:t>)</w:t>
      </w:r>
      <w:r w:rsidR="00046B38" w:rsidRPr="00812FFB">
        <w:rPr>
          <w:bCs/>
          <w:sz w:val="20"/>
          <w:szCs w:val="20"/>
        </w:rPr>
        <w:t>.</w:t>
      </w:r>
      <w:r w:rsidR="00046B38" w:rsidRPr="00812FFB">
        <w:rPr>
          <w:sz w:val="20"/>
          <w:szCs w:val="20"/>
        </w:rPr>
        <w:t xml:space="preserve"> Because we do not </w:t>
      </w:r>
      <w:r w:rsidR="004C0C0F" w:rsidRPr="00812FFB">
        <w:rPr>
          <w:sz w:val="20"/>
          <w:szCs w:val="20"/>
        </w:rPr>
        <w:t>believe</w:t>
      </w:r>
      <w:r w:rsidR="00713A67" w:rsidRPr="00812FFB">
        <w:rPr>
          <w:sz w:val="20"/>
          <w:szCs w:val="20"/>
        </w:rPr>
        <w:t xml:space="preserve"> the NUS green campus project</w:t>
      </w:r>
      <w:r w:rsidR="00E01776" w:rsidRPr="00812FFB">
        <w:rPr>
          <w:sz w:val="20"/>
          <w:szCs w:val="20"/>
        </w:rPr>
        <w:t xml:space="preserve"> is </w:t>
      </w:r>
      <w:r w:rsidR="00713A67" w:rsidRPr="00812FFB">
        <w:rPr>
          <w:sz w:val="20"/>
          <w:szCs w:val="20"/>
        </w:rPr>
        <w:t xml:space="preserve">similar </w:t>
      </w:r>
      <w:r w:rsidR="00E01776" w:rsidRPr="00812FFB">
        <w:rPr>
          <w:sz w:val="20"/>
          <w:szCs w:val="20"/>
        </w:rPr>
        <w:t>in nature to a</w:t>
      </w:r>
      <w:r w:rsidR="00713A67" w:rsidRPr="00812FFB">
        <w:rPr>
          <w:sz w:val="20"/>
          <w:szCs w:val="20"/>
        </w:rPr>
        <w:t xml:space="preserve"> </w:t>
      </w:r>
      <w:r w:rsidR="00BF18B1" w:rsidRPr="00812FFB">
        <w:rPr>
          <w:sz w:val="20"/>
          <w:szCs w:val="20"/>
        </w:rPr>
        <w:t>profit generating project</w:t>
      </w:r>
      <w:r w:rsidR="00713A67" w:rsidRPr="00812FFB">
        <w:rPr>
          <w:sz w:val="20"/>
          <w:szCs w:val="20"/>
        </w:rPr>
        <w:t xml:space="preserve">, we find that the terminal growth rate </w:t>
      </w:r>
      <w:r w:rsidR="00DB2135" w:rsidRPr="00812FFB">
        <w:rPr>
          <w:sz w:val="20"/>
          <w:szCs w:val="20"/>
        </w:rPr>
        <w:t xml:space="preserve">figure </w:t>
      </w:r>
      <w:r w:rsidR="00713A67" w:rsidRPr="00812FFB">
        <w:rPr>
          <w:sz w:val="20"/>
          <w:szCs w:val="20"/>
        </w:rPr>
        <w:t xml:space="preserve">should just be the same as the </w:t>
      </w:r>
      <w:r w:rsidR="00DB2135" w:rsidRPr="00812FFB">
        <w:rPr>
          <w:sz w:val="20"/>
          <w:szCs w:val="20"/>
        </w:rPr>
        <w:t>inflation rate constant we use in this analysis.</w:t>
      </w:r>
    </w:p>
    <w:p w14:paraId="1830220F" w14:textId="77777777" w:rsidR="00904897" w:rsidRPr="00812FFB" w:rsidRDefault="00904897" w:rsidP="004E6388">
      <w:pPr>
        <w:jc w:val="both"/>
        <w:rPr>
          <w:sz w:val="20"/>
          <w:szCs w:val="20"/>
        </w:rPr>
      </w:pPr>
    </w:p>
    <w:tbl>
      <w:tblPr>
        <w:tblStyle w:val="TableGrid"/>
        <w:tblW w:w="0" w:type="auto"/>
        <w:tblInd w:w="2275" w:type="dxa"/>
        <w:tblLook w:val="04A0" w:firstRow="1" w:lastRow="0" w:firstColumn="1" w:lastColumn="0" w:noHBand="0" w:noVBand="1"/>
      </w:tblPr>
      <w:tblGrid>
        <w:gridCol w:w="3116"/>
        <w:gridCol w:w="3117"/>
      </w:tblGrid>
      <w:tr w:rsidR="00DB2135" w:rsidRPr="00812FFB" w14:paraId="0AA996DF" w14:textId="77777777" w:rsidTr="00D860BF">
        <w:trPr>
          <w:trHeight w:val="298"/>
        </w:trPr>
        <w:tc>
          <w:tcPr>
            <w:tcW w:w="6233" w:type="dxa"/>
            <w:gridSpan w:val="2"/>
            <w:shd w:val="clear" w:color="auto" w:fill="8EAADB" w:themeFill="accent1" w:themeFillTint="99"/>
          </w:tcPr>
          <w:p w14:paraId="055C63F8" w14:textId="43093032" w:rsidR="00DB2135" w:rsidRPr="00812FFB" w:rsidRDefault="00DB2135" w:rsidP="00D860BF">
            <w:pPr>
              <w:jc w:val="center"/>
              <w:rPr>
                <w:b/>
                <w:bCs/>
                <w:sz w:val="20"/>
                <w:szCs w:val="20"/>
              </w:rPr>
            </w:pPr>
            <w:r w:rsidRPr="00812FFB">
              <w:rPr>
                <w:b/>
                <w:bCs/>
                <w:sz w:val="20"/>
                <w:szCs w:val="20"/>
              </w:rPr>
              <w:t>Model General Assumptions</w:t>
            </w:r>
          </w:p>
        </w:tc>
      </w:tr>
      <w:tr w:rsidR="00DB2135" w:rsidRPr="00812FFB" w14:paraId="023C6108" w14:textId="77777777" w:rsidTr="00D860BF">
        <w:tc>
          <w:tcPr>
            <w:tcW w:w="3116" w:type="dxa"/>
            <w:shd w:val="clear" w:color="auto" w:fill="DEEAF6" w:themeFill="accent5" w:themeFillTint="33"/>
          </w:tcPr>
          <w:p w14:paraId="270D9C1D" w14:textId="31A63E91" w:rsidR="00DB2135" w:rsidRPr="00812FFB" w:rsidRDefault="00DB2135" w:rsidP="004E6388">
            <w:pPr>
              <w:jc w:val="both"/>
              <w:rPr>
                <w:sz w:val="20"/>
                <w:szCs w:val="20"/>
              </w:rPr>
            </w:pPr>
            <w:r w:rsidRPr="00812FFB">
              <w:rPr>
                <w:sz w:val="20"/>
                <w:szCs w:val="20"/>
              </w:rPr>
              <w:t>Model Forecast Period</w:t>
            </w:r>
          </w:p>
        </w:tc>
        <w:tc>
          <w:tcPr>
            <w:tcW w:w="3117" w:type="dxa"/>
          </w:tcPr>
          <w:p w14:paraId="502AD9BA" w14:textId="0965BDFD" w:rsidR="00DB2135" w:rsidRPr="00812FFB" w:rsidRDefault="00DB2135" w:rsidP="004E6388">
            <w:pPr>
              <w:jc w:val="both"/>
              <w:rPr>
                <w:sz w:val="20"/>
                <w:szCs w:val="20"/>
              </w:rPr>
            </w:pPr>
            <w:r w:rsidRPr="00812FFB">
              <w:rPr>
                <w:sz w:val="20"/>
                <w:szCs w:val="20"/>
              </w:rPr>
              <w:t>30 years</w:t>
            </w:r>
          </w:p>
        </w:tc>
      </w:tr>
      <w:tr w:rsidR="00DB2135" w:rsidRPr="00812FFB" w14:paraId="0DA96E7E" w14:textId="77777777" w:rsidTr="00D860BF">
        <w:tc>
          <w:tcPr>
            <w:tcW w:w="3116" w:type="dxa"/>
            <w:shd w:val="clear" w:color="auto" w:fill="DEEAF6" w:themeFill="accent5" w:themeFillTint="33"/>
          </w:tcPr>
          <w:p w14:paraId="51BC7328" w14:textId="2EA80B07" w:rsidR="00DB2135" w:rsidRPr="00812FFB" w:rsidRDefault="00DB2135" w:rsidP="004E6388">
            <w:pPr>
              <w:jc w:val="both"/>
              <w:rPr>
                <w:sz w:val="20"/>
                <w:szCs w:val="20"/>
              </w:rPr>
            </w:pPr>
            <w:r w:rsidRPr="00812FFB">
              <w:rPr>
                <w:sz w:val="20"/>
                <w:szCs w:val="20"/>
              </w:rPr>
              <w:t>Discount Rate</w:t>
            </w:r>
          </w:p>
        </w:tc>
        <w:tc>
          <w:tcPr>
            <w:tcW w:w="3117" w:type="dxa"/>
          </w:tcPr>
          <w:p w14:paraId="459AB33A" w14:textId="4E19D0AD" w:rsidR="00DB2135" w:rsidRPr="00812FFB" w:rsidRDefault="00DB2135" w:rsidP="004E6388">
            <w:pPr>
              <w:jc w:val="both"/>
              <w:rPr>
                <w:sz w:val="20"/>
                <w:szCs w:val="20"/>
              </w:rPr>
            </w:pPr>
            <w:r w:rsidRPr="00812FFB">
              <w:rPr>
                <w:sz w:val="20"/>
                <w:szCs w:val="20"/>
              </w:rPr>
              <w:t>7%</w:t>
            </w:r>
          </w:p>
        </w:tc>
      </w:tr>
      <w:tr w:rsidR="00DB2135" w:rsidRPr="00812FFB" w14:paraId="10FCAE58" w14:textId="77777777" w:rsidTr="00D860BF">
        <w:tc>
          <w:tcPr>
            <w:tcW w:w="3116" w:type="dxa"/>
            <w:shd w:val="clear" w:color="auto" w:fill="DEEAF6" w:themeFill="accent5" w:themeFillTint="33"/>
          </w:tcPr>
          <w:p w14:paraId="616326E7" w14:textId="70F198CD" w:rsidR="00DB2135" w:rsidRPr="00812FFB" w:rsidRDefault="00DB2135" w:rsidP="004E6388">
            <w:pPr>
              <w:jc w:val="both"/>
              <w:rPr>
                <w:sz w:val="20"/>
                <w:szCs w:val="20"/>
              </w:rPr>
            </w:pPr>
            <w:r w:rsidRPr="00812FFB">
              <w:rPr>
                <w:sz w:val="20"/>
                <w:szCs w:val="20"/>
              </w:rPr>
              <w:t>Inflation Rate</w:t>
            </w:r>
          </w:p>
        </w:tc>
        <w:tc>
          <w:tcPr>
            <w:tcW w:w="3117" w:type="dxa"/>
          </w:tcPr>
          <w:p w14:paraId="33D85233" w14:textId="741B6037" w:rsidR="00DB2135" w:rsidRPr="00812FFB" w:rsidRDefault="00DB2135" w:rsidP="004E6388">
            <w:pPr>
              <w:jc w:val="both"/>
              <w:rPr>
                <w:sz w:val="20"/>
                <w:szCs w:val="20"/>
              </w:rPr>
            </w:pPr>
            <w:r w:rsidRPr="00812FFB">
              <w:rPr>
                <w:sz w:val="20"/>
                <w:szCs w:val="20"/>
              </w:rPr>
              <w:t>2.47%</w:t>
            </w:r>
          </w:p>
        </w:tc>
      </w:tr>
      <w:tr w:rsidR="00DB2135" w:rsidRPr="00812FFB" w14:paraId="6C804E1C" w14:textId="77777777" w:rsidTr="00D860BF">
        <w:tc>
          <w:tcPr>
            <w:tcW w:w="3116" w:type="dxa"/>
            <w:shd w:val="clear" w:color="auto" w:fill="DEEAF6" w:themeFill="accent5" w:themeFillTint="33"/>
          </w:tcPr>
          <w:p w14:paraId="48B9267B" w14:textId="41DE61A7" w:rsidR="00DB2135" w:rsidRPr="00812FFB" w:rsidRDefault="00DB2135" w:rsidP="004E6388">
            <w:pPr>
              <w:jc w:val="both"/>
              <w:rPr>
                <w:sz w:val="20"/>
                <w:szCs w:val="20"/>
              </w:rPr>
            </w:pPr>
            <w:r w:rsidRPr="00812FFB">
              <w:rPr>
                <w:sz w:val="20"/>
                <w:szCs w:val="20"/>
              </w:rPr>
              <w:t>Terminal Growth Rate</w:t>
            </w:r>
          </w:p>
        </w:tc>
        <w:tc>
          <w:tcPr>
            <w:tcW w:w="3117" w:type="dxa"/>
          </w:tcPr>
          <w:p w14:paraId="02062596" w14:textId="79E3BAF8" w:rsidR="00DB2135" w:rsidRPr="00812FFB" w:rsidRDefault="00DB2135" w:rsidP="004E6388">
            <w:pPr>
              <w:jc w:val="both"/>
              <w:rPr>
                <w:sz w:val="20"/>
                <w:szCs w:val="20"/>
              </w:rPr>
            </w:pPr>
            <w:r w:rsidRPr="00812FFB">
              <w:rPr>
                <w:sz w:val="20"/>
                <w:szCs w:val="20"/>
              </w:rPr>
              <w:t>2.47%</w:t>
            </w:r>
          </w:p>
        </w:tc>
      </w:tr>
    </w:tbl>
    <w:p w14:paraId="2B570E99" w14:textId="77777777" w:rsidR="001D6929" w:rsidRPr="00812FFB" w:rsidRDefault="001D6929" w:rsidP="004E6388">
      <w:pPr>
        <w:jc w:val="both"/>
        <w:rPr>
          <w:sz w:val="20"/>
          <w:szCs w:val="20"/>
        </w:rPr>
      </w:pPr>
    </w:p>
    <w:p w14:paraId="28CD3796" w14:textId="4FF07EDE" w:rsidR="004749E9" w:rsidRPr="00812FFB" w:rsidRDefault="00381940" w:rsidP="001C78A2">
      <w:pPr>
        <w:pStyle w:val="Heading2"/>
        <w:numPr>
          <w:ilvl w:val="0"/>
          <w:numId w:val="17"/>
        </w:numPr>
        <w:rPr>
          <w:sz w:val="20"/>
          <w:szCs w:val="20"/>
        </w:rPr>
      </w:pPr>
      <w:bookmarkStart w:id="10" w:name="_Toc150204545"/>
      <w:r w:rsidRPr="00812FFB">
        <w:rPr>
          <w:sz w:val="20"/>
          <w:szCs w:val="20"/>
        </w:rPr>
        <w:t>Investment Outlay and Social Cost Assumptions</w:t>
      </w:r>
      <w:bookmarkEnd w:id="10"/>
    </w:p>
    <w:p w14:paraId="12EFB299" w14:textId="35F871D0" w:rsidR="00DB4907" w:rsidRPr="00812FFB" w:rsidRDefault="004749E9" w:rsidP="004E6388">
      <w:pPr>
        <w:jc w:val="both"/>
        <w:rPr>
          <w:sz w:val="20"/>
          <w:szCs w:val="20"/>
        </w:rPr>
      </w:pPr>
      <w:r w:rsidRPr="00812FFB">
        <w:rPr>
          <w:sz w:val="20"/>
          <w:szCs w:val="20"/>
        </w:rPr>
        <w:t>We now discuss the investment outlay and social cost assumptions in this segment. We provide two tables which break down the investments and costs by project key element –Greenery, Public Space, Water, Energy, and Mobility.</w:t>
      </w:r>
    </w:p>
    <w:p w14:paraId="6D9BE6FA" w14:textId="73897EB3" w:rsidR="009D6337" w:rsidRPr="00812FFB" w:rsidRDefault="003C2C15" w:rsidP="004E6388">
      <w:pPr>
        <w:jc w:val="both"/>
        <w:rPr>
          <w:sz w:val="20"/>
          <w:szCs w:val="20"/>
        </w:rPr>
      </w:pPr>
      <w:r w:rsidRPr="00812FFB">
        <w:rPr>
          <w:noProof/>
          <w:sz w:val="20"/>
          <w:szCs w:val="20"/>
        </w:rPr>
        <w:lastRenderedPageBreak/>
        <w:drawing>
          <wp:anchor distT="0" distB="0" distL="114300" distR="114300" simplePos="0" relativeHeight="251658240" behindDoc="0" locked="0" layoutInCell="1" allowOverlap="1" wp14:anchorId="0EB7D0F1" wp14:editId="7D337F3C">
            <wp:simplePos x="0" y="0"/>
            <wp:positionH relativeFrom="margin">
              <wp:posOffset>3619500</wp:posOffset>
            </wp:positionH>
            <wp:positionV relativeFrom="paragraph">
              <wp:posOffset>565092</wp:posOffset>
            </wp:positionV>
            <wp:extent cx="3238500" cy="2048510"/>
            <wp:effectExtent l="0" t="0" r="0" b="8890"/>
            <wp:wrapSquare wrapText="bothSides"/>
            <wp:docPr id="587933106" name="Chart 1">
              <a:extLst xmlns:a="http://schemas.openxmlformats.org/drawingml/2006/main">
                <a:ext uri="{FF2B5EF4-FFF2-40B4-BE49-F238E27FC236}">
                  <a16:creationId xmlns:a16="http://schemas.microsoft.com/office/drawing/2014/main" id="{306EFAED-F9AA-EFD8-938D-DB52BF6692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Pr="00812FFB">
        <w:rPr>
          <w:noProof/>
          <w:sz w:val="20"/>
          <w:szCs w:val="20"/>
        </w:rPr>
        <w:drawing>
          <wp:anchor distT="0" distB="0" distL="114300" distR="114300" simplePos="0" relativeHeight="251658241" behindDoc="0" locked="0" layoutInCell="1" allowOverlap="1" wp14:anchorId="4BEB55A4" wp14:editId="6BED997A">
            <wp:simplePos x="0" y="0"/>
            <wp:positionH relativeFrom="margin">
              <wp:posOffset>0</wp:posOffset>
            </wp:positionH>
            <wp:positionV relativeFrom="paragraph">
              <wp:posOffset>571443</wp:posOffset>
            </wp:positionV>
            <wp:extent cx="3571875" cy="2038350"/>
            <wp:effectExtent l="0" t="0" r="9525" b="6350"/>
            <wp:wrapSquare wrapText="bothSides"/>
            <wp:docPr id="1390587107" name="Chart 1">
              <a:extLst xmlns:a="http://schemas.openxmlformats.org/drawingml/2006/main">
                <a:ext uri="{FF2B5EF4-FFF2-40B4-BE49-F238E27FC236}">
                  <a16:creationId xmlns:a16="http://schemas.microsoft.com/office/drawing/2014/main" id="{BF381F8D-FAD0-1166-C8A6-BDF528549D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735647" w:rsidRPr="00812FFB">
        <w:rPr>
          <w:sz w:val="20"/>
          <w:szCs w:val="20"/>
        </w:rPr>
        <w:t xml:space="preserve">Before we </w:t>
      </w:r>
      <w:r w:rsidR="00F27590" w:rsidRPr="00812FFB">
        <w:rPr>
          <w:sz w:val="20"/>
          <w:szCs w:val="20"/>
        </w:rPr>
        <w:t xml:space="preserve">state the key assumptions for calculating </w:t>
      </w:r>
      <w:r w:rsidR="00BD12AF" w:rsidRPr="00812FFB">
        <w:rPr>
          <w:sz w:val="20"/>
          <w:szCs w:val="20"/>
        </w:rPr>
        <w:t>investment outlay and costs, we first provide a b</w:t>
      </w:r>
      <w:r w:rsidR="009D6337" w:rsidRPr="00812FFB">
        <w:rPr>
          <w:sz w:val="20"/>
          <w:szCs w:val="20"/>
        </w:rPr>
        <w:t>reakdown of the costs by key element.</w:t>
      </w:r>
    </w:p>
    <w:p w14:paraId="7D57B55B" w14:textId="449930B4" w:rsidR="00F36AAA" w:rsidRPr="00812FFB" w:rsidRDefault="00E1144E" w:rsidP="003C2C15">
      <w:pPr>
        <w:rPr>
          <w:i/>
          <w:sz w:val="20"/>
          <w:szCs w:val="20"/>
        </w:rPr>
      </w:pPr>
      <w:r w:rsidRPr="00812FFB">
        <w:rPr>
          <w:i/>
          <w:sz w:val="20"/>
          <w:szCs w:val="20"/>
        </w:rPr>
        <w:t xml:space="preserve">      </w:t>
      </w:r>
    </w:p>
    <w:p w14:paraId="60C8E166" w14:textId="280E6753" w:rsidR="00F64F0D" w:rsidRPr="00812FFB" w:rsidRDefault="003C2C15" w:rsidP="00F36AAA">
      <w:pPr>
        <w:rPr>
          <w:i/>
          <w:sz w:val="20"/>
          <w:szCs w:val="20"/>
        </w:rPr>
      </w:pPr>
      <w:r w:rsidRPr="00812FFB">
        <w:rPr>
          <w:i/>
          <w:sz w:val="20"/>
          <w:szCs w:val="20"/>
        </w:rPr>
        <w:t xml:space="preserve">    </w:t>
      </w:r>
      <w:r w:rsidR="00A64D3E">
        <w:rPr>
          <w:i/>
          <w:sz w:val="20"/>
          <w:szCs w:val="20"/>
        </w:rPr>
        <w:t xml:space="preserve"> </w:t>
      </w:r>
      <w:r w:rsidRPr="00812FFB">
        <w:rPr>
          <w:i/>
          <w:sz w:val="20"/>
          <w:szCs w:val="20"/>
        </w:rPr>
        <w:t xml:space="preserve">               </w:t>
      </w:r>
    </w:p>
    <w:p w14:paraId="20A3BE63" w14:textId="240815F0" w:rsidR="005C3613" w:rsidRPr="00812FFB" w:rsidRDefault="00F64F0D" w:rsidP="00F36AAA">
      <w:pPr>
        <w:rPr>
          <w:i/>
          <w:sz w:val="20"/>
          <w:szCs w:val="20"/>
          <w:u w:val="single"/>
        </w:rPr>
      </w:pPr>
      <w:r w:rsidRPr="00812FFB">
        <w:rPr>
          <w:i/>
          <w:sz w:val="20"/>
          <w:szCs w:val="20"/>
        </w:rPr>
        <w:t xml:space="preserve">        </w:t>
      </w:r>
      <w:r w:rsidR="00A64D3E">
        <w:rPr>
          <w:i/>
          <w:sz w:val="20"/>
          <w:szCs w:val="20"/>
        </w:rPr>
        <w:t xml:space="preserve">   </w:t>
      </w:r>
      <w:r w:rsidRPr="00812FFB">
        <w:rPr>
          <w:i/>
          <w:sz w:val="20"/>
          <w:szCs w:val="20"/>
        </w:rPr>
        <w:t xml:space="preserve">         </w:t>
      </w:r>
      <w:r w:rsidR="00E1144E" w:rsidRPr="00812FFB">
        <w:rPr>
          <w:i/>
          <w:sz w:val="20"/>
          <w:szCs w:val="20"/>
        </w:rPr>
        <w:t xml:space="preserve"> </w:t>
      </w:r>
      <w:r w:rsidR="00E1144E" w:rsidRPr="00812FFB">
        <w:rPr>
          <w:i/>
          <w:sz w:val="20"/>
          <w:szCs w:val="20"/>
          <w:u w:val="single"/>
        </w:rPr>
        <w:t xml:space="preserve"> </w:t>
      </w:r>
      <w:r w:rsidR="005C3613" w:rsidRPr="00812FFB">
        <w:rPr>
          <w:i/>
          <w:sz w:val="20"/>
          <w:szCs w:val="20"/>
          <w:u w:val="single"/>
        </w:rPr>
        <w:t xml:space="preserve">Figure </w:t>
      </w:r>
      <w:r w:rsidR="009A018C" w:rsidRPr="00812FFB">
        <w:rPr>
          <w:i/>
          <w:sz w:val="20"/>
          <w:szCs w:val="20"/>
          <w:u w:val="single"/>
        </w:rPr>
        <w:t>2</w:t>
      </w:r>
      <w:r w:rsidR="005C3613" w:rsidRPr="00812FFB">
        <w:rPr>
          <w:i/>
          <w:sz w:val="20"/>
          <w:szCs w:val="20"/>
          <w:u w:val="single"/>
        </w:rPr>
        <w:t xml:space="preserve">: Investment Cost Composition </w:t>
      </w:r>
      <w:r w:rsidR="00E1144E" w:rsidRPr="00812FFB">
        <w:rPr>
          <w:i/>
          <w:sz w:val="20"/>
          <w:szCs w:val="20"/>
        </w:rPr>
        <w:t xml:space="preserve">      </w:t>
      </w:r>
      <w:r w:rsidR="00A64D3E">
        <w:rPr>
          <w:i/>
          <w:sz w:val="20"/>
          <w:szCs w:val="20"/>
        </w:rPr>
        <w:t xml:space="preserve">                         </w:t>
      </w:r>
      <w:r w:rsidR="00E1144E" w:rsidRPr="00812FFB">
        <w:rPr>
          <w:i/>
          <w:sz w:val="20"/>
          <w:szCs w:val="20"/>
        </w:rPr>
        <w:t xml:space="preserve"> </w:t>
      </w:r>
      <w:r w:rsidR="003C2C15" w:rsidRPr="00812FFB">
        <w:rPr>
          <w:i/>
          <w:sz w:val="20"/>
          <w:szCs w:val="20"/>
        </w:rPr>
        <w:t xml:space="preserve">  </w:t>
      </w:r>
      <w:r w:rsidR="00E1144E" w:rsidRPr="00812FFB">
        <w:rPr>
          <w:i/>
          <w:sz w:val="20"/>
          <w:szCs w:val="20"/>
        </w:rPr>
        <w:t xml:space="preserve">  </w:t>
      </w:r>
      <w:r w:rsidR="00E1144E" w:rsidRPr="00812FFB">
        <w:rPr>
          <w:i/>
          <w:sz w:val="20"/>
          <w:szCs w:val="20"/>
          <w:u w:val="single"/>
        </w:rPr>
        <w:t xml:space="preserve">Figure </w:t>
      </w:r>
      <w:r w:rsidR="009A018C" w:rsidRPr="00812FFB">
        <w:rPr>
          <w:i/>
          <w:sz w:val="20"/>
          <w:szCs w:val="20"/>
          <w:u w:val="single"/>
        </w:rPr>
        <w:t>3</w:t>
      </w:r>
      <w:r w:rsidR="00E1144E" w:rsidRPr="00812FFB">
        <w:rPr>
          <w:i/>
          <w:sz w:val="20"/>
          <w:szCs w:val="20"/>
          <w:u w:val="single"/>
        </w:rPr>
        <w:t>: Maintenance Cost Composition per annum</w:t>
      </w:r>
    </w:p>
    <w:p w14:paraId="1DE6CD32" w14:textId="77777777" w:rsidR="00F64F0D" w:rsidRPr="00812FFB" w:rsidRDefault="00F64F0D" w:rsidP="00F36AAA">
      <w:pPr>
        <w:rPr>
          <w:i/>
          <w:sz w:val="20"/>
          <w:szCs w:val="20"/>
          <w:u w:val="single"/>
        </w:rPr>
      </w:pPr>
    </w:p>
    <w:p w14:paraId="54540AAA" w14:textId="3C9BA5B9" w:rsidR="00A97582" w:rsidRPr="00812FFB" w:rsidRDefault="00067FCC" w:rsidP="004E6388">
      <w:pPr>
        <w:jc w:val="both"/>
        <w:rPr>
          <w:sz w:val="20"/>
          <w:szCs w:val="20"/>
        </w:rPr>
      </w:pPr>
      <w:r w:rsidRPr="00812FFB">
        <w:rPr>
          <w:sz w:val="20"/>
          <w:szCs w:val="20"/>
        </w:rPr>
        <w:t>Our calculations leave us with a base investment cost of 846,406,138.39 SGD</w:t>
      </w:r>
      <w:r w:rsidR="00914BF6" w:rsidRPr="00812FFB">
        <w:rPr>
          <w:sz w:val="20"/>
          <w:szCs w:val="20"/>
        </w:rPr>
        <w:t>.</w:t>
      </w:r>
      <w:r w:rsidRPr="00812FFB">
        <w:rPr>
          <w:sz w:val="20"/>
          <w:szCs w:val="20"/>
        </w:rPr>
        <w:t xml:space="preserve"> The two largest investment costs by a large margin are Energy and Mobility investment costs respectively. </w:t>
      </w:r>
      <w:r w:rsidR="00914BF6" w:rsidRPr="00812FFB">
        <w:rPr>
          <w:sz w:val="20"/>
          <w:szCs w:val="20"/>
        </w:rPr>
        <w:t>We obtain</w:t>
      </w:r>
      <w:r w:rsidRPr="00812FFB">
        <w:rPr>
          <w:sz w:val="20"/>
          <w:szCs w:val="20"/>
        </w:rPr>
        <w:t xml:space="preserve"> a base yearly maintenance cost of $94,119,008.54</w:t>
      </w:r>
      <w:r w:rsidR="00914BF6" w:rsidRPr="00812FFB">
        <w:rPr>
          <w:sz w:val="20"/>
          <w:szCs w:val="20"/>
        </w:rPr>
        <w:t>.</w:t>
      </w:r>
      <w:r w:rsidRPr="00812FFB">
        <w:rPr>
          <w:sz w:val="20"/>
          <w:szCs w:val="20"/>
        </w:rPr>
        <w:t xml:space="preserve"> We observe that the maintenance costs arising from the mobility element far exceed those of any other key element.</w:t>
      </w:r>
    </w:p>
    <w:p w14:paraId="66D93D5C" w14:textId="77777777" w:rsidR="00E61C2B" w:rsidRPr="00812FFB" w:rsidRDefault="00E61C2B" w:rsidP="004E6388">
      <w:pPr>
        <w:jc w:val="both"/>
        <w:rPr>
          <w:sz w:val="20"/>
          <w:szCs w:val="20"/>
        </w:rPr>
      </w:pPr>
    </w:p>
    <w:p w14:paraId="131078A5" w14:textId="769FA5F9" w:rsidR="00E61C2B" w:rsidRPr="00812FFB" w:rsidRDefault="00E61C2B" w:rsidP="00F64F0D">
      <w:pPr>
        <w:pStyle w:val="Heading3"/>
        <w:rPr>
          <w:sz w:val="20"/>
          <w:szCs w:val="20"/>
        </w:rPr>
      </w:pPr>
      <w:bookmarkStart w:id="11" w:name="_Toc150204546"/>
      <w:r w:rsidRPr="00812FFB">
        <w:rPr>
          <w:sz w:val="20"/>
          <w:szCs w:val="20"/>
        </w:rPr>
        <w:t>Investment Cost Assumptions</w:t>
      </w:r>
      <w:bookmarkEnd w:id="11"/>
    </w:p>
    <w:tbl>
      <w:tblPr>
        <w:tblW w:w="10622" w:type="dxa"/>
        <w:tblLook w:val="04A0" w:firstRow="1" w:lastRow="0" w:firstColumn="1" w:lastColumn="0" w:noHBand="0" w:noVBand="1"/>
      </w:tblPr>
      <w:tblGrid>
        <w:gridCol w:w="3534"/>
        <w:gridCol w:w="1559"/>
        <w:gridCol w:w="5529"/>
      </w:tblGrid>
      <w:tr w:rsidR="009358E7" w:rsidRPr="00812FFB" w14:paraId="05B4D9CD" w14:textId="77777777" w:rsidTr="00F64F0D">
        <w:trPr>
          <w:trHeight w:val="320"/>
        </w:trPr>
        <w:tc>
          <w:tcPr>
            <w:tcW w:w="3534"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241EE0F" w14:textId="77777777" w:rsidR="009358E7" w:rsidRPr="00812FFB" w:rsidRDefault="009358E7">
            <w:pPr>
              <w:jc w:val="center"/>
              <w:rPr>
                <w:b/>
                <w:bCs/>
                <w:color w:val="000000"/>
                <w:sz w:val="20"/>
                <w:szCs w:val="20"/>
              </w:rPr>
            </w:pPr>
            <w:r w:rsidRPr="00812FFB">
              <w:rPr>
                <w:b/>
                <w:bCs/>
                <w:sz w:val="20"/>
                <w:szCs w:val="20"/>
                <w:lang w:val="en-US"/>
              </w:rPr>
              <w:t>Investment</w:t>
            </w:r>
          </w:p>
        </w:tc>
        <w:tc>
          <w:tcPr>
            <w:tcW w:w="1559" w:type="dxa"/>
            <w:tcBorders>
              <w:top w:val="single" w:sz="8" w:space="0" w:color="auto"/>
              <w:left w:val="nil"/>
              <w:bottom w:val="single" w:sz="8" w:space="0" w:color="auto"/>
              <w:right w:val="single" w:sz="8" w:space="0" w:color="auto"/>
            </w:tcBorders>
            <w:shd w:val="clear" w:color="000000" w:fill="8EAADB"/>
            <w:vAlign w:val="center"/>
            <w:hideMark/>
          </w:tcPr>
          <w:p w14:paraId="1656A3F9" w14:textId="77777777" w:rsidR="009358E7" w:rsidRPr="00812FFB" w:rsidRDefault="009358E7">
            <w:pPr>
              <w:jc w:val="center"/>
              <w:rPr>
                <w:b/>
                <w:bCs/>
                <w:color w:val="000000"/>
                <w:sz w:val="20"/>
                <w:szCs w:val="20"/>
              </w:rPr>
            </w:pPr>
            <w:r w:rsidRPr="00812FFB">
              <w:rPr>
                <w:b/>
                <w:bCs/>
                <w:sz w:val="20"/>
                <w:szCs w:val="20"/>
                <w:lang w:val="en-US"/>
              </w:rPr>
              <w:t>Category</w:t>
            </w:r>
          </w:p>
        </w:tc>
        <w:tc>
          <w:tcPr>
            <w:tcW w:w="5529" w:type="dxa"/>
            <w:tcBorders>
              <w:top w:val="single" w:sz="8" w:space="0" w:color="auto"/>
              <w:left w:val="nil"/>
              <w:bottom w:val="single" w:sz="8" w:space="0" w:color="auto"/>
              <w:right w:val="single" w:sz="8" w:space="0" w:color="auto"/>
            </w:tcBorders>
            <w:shd w:val="clear" w:color="000000" w:fill="8EAADB"/>
            <w:vAlign w:val="center"/>
            <w:hideMark/>
          </w:tcPr>
          <w:p w14:paraId="14DD37DD" w14:textId="77777777" w:rsidR="009358E7" w:rsidRPr="00812FFB" w:rsidRDefault="009358E7">
            <w:pPr>
              <w:jc w:val="center"/>
              <w:rPr>
                <w:b/>
                <w:bCs/>
                <w:color w:val="000000"/>
                <w:sz w:val="20"/>
                <w:szCs w:val="20"/>
              </w:rPr>
            </w:pPr>
            <w:r w:rsidRPr="00812FFB">
              <w:rPr>
                <w:b/>
                <w:bCs/>
                <w:sz w:val="20"/>
                <w:szCs w:val="20"/>
                <w:lang w:val="en-US"/>
              </w:rPr>
              <w:t>Valuation Logic</w:t>
            </w:r>
          </w:p>
        </w:tc>
      </w:tr>
      <w:tr w:rsidR="009358E7" w:rsidRPr="00812FFB" w14:paraId="2EF04AF9" w14:textId="77777777" w:rsidTr="00F64F0D">
        <w:trPr>
          <w:trHeight w:val="320"/>
        </w:trPr>
        <w:tc>
          <w:tcPr>
            <w:tcW w:w="3534" w:type="dxa"/>
            <w:tcBorders>
              <w:top w:val="single" w:sz="8" w:space="0" w:color="auto"/>
              <w:left w:val="single" w:sz="8" w:space="0" w:color="auto"/>
              <w:bottom w:val="single" w:sz="8" w:space="0" w:color="auto"/>
              <w:right w:val="single" w:sz="8" w:space="0" w:color="auto"/>
            </w:tcBorders>
            <w:shd w:val="clear" w:color="auto" w:fill="DEEAF6" w:themeFill="accent5" w:themeFillTint="33"/>
          </w:tcPr>
          <w:p w14:paraId="19F2D2DF" w14:textId="448A959B" w:rsidR="009358E7" w:rsidRPr="00812FFB" w:rsidRDefault="009358E7" w:rsidP="00F64F0D">
            <w:pPr>
              <w:rPr>
                <w:b/>
                <w:bCs/>
                <w:sz w:val="20"/>
                <w:szCs w:val="20"/>
                <w:lang w:val="en-US"/>
              </w:rPr>
            </w:pPr>
            <w:r w:rsidRPr="00812FFB">
              <w:rPr>
                <w:sz w:val="20"/>
                <w:szCs w:val="20"/>
              </w:rPr>
              <w:t>Investment required for planting additional Trees to reach 100,000 trees</w:t>
            </w:r>
          </w:p>
        </w:tc>
        <w:tc>
          <w:tcPr>
            <w:tcW w:w="1559" w:type="dxa"/>
            <w:tcBorders>
              <w:top w:val="single" w:sz="8" w:space="0" w:color="auto"/>
              <w:left w:val="nil"/>
              <w:bottom w:val="single" w:sz="8" w:space="0" w:color="auto"/>
              <w:right w:val="single" w:sz="8" w:space="0" w:color="auto"/>
            </w:tcBorders>
            <w:shd w:val="clear" w:color="auto" w:fill="DEEAF6" w:themeFill="accent5" w:themeFillTint="33"/>
          </w:tcPr>
          <w:p w14:paraId="1390875C" w14:textId="139A2292" w:rsidR="009358E7" w:rsidRPr="00812FFB" w:rsidRDefault="009358E7" w:rsidP="009358E7">
            <w:pPr>
              <w:jc w:val="center"/>
              <w:rPr>
                <w:b/>
                <w:bCs/>
                <w:sz w:val="20"/>
                <w:szCs w:val="20"/>
                <w:lang w:val="en-US"/>
              </w:rPr>
            </w:pPr>
            <w:r w:rsidRPr="00812FFB">
              <w:rPr>
                <w:sz w:val="20"/>
                <w:szCs w:val="20"/>
              </w:rPr>
              <w:t>Greenery</w:t>
            </w:r>
          </w:p>
        </w:tc>
        <w:tc>
          <w:tcPr>
            <w:tcW w:w="5529" w:type="dxa"/>
            <w:tcBorders>
              <w:top w:val="single" w:sz="8" w:space="0" w:color="auto"/>
              <w:left w:val="nil"/>
              <w:bottom w:val="single" w:sz="8" w:space="0" w:color="auto"/>
              <w:right w:val="single" w:sz="8" w:space="0" w:color="auto"/>
            </w:tcBorders>
            <w:shd w:val="clear" w:color="auto" w:fill="DEEAF6" w:themeFill="accent5" w:themeFillTint="33"/>
          </w:tcPr>
          <w:p w14:paraId="1B2CE48D" w14:textId="77777777" w:rsidR="009358E7" w:rsidRPr="00812FFB" w:rsidRDefault="009358E7" w:rsidP="00F64F0D">
            <w:pPr>
              <w:rPr>
                <w:sz w:val="20"/>
                <w:szCs w:val="20"/>
              </w:rPr>
            </w:pPr>
            <w:r w:rsidRPr="00812FFB">
              <w:rPr>
                <w:sz w:val="20"/>
                <w:szCs w:val="20"/>
              </w:rPr>
              <w:t>Target number of trees to be planted *</w:t>
            </w:r>
          </w:p>
          <w:p w14:paraId="2448C0D4" w14:textId="77777777" w:rsidR="009358E7" w:rsidRPr="00812FFB" w:rsidRDefault="009358E7" w:rsidP="00F64F0D">
            <w:pPr>
              <w:rPr>
                <w:sz w:val="20"/>
                <w:szCs w:val="20"/>
              </w:rPr>
            </w:pPr>
            <w:r w:rsidRPr="00812FFB">
              <w:rPr>
                <w:sz w:val="20"/>
                <w:szCs w:val="20"/>
              </w:rPr>
              <w:t>cost per tree</w:t>
            </w:r>
          </w:p>
          <w:p w14:paraId="2AA59FCD" w14:textId="77777777" w:rsidR="009358E7" w:rsidRPr="00812FFB" w:rsidRDefault="009358E7" w:rsidP="00F64F0D">
            <w:pPr>
              <w:rPr>
                <w:b/>
                <w:bCs/>
                <w:sz w:val="20"/>
                <w:szCs w:val="20"/>
                <w:lang w:val="en-US"/>
              </w:rPr>
            </w:pPr>
          </w:p>
        </w:tc>
      </w:tr>
      <w:tr w:rsidR="009358E7" w:rsidRPr="00812FFB" w14:paraId="0579937F" w14:textId="77777777" w:rsidTr="00F64F0D">
        <w:trPr>
          <w:trHeight w:val="320"/>
        </w:trPr>
        <w:tc>
          <w:tcPr>
            <w:tcW w:w="3534" w:type="dxa"/>
            <w:tcBorders>
              <w:top w:val="single" w:sz="8" w:space="0" w:color="auto"/>
              <w:left w:val="single" w:sz="8" w:space="0" w:color="auto"/>
              <w:bottom w:val="single" w:sz="8" w:space="0" w:color="auto"/>
              <w:right w:val="single" w:sz="8" w:space="0" w:color="auto"/>
            </w:tcBorders>
            <w:shd w:val="clear" w:color="auto" w:fill="auto"/>
          </w:tcPr>
          <w:p w14:paraId="0F3117D8" w14:textId="161A430F" w:rsidR="009358E7" w:rsidRPr="00812FFB" w:rsidRDefault="009358E7" w:rsidP="00F64F0D">
            <w:pPr>
              <w:rPr>
                <w:b/>
                <w:bCs/>
                <w:sz w:val="20"/>
                <w:szCs w:val="20"/>
                <w:lang w:val="en-US"/>
              </w:rPr>
            </w:pPr>
            <w:r w:rsidRPr="00812FFB">
              <w:rPr>
                <w:sz w:val="20"/>
                <w:szCs w:val="20"/>
              </w:rPr>
              <w:t>Investment required for construction of additional public spaces</w:t>
            </w:r>
          </w:p>
        </w:tc>
        <w:tc>
          <w:tcPr>
            <w:tcW w:w="1559" w:type="dxa"/>
            <w:tcBorders>
              <w:top w:val="single" w:sz="8" w:space="0" w:color="auto"/>
              <w:left w:val="nil"/>
              <w:bottom w:val="single" w:sz="8" w:space="0" w:color="auto"/>
              <w:right w:val="single" w:sz="8" w:space="0" w:color="auto"/>
            </w:tcBorders>
            <w:shd w:val="clear" w:color="auto" w:fill="auto"/>
          </w:tcPr>
          <w:p w14:paraId="696C6F44" w14:textId="088B5937" w:rsidR="009358E7" w:rsidRPr="00812FFB" w:rsidRDefault="009358E7" w:rsidP="009358E7">
            <w:pPr>
              <w:jc w:val="center"/>
              <w:rPr>
                <w:b/>
                <w:bCs/>
                <w:sz w:val="20"/>
                <w:szCs w:val="20"/>
                <w:lang w:val="en-US"/>
              </w:rPr>
            </w:pPr>
            <w:r w:rsidRPr="00812FFB">
              <w:rPr>
                <w:sz w:val="20"/>
                <w:szCs w:val="20"/>
              </w:rPr>
              <w:t>Public Space</w:t>
            </w:r>
          </w:p>
        </w:tc>
        <w:tc>
          <w:tcPr>
            <w:tcW w:w="5529" w:type="dxa"/>
            <w:tcBorders>
              <w:top w:val="single" w:sz="8" w:space="0" w:color="auto"/>
              <w:left w:val="nil"/>
              <w:bottom w:val="single" w:sz="8" w:space="0" w:color="auto"/>
              <w:right w:val="single" w:sz="8" w:space="0" w:color="auto"/>
            </w:tcBorders>
            <w:shd w:val="clear" w:color="auto" w:fill="auto"/>
          </w:tcPr>
          <w:p w14:paraId="64EA4063" w14:textId="77777777" w:rsidR="009358E7" w:rsidRPr="00812FFB" w:rsidRDefault="009358E7" w:rsidP="00F64F0D">
            <w:pPr>
              <w:rPr>
                <w:sz w:val="20"/>
                <w:szCs w:val="20"/>
              </w:rPr>
            </w:pPr>
            <w:r w:rsidRPr="00812FFB">
              <w:rPr>
                <w:sz w:val="20"/>
                <w:szCs w:val="20"/>
              </w:rPr>
              <w:t>Cost per m2 of park construction *</w:t>
            </w:r>
          </w:p>
          <w:p w14:paraId="7FF56D93" w14:textId="4509C25D" w:rsidR="009358E7" w:rsidRPr="00812FFB" w:rsidRDefault="009358E7" w:rsidP="00F64F0D">
            <w:pPr>
              <w:rPr>
                <w:sz w:val="20"/>
                <w:szCs w:val="20"/>
              </w:rPr>
            </w:pPr>
            <w:r w:rsidRPr="00812FFB">
              <w:rPr>
                <w:sz w:val="20"/>
                <w:szCs w:val="20"/>
              </w:rPr>
              <w:t>Target increase in public space area</w:t>
            </w:r>
          </w:p>
        </w:tc>
      </w:tr>
      <w:tr w:rsidR="009358E7" w:rsidRPr="00812FFB" w14:paraId="1758CD9B" w14:textId="77777777" w:rsidTr="00F64F0D">
        <w:trPr>
          <w:trHeight w:val="673"/>
        </w:trPr>
        <w:tc>
          <w:tcPr>
            <w:tcW w:w="3534" w:type="dxa"/>
            <w:tcBorders>
              <w:top w:val="single" w:sz="8" w:space="0" w:color="auto"/>
              <w:left w:val="single" w:sz="8" w:space="0" w:color="auto"/>
              <w:bottom w:val="single" w:sz="8" w:space="0" w:color="auto"/>
              <w:right w:val="single" w:sz="8" w:space="0" w:color="auto"/>
            </w:tcBorders>
            <w:shd w:val="clear" w:color="auto" w:fill="DEEAF6" w:themeFill="accent5" w:themeFillTint="33"/>
          </w:tcPr>
          <w:p w14:paraId="3C0FEA66" w14:textId="7DCDBE97" w:rsidR="009358E7" w:rsidRPr="00812FFB" w:rsidRDefault="009358E7" w:rsidP="00F64F0D">
            <w:pPr>
              <w:rPr>
                <w:b/>
                <w:bCs/>
                <w:sz w:val="20"/>
                <w:szCs w:val="20"/>
                <w:lang w:val="en-US"/>
              </w:rPr>
            </w:pPr>
            <w:r w:rsidRPr="00812FFB">
              <w:rPr>
                <w:sz w:val="20"/>
                <w:szCs w:val="20"/>
              </w:rPr>
              <w:t>Investment Cost of rainwater harvesting tanks</w:t>
            </w:r>
          </w:p>
        </w:tc>
        <w:tc>
          <w:tcPr>
            <w:tcW w:w="1559" w:type="dxa"/>
            <w:tcBorders>
              <w:top w:val="single" w:sz="8" w:space="0" w:color="auto"/>
              <w:left w:val="nil"/>
              <w:bottom w:val="single" w:sz="8" w:space="0" w:color="auto"/>
              <w:right w:val="single" w:sz="8" w:space="0" w:color="auto"/>
            </w:tcBorders>
            <w:shd w:val="clear" w:color="auto" w:fill="DEEAF6" w:themeFill="accent5" w:themeFillTint="33"/>
          </w:tcPr>
          <w:p w14:paraId="49A00F04" w14:textId="5915A376" w:rsidR="009358E7" w:rsidRPr="00812FFB" w:rsidRDefault="009358E7" w:rsidP="009358E7">
            <w:pPr>
              <w:jc w:val="center"/>
              <w:rPr>
                <w:b/>
                <w:bCs/>
                <w:sz w:val="20"/>
                <w:szCs w:val="20"/>
                <w:lang w:val="en-US"/>
              </w:rPr>
            </w:pPr>
            <w:r w:rsidRPr="00812FFB">
              <w:rPr>
                <w:sz w:val="20"/>
                <w:szCs w:val="20"/>
              </w:rPr>
              <w:t>Water</w:t>
            </w:r>
          </w:p>
        </w:tc>
        <w:tc>
          <w:tcPr>
            <w:tcW w:w="5529" w:type="dxa"/>
            <w:tcBorders>
              <w:top w:val="single" w:sz="8" w:space="0" w:color="auto"/>
              <w:left w:val="nil"/>
              <w:bottom w:val="single" w:sz="8" w:space="0" w:color="auto"/>
              <w:right w:val="single" w:sz="8" w:space="0" w:color="auto"/>
            </w:tcBorders>
            <w:shd w:val="clear" w:color="auto" w:fill="DEEAF6" w:themeFill="accent5" w:themeFillTint="33"/>
          </w:tcPr>
          <w:p w14:paraId="2E2CC268" w14:textId="77777777" w:rsidR="009358E7" w:rsidRPr="00812FFB" w:rsidRDefault="009358E7" w:rsidP="00F64F0D">
            <w:pPr>
              <w:rPr>
                <w:sz w:val="20"/>
                <w:szCs w:val="20"/>
              </w:rPr>
            </w:pPr>
            <w:r w:rsidRPr="00812FFB">
              <w:rPr>
                <w:sz w:val="20"/>
                <w:szCs w:val="20"/>
              </w:rPr>
              <w:t>Target Water Supply from rainwater *</w:t>
            </w:r>
          </w:p>
          <w:p w14:paraId="062ACFC6" w14:textId="77777777" w:rsidR="009358E7" w:rsidRPr="00812FFB" w:rsidRDefault="009358E7" w:rsidP="00F64F0D">
            <w:pPr>
              <w:rPr>
                <w:sz w:val="20"/>
                <w:szCs w:val="20"/>
              </w:rPr>
            </w:pPr>
            <w:r w:rsidRPr="00812FFB">
              <w:rPr>
                <w:sz w:val="20"/>
                <w:szCs w:val="20"/>
              </w:rPr>
              <w:t>Tank storage to supply ratio (5%) *</w:t>
            </w:r>
          </w:p>
          <w:p w14:paraId="1C6CDCA1" w14:textId="65E6325C" w:rsidR="009358E7" w:rsidRPr="00812FFB" w:rsidRDefault="009358E7" w:rsidP="00F64F0D">
            <w:pPr>
              <w:rPr>
                <w:sz w:val="20"/>
                <w:szCs w:val="20"/>
              </w:rPr>
            </w:pPr>
            <w:r w:rsidRPr="00812FFB">
              <w:rPr>
                <w:sz w:val="20"/>
                <w:szCs w:val="20"/>
              </w:rPr>
              <w:t>Cost of Tank per m3 of storage needed.</w:t>
            </w:r>
          </w:p>
        </w:tc>
      </w:tr>
      <w:tr w:rsidR="009358E7" w:rsidRPr="00812FFB" w14:paraId="0F1A15AD" w14:textId="77777777" w:rsidTr="00F64F0D">
        <w:trPr>
          <w:trHeight w:val="320"/>
        </w:trPr>
        <w:tc>
          <w:tcPr>
            <w:tcW w:w="3534" w:type="dxa"/>
            <w:tcBorders>
              <w:top w:val="single" w:sz="8" w:space="0" w:color="auto"/>
              <w:left w:val="single" w:sz="8" w:space="0" w:color="auto"/>
              <w:bottom w:val="single" w:sz="8" w:space="0" w:color="auto"/>
              <w:right w:val="single" w:sz="8" w:space="0" w:color="auto"/>
            </w:tcBorders>
            <w:shd w:val="clear" w:color="auto" w:fill="auto"/>
          </w:tcPr>
          <w:p w14:paraId="3DBE8582" w14:textId="27BCA970" w:rsidR="009358E7" w:rsidRPr="00812FFB" w:rsidRDefault="009358E7" w:rsidP="00F64F0D">
            <w:pPr>
              <w:rPr>
                <w:b/>
                <w:bCs/>
                <w:sz w:val="20"/>
                <w:szCs w:val="20"/>
                <w:lang w:val="en-US"/>
              </w:rPr>
            </w:pPr>
            <w:r w:rsidRPr="00812FFB">
              <w:rPr>
                <w:sz w:val="20"/>
                <w:szCs w:val="20"/>
              </w:rPr>
              <w:t>Investment cost of water generation set up from rainwater harvesting</w:t>
            </w:r>
          </w:p>
        </w:tc>
        <w:tc>
          <w:tcPr>
            <w:tcW w:w="1559" w:type="dxa"/>
            <w:tcBorders>
              <w:top w:val="single" w:sz="8" w:space="0" w:color="auto"/>
              <w:left w:val="nil"/>
              <w:bottom w:val="single" w:sz="8" w:space="0" w:color="auto"/>
              <w:right w:val="single" w:sz="8" w:space="0" w:color="auto"/>
            </w:tcBorders>
            <w:shd w:val="clear" w:color="auto" w:fill="auto"/>
          </w:tcPr>
          <w:p w14:paraId="5114A1A5" w14:textId="0BBCEDC1" w:rsidR="009358E7" w:rsidRPr="00812FFB" w:rsidRDefault="009358E7" w:rsidP="009358E7">
            <w:pPr>
              <w:jc w:val="center"/>
              <w:rPr>
                <w:b/>
                <w:bCs/>
                <w:sz w:val="20"/>
                <w:szCs w:val="20"/>
                <w:lang w:val="en-US"/>
              </w:rPr>
            </w:pPr>
            <w:r w:rsidRPr="00812FFB">
              <w:rPr>
                <w:sz w:val="20"/>
                <w:szCs w:val="20"/>
              </w:rPr>
              <w:t>Water</w:t>
            </w:r>
          </w:p>
        </w:tc>
        <w:tc>
          <w:tcPr>
            <w:tcW w:w="5529" w:type="dxa"/>
            <w:tcBorders>
              <w:top w:val="single" w:sz="8" w:space="0" w:color="auto"/>
              <w:left w:val="nil"/>
              <w:bottom w:val="single" w:sz="8" w:space="0" w:color="auto"/>
              <w:right w:val="single" w:sz="8" w:space="0" w:color="auto"/>
            </w:tcBorders>
            <w:shd w:val="clear" w:color="auto" w:fill="auto"/>
          </w:tcPr>
          <w:p w14:paraId="69F9C433" w14:textId="77777777" w:rsidR="009358E7" w:rsidRPr="00812FFB" w:rsidRDefault="009358E7" w:rsidP="00F64F0D">
            <w:pPr>
              <w:rPr>
                <w:sz w:val="20"/>
                <w:szCs w:val="20"/>
              </w:rPr>
            </w:pPr>
            <w:r w:rsidRPr="00812FFB">
              <w:rPr>
                <w:sz w:val="20"/>
                <w:szCs w:val="20"/>
              </w:rPr>
              <w:t>Installation Cost per m2 *</w:t>
            </w:r>
          </w:p>
          <w:p w14:paraId="2DE8D67C" w14:textId="77777777" w:rsidR="009358E7" w:rsidRPr="00812FFB" w:rsidRDefault="009358E7" w:rsidP="00F64F0D">
            <w:pPr>
              <w:rPr>
                <w:sz w:val="20"/>
                <w:szCs w:val="20"/>
              </w:rPr>
            </w:pPr>
            <w:r w:rsidRPr="00812FFB">
              <w:rPr>
                <w:sz w:val="20"/>
                <w:szCs w:val="20"/>
              </w:rPr>
              <w:t>(Target water supply from rainwater harvesting /</w:t>
            </w:r>
          </w:p>
          <w:p w14:paraId="1F8A137B" w14:textId="18A000D5" w:rsidR="009358E7" w:rsidRPr="00812FFB" w:rsidRDefault="009358E7" w:rsidP="00F64F0D">
            <w:pPr>
              <w:rPr>
                <w:sz w:val="20"/>
                <w:szCs w:val="20"/>
              </w:rPr>
            </w:pPr>
            <w:r w:rsidRPr="00812FFB">
              <w:rPr>
                <w:sz w:val="20"/>
                <w:szCs w:val="20"/>
              </w:rPr>
              <w:t>Average rainfall estimate in Singapore per year)</w:t>
            </w:r>
          </w:p>
        </w:tc>
      </w:tr>
      <w:tr w:rsidR="009358E7" w:rsidRPr="00812FFB" w14:paraId="2642F994" w14:textId="77777777" w:rsidTr="00F64F0D">
        <w:trPr>
          <w:trHeight w:val="320"/>
        </w:trPr>
        <w:tc>
          <w:tcPr>
            <w:tcW w:w="3534" w:type="dxa"/>
            <w:tcBorders>
              <w:top w:val="single" w:sz="8" w:space="0" w:color="auto"/>
              <w:left w:val="single" w:sz="8" w:space="0" w:color="auto"/>
              <w:bottom w:val="single" w:sz="8" w:space="0" w:color="auto"/>
              <w:right w:val="single" w:sz="8" w:space="0" w:color="auto"/>
            </w:tcBorders>
            <w:shd w:val="clear" w:color="auto" w:fill="DEEAF6" w:themeFill="accent5" w:themeFillTint="33"/>
          </w:tcPr>
          <w:p w14:paraId="692B90AA" w14:textId="37ED5DFB" w:rsidR="009358E7" w:rsidRPr="00812FFB" w:rsidRDefault="009358E7" w:rsidP="00F64F0D">
            <w:pPr>
              <w:rPr>
                <w:b/>
                <w:bCs/>
                <w:sz w:val="20"/>
                <w:szCs w:val="20"/>
                <w:lang w:val="en-US"/>
              </w:rPr>
            </w:pPr>
            <w:r w:rsidRPr="00812FFB">
              <w:rPr>
                <w:sz w:val="20"/>
                <w:szCs w:val="20"/>
              </w:rPr>
              <w:t>Investment cost of water generation set up from greywater treatment</w:t>
            </w:r>
          </w:p>
        </w:tc>
        <w:tc>
          <w:tcPr>
            <w:tcW w:w="1559" w:type="dxa"/>
            <w:tcBorders>
              <w:top w:val="single" w:sz="8" w:space="0" w:color="auto"/>
              <w:left w:val="nil"/>
              <w:bottom w:val="single" w:sz="8" w:space="0" w:color="auto"/>
              <w:right w:val="single" w:sz="8" w:space="0" w:color="auto"/>
            </w:tcBorders>
            <w:shd w:val="clear" w:color="auto" w:fill="DEEAF6" w:themeFill="accent5" w:themeFillTint="33"/>
          </w:tcPr>
          <w:p w14:paraId="4759BBE0" w14:textId="283B292C" w:rsidR="009358E7" w:rsidRPr="00812FFB" w:rsidRDefault="009358E7" w:rsidP="009358E7">
            <w:pPr>
              <w:jc w:val="center"/>
              <w:rPr>
                <w:b/>
                <w:bCs/>
                <w:sz w:val="20"/>
                <w:szCs w:val="20"/>
                <w:lang w:val="en-US"/>
              </w:rPr>
            </w:pPr>
            <w:r w:rsidRPr="00812FFB">
              <w:rPr>
                <w:sz w:val="20"/>
                <w:szCs w:val="20"/>
              </w:rPr>
              <w:t>Water</w:t>
            </w:r>
          </w:p>
        </w:tc>
        <w:tc>
          <w:tcPr>
            <w:tcW w:w="5529" w:type="dxa"/>
            <w:tcBorders>
              <w:top w:val="single" w:sz="8" w:space="0" w:color="auto"/>
              <w:left w:val="nil"/>
              <w:bottom w:val="single" w:sz="8" w:space="0" w:color="auto"/>
              <w:right w:val="single" w:sz="8" w:space="0" w:color="auto"/>
            </w:tcBorders>
            <w:shd w:val="clear" w:color="auto" w:fill="DEEAF6" w:themeFill="accent5" w:themeFillTint="33"/>
          </w:tcPr>
          <w:p w14:paraId="00A73F4D" w14:textId="77777777" w:rsidR="009358E7" w:rsidRPr="00812FFB" w:rsidRDefault="009358E7" w:rsidP="00F64F0D">
            <w:pPr>
              <w:rPr>
                <w:sz w:val="20"/>
                <w:szCs w:val="20"/>
              </w:rPr>
            </w:pPr>
            <w:r w:rsidRPr="00812FFB">
              <w:rPr>
                <w:sz w:val="20"/>
                <w:szCs w:val="20"/>
              </w:rPr>
              <w:t>Installation Cost per treatment capacity *</w:t>
            </w:r>
          </w:p>
          <w:p w14:paraId="58894C5A" w14:textId="759AB6DB" w:rsidR="009358E7" w:rsidRPr="00812FFB" w:rsidRDefault="009358E7" w:rsidP="00F64F0D">
            <w:pPr>
              <w:rPr>
                <w:sz w:val="20"/>
                <w:szCs w:val="20"/>
              </w:rPr>
            </w:pPr>
            <w:r w:rsidRPr="00812FFB">
              <w:rPr>
                <w:sz w:val="20"/>
                <w:szCs w:val="20"/>
              </w:rPr>
              <w:t>Target water supply from greywater treatment</w:t>
            </w:r>
          </w:p>
        </w:tc>
      </w:tr>
      <w:tr w:rsidR="009358E7" w:rsidRPr="00812FFB" w14:paraId="578F3ECB" w14:textId="77777777" w:rsidTr="00F64F0D">
        <w:trPr>
          <w:trHeight w:val="320"/>
        </w:trPr>
        <w:tc>
          <w:tcPr>
            <w:tcW w:w="3534" w:type="dxa"/>
            <w:tcBorders>
              <w:top w:val="single" w:sz="8" w:space="0" w:color="auto"/>
              <w:left w:val="single" w:sz="8" w:space="0" w:color="auto"/>
              <w:bottom w:val="single" w:sz="8" w:space="0" w:color="auto"/>
              <w:right w:val="single" w:sz="8" w:space="0" w:color="auto"/>
            </w:tcBorders>
            <w:shd w:val="clear" w:color="auto" w:fill="auto"/>
          </w:tcPr>
          <w:p w14:paraId="64CBEC25" w14:textId="08609DE1" w:rsidR="009358E7" w:rsidRPr="00812FFB" w:rsidRDefault="009358E7" w:rsidP="00F64F0D">
            <w:pPr>
              <w:rPr>
                <w:b/>
                <w:bCs/>
                <w:sz w:val="20"/>
                <w:szCs w:val="20"/>
                <w:lang w:val="en-US"/>
              </w:rPr>
            </w:pPr>
            <w:r w:rsidRPr="00812FFB">
              <w:rPr>
                <w:sz w:val="20"/>
                <w:szCs w:val="20"/>
              </w:rPr>
              <w:t>Investment required for construction of Monorail</w:t>
            </w:r>
          </w:p>
        </w:tc>
        <w:tc>
          <w:tcPr>
            <w:tcW w:w="1559" w:type="dxa"/>
            <w:tcBorders>
              <w:top w:val="single" w:sz="8" w:space="0" w:color="auto"/>
              <w:left w:val="nil"/>
              <w:bottom w:val="single" w:sz="8" w:space="0" w:color="auto"/>
              <w:right w:val="single" w:sz="8" w:space="0" w:color="auto"/>
            </w:tcBorders>
            <w:shd w:val="clear" w:color="auto" w:fill="auto"/>
          </w:tcPr>
          <w:p w14:paraId="7E2F2759" w14:textId="7D95718D" w:rsidR="009358E7" w:rsidRPr="00812FFB" w:rsidRDefault="009358E7" w:rsidP="009358E7">
            <w:pPr>
              <w:jc w:val="center"/>
              <w:rPr>
                <w:b/>
                <w:bCs/>
                <w:sz w:val="20"/>
                <w:szCs w:val="20"/>
                <w:lang w:val="en-US"/>
              </w:rPr>
            </w:pPr>
            <w:r w:rsidRPr="00812FFB">
              <w:rPr>
                <w:sz w:val="20"/>
                <w:szCs w:val="20"/>
              </w:rPr>
              <w:t>Mobility</w:t>
            </w:r>
          </w:p>
        </w:tc>
        <w:tc>
          <w:tcPr>
            <w:tcW w:w="5529" w:type="dxa"/>
            <w:tcBorders>
              <w:top w:val="single" w:sz="8" w:space="0" w:color="auto"/>
              <w:left w:val="nil"/>
              <w:bottom w:val="single" w:sz="8" w:space="0" w:color="auto"/>
              <w:right w:val="single" w:sz="8" w:space="0" w:color="auto"/>
            </w:tcBorders>
            <w:shd w:val="clear" w:color="auto" w:fill="auto"/>
          </w:tcPr>
          <w:p w14:paraId="6932283E" w14:textId="77777777" w:rsidR="009358E7" w:rsidRPr="00812FFB" w:rsidRDefault="009358E7" w:rsidP="00F64F0D">
            <w:pPr>
              <w:rPr>
                <w:sz w:val="20"/>
                <w:szCs w:val="20"/>
              </w:rPr>
            </w:pPr>
            <w:r w:rsidRPr="00812FFB">
              <w:rPr>
                <w:sz w:val="20"/>
                <w:szCs w:val="20"/>
              </w:rPr>
              <w:t>Cost of construction per km of monorail *</w:t>
            </w:r>
          </w:p>
          <w:p w14:paraId="72057CBC" w14:textId="2DA080F2" w:rsidR="009358E7" w:rsidRPr="00812FFB" w:rsidRDefault="009358E7" w:rsidP="00F64F0D">
            <w:pPr>
              <w:rPr>
                <w:sz w:val="20"/>
                <w:szCs w:val="20"/>
              </w:rPr>
            </w:pPr>
            <w:r w:rsidRPr="00812FFB">
              <w:rPr>
                <w:sz w:val="20"/>
                <w:szCs w:val="20"/>
              </w:rPr>
              <w:t>Target length of Monorail</w:t>
            </w:r>
          </w:p>
        </w:tc>
      </w:tr>
      <w:tr w:rsidR="009358E7" w:rsidRPr="00812FFB" w14:paraId="7B92EDFF" w14:textId="77777777" w:rsidTr="00F64F0D">
        <w:trPr>
          <w:trHeight w:val="320"/>
        </w:trPr>
        <w:tc>
          <w:tcPr>
            <w:tcW w:w="3534" w:type="dxa"/>
            <w:tcBorders>
              <w:top w:val="single" w:sz="8" w:space="0" w:color="auto"/>
              <w:left w:val="single" w:sz="8" w:space="0" w:color="auto"/>
              <w:bottom w:val="single" w:sz="8" w:space="0" w:color="auto"/>
              <w:right w:val="single" w:sz="8" w:space="0" w:color="auto"/>
            </w:tcBorders>
            <w:shd w:val="clear" w:color="auto" w:fill="DEEAF6" w:themeFill="accent5" w:themeFillTint="33"/>
          </w:tcPr>
          <w:p w14:paraId="3680B8FC" w14:textId="3527A948" w:rsidR="009358E7" w:rsidRPr="00812FFB" w:rsidRDefault="009358E7" w:rsidP="00F64F0D">
            <w:pPr>
              <w:rPr>
                <w:b/>
                <w:bCs/>
                <w:sz w:val="20"/>
                <w:szCs w:val="20"/>
                <w:lang w:val="en-US"/>
              </w:rPr>
            </w:pPr>
            <w:r w:rsidRPr="00812FFB">
              <w:rPr>
                <w:sz w:val="20"/>
                <w:szCs w:val="20"/>
              </w:rPr>
              <w:t>Capital Cost of Microgrid required</w:t>
            </w:r>
          </w:p>
        </w:tc>
        <w:tc>
          <w:tcPr>
            <w:tcW w:w="1559" w:type="dxa"/>
            <w:tcBorders>
              <w:top w:val="single" w:sz="8" w:space="0" w:color="auto"/>
              <w:left w:val="nil"/>
              <w:bottom w:val="single" w:sz="8" w:space="0" w:color="auto"/>
              <w:right w:val="single" w:sz="8" w:space="0" w:color="auto"/>
            </w:tcBorders>
            <w:shd w:val="clear" w:color="auto" w:fill="DEEAF6" w:themeFill="accent5" w:themeFillTint="33"/>
          </w:tcPr>
          <w:p w14:paraId="03457CA8" w14:textId="4D9611D6" w:rsidR="009358E7" w:rsidRPr="00812FFB" w:rsidRDefault="009358E7" w:rsidP="009358E7">
            <w:pPr>
              <w:jc w:val="center"/>
              <w:rPr>
                <w:b/>
                <w:bCs/>
                <w:sz w:val="20"/>
                <w:szCs w:val="20"/>
                <w:lang w:val="en-US"/>
              </w:rPr>
            </w:pPr>
            <w:r w:rsidRPr="00812FFB">
              <w:rPr>
                <w:sz w:val="20"/>
                <w:szCs w:val="20"/>
              </w:rPr>
              <w:t>Energy</w:t>
            </w:r>
          </w:p>
        </w:tc>
        <w:tc>
          <w:tcPr>
            <w:tcW w:w="5529" w:type="dxa"/>
            <w:tcBorders>
              <w:top w:val="single" w:sz="8" w:space="0" w:color="auto"/>
              <w:left w:val="nil"/>
              <w:bottom w:val="single" w:sz="8" w:space="0" w:color="auto"/>
              <w:right w:val="single" w:sz="8" w:space="0" w:color="auto"/>
            </w:tcBorders>
            <w:shd w:val="clear" w:color="auto" w:fill="DEEAF6" w:themeFill="accent5" w:themeFillTint="33"/>
          </w:tcPr>
          <w:p w14:paraId="1137210D" w14:textId="77777777" w:rsidR="009358E7" w:rsidRPr="00812FFB" w:rsidRDefault="009358E7" w:rsidP="00F64F0D">
            <w:pPr>
              <w:rPr>
                <w:sz w:val="20"/>
                <w:szCs w:val="20"/>
              </w:rPr>
            </w:pPr>
            <w:r w:rsidRPr="00812FFB">
              <w:rPr>
                <w:sz w:val="20"/>
                <w:szCs w:val="20"/>
              </w:rPr>
              <w:t>Cost per megawatt peak of project *</w:t>
            </w:r>
          </w:p>
          <w:p w14:paraId="1BCBFC18" w14:textId="0AFBAF31" w:rsidR="009358E7" w:rsidRPr="00812FFB" w:rsidRDefault="009358E7" w:rsidP="00F64F0D">
            <w:pPr>
              <w:rPr>
                <w:b/>
                <w:bCs/>
                <w:sz w:val="20"/>
                <w:szCs w:val="20"/>
                <w:lang w:val="en-US"/>
              </w:rPr>
            </w:pPr>
            <w:r w:rsidRPr="00812FFB">
              <w:rPr>
                <w:sz w:val="20"/>
                <w:szCs w:val="20"/>
              </w:rPr>
              <w:t>Total megawatt peak required for project</w:t>
            </w:r>
          </w:p>
        </w:tc>
      </w:tr>
      <w:tr w:rsidR="009358E7" w:rsidRPr="00812FFB" w14:paraId="598B44B0" w14:textId="77777777" w:rsidTr="00F64F0D">
        <w:trPr>
          <w:trHeight w:val="320"/>
        </w:trPr>
        <w:tc>
          <w:tcPr>
            <w:tcW w:w="3534" w:type="dxa"/>
            <w:tcBorders>
              <w:top w:val="single" w:sz="8" w:space="0" w:color="auto"/>
              <w:left w:val="single" w:sz="8" w:space="0" w:color="auto"/>
              <w:bottom w:val="single" w:sz="8" w:space="0" w:color="auto"/>
              <w:right w:val="single" w:sz="8" w:space="0" w:color="auto"/>
            </w:tcBorders>
            <w:shd w:val="clear" w:color="auto" w:fill="auto"/>
          </w:tcPr>
          <w:p w14:paraId="011E2ADB" w14:textId="747C9881" w:rsidR="009358E7" w:rsidRPr="00812FFB" w:rsidRDefault="009358E7" w:rsidP="00F64F0D">
            <w:pPr>
              <w:rPr>
                <w:b/>
                <w:bCs/>
                <w:sz w:val="20"/>
                <w:szCs w:val="20"/>
                <w:lang w:val="en-US"/>
              </w:rPr>
            </w:pPr>
            <w:r w:rsidRPr="00812FFB">
              <w:rPr>
                <w:sz w:val="20"/>
                <w:szCs w:val="20"/>
              </w:rPr>
              <w:t>Cost of retrofitting Green Buildings</w:t>
            </w:r>
          </w:p>
        </w:tc>
        <w:tc>
          <w:tcPr>
            <w:tcW w:w="1559" w:type="dxa"/>
            <w:tcBorders>
              <w:top w:val="single" w:sz="8" w:space="0" w:color="auto"/>
              <w:left w:val="nil"/>
              <w:bottom w:val="single" w:sz="8" w:space="0" w:color="auto"/>
              <w:right w:val="single" w:sz="8" w:space="0" w:color="auto"/>
            </w:tcBorders>
            <w:shd w:val="clear" w:color="auto" w:fill="auto"/>
          </w:tcPr>
          <w:p w14:paraId="7D5EB87F" w14:textId="6AF3856C" w:rsidR="009358E7" w:rsidRPr="00812FFB" w:rsidRDefault="009358E7" w:rsidP="009358E7">
            <w:pPr>
              <w:jc w:val="center"/>
              <w:rPr>
                <w:b/>
                <w:bCs/>
                <w:sz w:val="20"/>
                <w:szCs w:val="20"/>
                <w:lang w:val="en-US"/>
              </w:rPr>
            </w:pPr>
            <w:r w:rsidRPr="00812FFB">
              <w:rPr>
                <w:sz w:val="20"/>
                <w:szCs w:val="20"/>
              </w:rPr>
              <w:t>Energy</w:t>
            </w:r>
          </w:p>
        </w:tc>
        <w:tc>
          <w:tcPr>
            <w:tcW w:w="5529" w:type="dxa"/>
            <w:tcBorders>
              <w:top w:val="single" w:sz="8" w:space="0" w:color="auto"/>
              <w:left w:val="nil"/>
              <w:bottom w:val="single" w:sz="8" w:space="0" w:color="auto"/>
              <w:right w:val="single" w:sz="8" w:space="0" w:color="auto"/>
            </w:tcBorders>
            <w:shd w:val="clear" w:color="auto" w:fill="auto"/>
          </w:tcPr>
          <w:p w14:paraId="35D8CF08" w14:textId="1B52641E" w:rsidR="009358E7" w:rsidRPr="00812FFB" w:rsidRDefault="009358E7" w:rsidP="00F64F0D">
            <w:pPr>
              <w:rPr>
                <w:b/>
                <w:bCs/>
                <w:sz w:val="20"/>
                <w:szCs w:val="20"/>
                <w:lang w:val="en-US"/>
              </w:rPr>
            </w:pPr>
            <w:r w:rsidRPr="00812FFB">
              <w:rPr>
                <w:sz w:val="20"/>
                <w:szCs w:val="20"/>
              </w:rPr>
              <w:t xml:space="preserve">Percentage Increase in number of Green Mark certified buildings on campus by 2030 * (Office, educational and support facilities GFA on campus * Cost of retrofitting a Green Mark certified Office, educational and support facility in NUS + Residential GFA on Campus * Cost of retrofitting a Green Mark certified Residence in NUS) </w:t>
            </w:r>
          </w:p>
        </w:tc>
      </w:tr>
      <w:tr w:rsidR="009358E7" w:rsidRPr="00812FFB" w14:paraId="63BB69E0" w14:textId="77777777" w:rsidTr="00F64F0D">
        <w:trPr>
          <w:trHeight w:val="320"/>
        </w:trPr>
        <w:tc>
          <w:tcPr>
            <w:tcW w:w="3534" w:type="dxa"/>
            <w:tcBorders>
              <w:top w:val="single" w:sz="8" w:space="0" w:color="auto"/>
              <w:left w:val="single" w:sz="8" w:space="0" w:color="auto"/>
              <w:bottom w:val="single" w:sz="8" w:space="0" w:color="auto"/>
              <w:right w:val="single" w:sz="8" w:space="0" w:color="auto"/>
            </w:tcBorders>
            <w:shd w:val="clear" w:color="auto" w:fill="DEEAF6" w:themeFill="accent5" w:themeFillTint="33"/>
          </w:tcPr>
          <w:p w14:paraId="2943642E" w14:textId="42D78B52" w:rsidR="009358E7" w:rsidRPr="00812FFB" w:rsidRDefault="009358E7" w:rsidP="00F64F0D">
            <w:pPr>
              <w:rPr>
                <w:b/>
                <w:bCs/>
                <w:sz w:val="20"/>
                <w:szCs w:val="20"/>
                <w:lang w:val="en-US"/>
              </w:rPr>
            </w:pPr>
            <w:r w:rsidRPr="00812FFB">
              <w:rPr>
                <w:sz w:val="20"/>
                <w:szCs w:val="20"/>
              </w:rPr>
              <w:t>Cost of installing wind turbines and Solar PVs</w:t>
            </w:r>
          </w:p>
        </w:tc>
        <w:tc>
          <w:tcPr>
            <w:tcW w:w="1559" w:type="dxa"/>
            <w:tcBorders>
              <w:top w:val="single" w:sz="8" w:space="0" w:color="auto"/>
              <w:left w:val="nil"/>
              <w:bottom w:val="single" w:sz="8" w:space="0" w:color="auto"/>
              <w:right w:val="single" w:sz="8" w:space="0" w:color="auto"/>
            </w:tcBorders>
            <w:shd w:val="clear" w:color="auto" w:fill="DEEAF6" w:themeFill="accent5" w:themeFillTint="33"/>
          </w:tcPr>
          <w:p w14:paraId="1966F4E2" w14:textId="62089A02" w:rsidR="009358E7" w:rsidRPr="00812FFB" w:rsidRDefault="009358E7" w:rsidP="009358E7">
            <w:pPr>
              <w:jc w:val="center"/>
              <w:rPr>
                <w:b/>
                <w:bCs/>
                <w:sz w:val="20"/>
                <w:szCs w:val="20"/>
                <w:lang w:val="en-US"/>
              </w:rPr>
            </w:pPr>
            <w:r w:rsidRPr="00812FFB">
              <w:rPr>
                <w:sz w:val="20"/>
                <w:szCs w:val="20"/>
              </w:rPr>
              <w:t>Energy</w:t>
            </w:r>
          </w:p>
        </w:tc>
        <w:tc>
          <w:tcPr>
            <w:tcW w:w="5529" w:type="dxa"/>
            <w:tcBorders>
              <w:top w:val="single" w:sz="8" w:space="0" w:color="auto"/>
              <w:left w:val="nil"/>
              <w:bottom w:val="single" w:sz="8" w:space="0" w:color="auto"/>
              <w:right w:val="single" w:sz="8" w:space="0" w:color="auto"/>
            </w:tcBorders>
            <w:shd w:val="clear" w:color="auto" w:fill="DEEAF6" w:themeFill="accent5" w:themeFillTint="33"/>
          </w:tcPr>
          <w:p w14:paraId="7F093B07" w14:textId="77777777" w:rsidR="009358E7" w:rsidRPr="00812FFB" w:rsidRDefault="009358E7" w:rsidP="00F64F0D">
            <w:pPr>
              <w:rPr>
                <w:sz w:val="20"/>
                <w:szCs w:val="20"/>
              </w:rPr>
            </w:pPr>
            <w:r w:rsidRPr="00812FFB">
              <w:rPr>
                <w:sz w:val="20"/>
                <w:szCs w:val="20"/>
              </w:rPr>
              <w:t>Required kilowatt Peak =</w:t>
            </w:r>
          </w:p>
          <w:p w14:paraId="202A88DC" w14:textId="77777777" w:rsidR="009358E7" w:rsidRPr="00812FFB" w:rsidRDefault="009358E7" w:rsidP="00F64F0D">
            <w:pPr>
              <w:rPr>
                <w:sz w:val="20"/>
                <w:szCs w:val="20"/>
              </w:rPr>
            </w:pPr>
            <w:r w:rsidRPr="00812FFB">
              <w:rPr>
                <w:sz w:val="20"/>
                <w:szCs w:val="20"/>
              </w:rPr>
              <w:t>Target Electricity Supply /</w:t>
            </w:r>
          </w:p>
          <w:p w14:paraId="1AD12994" w14:textId="77777777" w:rsidR="009358E7" w:rsidRPr="00812FFB" w:rsidRDefault="009358E7" w:rsidP="00F64F0D">
            <w:pPr>
              <w:rPr>
                <w:sz w:val="20"/>
                <w:szCs w:val="20"/>
              </w:rPr>
            </w:pPr>
            <w:r w:rsidRPr="00812FFB">
              <w:rPr>
                <w:sz w:val="20"/>
                <w:szCs w:val="20"/>
              </w:rPr>
              <w:t>(Number of Days *</w:t>
            </w:r>
          </w:p>
          <w:p w14:paraId="6534DB72" w14:textId="77777777" w:rsidR="009358E7" w:rsidRPr="00812FFB" w:rsidRDefault="009358E7" w:rsidP="00F64F0D">
            <w:pPr>
              <w:rPr>
                <w:sz w:val="20"/>
                <w:szCs w:val="20"/>
              </w:rPr>
            </w:pPr>
            <w:r w:rsidRPr="00812FFB">
              <w:rPr>
                <w:sz w:val="20"/>
                <w:szCs w:val="20"/>
              </w:rPr>
              <w:t>Number of hours in a day *</w:t>
            </w:r>
          </w:p>
          <w:p w14:paraId="37D38599" w14:textId="77777777" w:rsidR="009358E7" w:rsidRPr="00812FFB" w:rsidRDefault="009358E7" w:rsidP="00F64F0D">
            <w:pPr>
              <w:rPr>
                <w:sz w:val="20"/>
                <w:szCs w:val="20"/>
              </w:rPr>
            </w:pPr>
            <w:r w:rsidRPr="00812FFB">
              <w:rPr>
                <w:sz w:val="20"/>
                <w:szCs w:val="20"/>
              </w:rPr>
              <w:t>Estimated Capacity Factor)</w:t>
            </w:r>
          </w:p>
          <w:p w14:paraId="48B9089C" w14:textId="77777777" w:rsidR="009358E7" w:rsidRPr="00812FFB" w:rsidRDefault="009358E7" w:rsidP="00F64F0D">
            <w:pPr>
              <w:rPr>
                <w:sz w:val="20"/>
                <w:szCs w:val="20"/>
              </w:rPr>
            </w:pPr>
          </w:p>
          <w:p w14:paraId="1DCD301C" w14:textId="7D8C3431" w:rsidR="009358E7" w:rsidRPr="00812FFB" w:rsidRDefault="009358E7" w:rsidP="00F64F0D">
            <w:pPr>
              <w:rPr>
                <w:b/>
                <w:bCs/>
                <w:sz w:val="20"/>
                <w:szCs w:val="20"/>
                <w:lang w:val="en-US"/>
              </w:rPr>
            </w:pPr>
            <w:r w:rsidRPr="00812FFB">
              <w:rPr>
                <w:sz w:val="20"/>
                <w:szCs w:val="20"/>
              </w:rPr>
              <w:t>Required Kilowatt Peak * Cost per kilowatt Peak</w:t>
            </w:r>
          </w:p>
        </w:tc>
      </w:tr>
    </w:tbl>
    <w:p w14:paraId="5C3BB426" w14:textId="52ACE17A" w:rsidR="00483CA9" w:rsidRPr="00812FFB" w:rsidRDefault="00F64F0D" w:rsidP="00904897">
      <w:pPr>
        <w:pStyle w:val="Caption"/>
        <w:jc w:val="center"/>
        <w:rPr>
          <w:color w:val="auto"/>
          <w:sz w:val="20"/>
          <w:szCs w:val="20"/>
          <w:u w:val="single"/>
        </w:rPr>
      </w:pPr>
      <w:r w:rsidRPr="00812FFB">
        <w:rPr>
          <w:color w:val="auto"/>
          <w:sz w:val="20"/>
          <w:szCs w:val="20"/>
          <w:u w:val="single"/>
        </w:rPr>
        <w:t xml:space="preserve">Table </w:t>
      </w:r>
      <w:r w:rsidRPr="00812FFB">
        <w:rPr>
          <w:color w:val="auto"/>
          <w:sz w:val="20"/>
          <w:szCs w:val="20"/>
          <w:u w:val="single"/>
        </w:rPr>
        <w:fldChar w:fldCharType="begin"/>
      </w:r>
      <w:r w:rsidRPr="00812FFB">
        <w:rPr>
          <w:color w:val="auto"/>
          <w:sz w:val="20"/>
          <w:szCs w:val="20"/>
          <w:u w:val="single"/>
        </w:rPr>
        <w:instrText xml:space="preserve"> SEQ Table \* ARABIC </w:instrText>
      </w:r>
      <w:r w:rsidRPr="00812FFB">
        <w:rPr>
          <w:color w:val="auto"/>
          <w:sz w:val="20"/>
          <w:szCs w:val="20"/>
          <w:u w:val="single"/>
        </w:rPr>
        <w:fldChar w:fldCharType="separate"/>
      </w:r>
      <w:r w:rsidRPr="00812FFB">
        <w:rPr>
          <w:color w:val="auto"/>
          <w:sz w:val="20"/>
          <w:szCs w:val="20"/>
          <w:u w:val="single"/>
        </w:rPr>
        <w:t>1</w:t>
      </w:r>
      <w:r w:rsidRPr="00812FFB">
        <w:rPr>
          <w:color w:val="auto"/>
          <w:sz w:val="20"/>
          <w:szCs w:val="20"/>
          <w:u w:val="single"/>
        </w:rPr>
        <w:fldChar w:fldCharType="end"/>
      </w:r>
      <w:r w:rsidRPr="00812FFB">
        <w:rPr>
          <w:color w:val="auto"/>
          <w:sz w:val="20"/>
          <w:szCs w:val="20"/>
          <w:u w:val="single"/>
        </w:rPr>
        <w:t>: Investment Cost Assumptions across different key elements</w:t>
      </w:r>
    </w:p>
    <w:p w14:paraId="020EF6E5" w14:textId="4D368919" w:rsidR="00097EE1" w:rsidRPr="00812FFB" w:rsidRDefault="00483CA9" w:rsidP="00F64F0D">
      <w:pPr>
        <w:pStyle w:val="Heading3"/>
        <w:rPr>
          <w:sz w:val="20"/>
          <w:szCs w:val="20"/>
        </w:rPr>
      </w:pPr>
      <w:bookmarkStart w:id="12" w:name="_Toc150204547"/>
      <w:r w:rsidRPr="00812FFB">
        <w:rPr>
          <w:sz w:val="20"/>
          <w:szCs w:val="20"/>
        </w:rPr>
        <w:lastRenderedPageBreak/>
        <w:t>Operating</w:t>
      </w:r>
      <w:r w:rsidR="00EA7313" w:rsidRPr="00812FFB">
        <w:rPr>
          <w:sz w:val="20"/>
          <w:szCs w:val="20"/>
        </w:rPr>
        <w:t xml:space="preserve"> Cost Assumptions</w:t>
      </w:r>
      <w:bookmarkEnd w:id="12"/>
    </w:p>
    <w:tbl>
      <w:tblPr>
        <w:tblStyle w:val="TableGrid"/>
        <w:tblW w:w="10620" w:type="dxa"/>
        <w:tblInd w:w="-5" w:type="dxa"/>
        <w:tblLook w:val="04A0" w:firstRow="1" w:lastRow="0" w:firstColumn="1" w:lastColumn="0" w:noHBand="0" w:noVBand="1"/>
      </w:tblPr>
      <w:tblGrid>
        <w:gridCol w:w="3544"/>
        <w:gridCol w:w="1559"/>
        <w:gridCol w:w="5517"/>
      </w:tblGrid>
      <w:tr w:rsidR="000D45B6" w:rsidRPr="00812FFB" w14:paraId="76998B23" w14:textId="77777777" w:rsidTr="00EA7313">
        <w:tc>
          <w:tcPr>
            <w:tcW w:w="3544" w:type="dxa"/>
            <w:shd w:val="clear" w:color="auto" w:fill="8EAADB" w:themeFill="accent1" w:themeFillTint="99"/>
          </w:tcPr>
          <w:p w14:paraId="43D7B9D4" w14:textId="77777777" w:rsidR="00F5453D" w:rsidRPr="00812FFB" w:rsidRDefault="00F5453D" w:rsidP="00EA7313">
            <w:pPr>
              <w:jc w:val="center"/>
              <w:rPr>
                <w:b/>
                <w:bCs/>
                <w:sz w:val="20"/>
                <w:szCs w:val="20"/>
              </w:rPr>
            </w:pPr>
            <w:r w:rsidRPr="00812FFB">
              <w:rPr>
                <w:b/>
                <w:bCs/>
                <w:sz w:val="20"/>
                <w:szCs w:val="20"/>
              </w:rPr>
              <w:t>Investment / Cost</w:t>
            </w:r>
          </w:p>
          <w:p w14:paraId="7622BA95" w14:textId="77777777" w:rsidR="0043529B" w:rsidRPr="00812FFB" w:rsidRDefault="0043529B" w:rsidP="00EA7313">
            <w:pPr>
              <w:jc w:val="center"/>
              <w:rPr>
                <w:b/>
                <w:bCs/>
                <w:sz w:val="20"/>
                <w:szCs w:val="20"/>
              </w:rPr>
            </w:pPr>
          </w:p>
        </w:tc>
        <w:tc>
          <w:tcPr>
            <w:tcW w:w="1559" w:type="dxa"/>
            <w:shd w:val="clear" w:color="auto" w:fill="8EAADB" w:themeFill="accent1" w:themeFillTint="99"/>
          </w:tcPr>
          <w:p w14:paraId="2D5CE5E2" w14:textId="77777777" w:rsidR="00F5453D" w:rsidRPr="00812FFB" w:rsidRDefault="00F5453D" w:rsidP="00EA7313">
            <w:pPr>
              <w:jc w:val="center"/>
              <w:rPr>
                <w:b/>
                <w:bCs/>
                <w:sz w:val="20"/>
                <w:szCs w:val="20"/>
              </w:rPr>
            </w:pPr>
            <w:r w:rsidRPr="00812FFB">
              <w:rPr>
                <w:b/>
                <w:bCs/>
                <w:sz w:val="20"/>
                <w:szCs w:val="20"/>
              </w:rPr>
              <w:t>Category</w:t>
            </w:r>
          </w:p>
        </w:tc>
        <w:tc>
          <w:tcPr>
            <w:tcW w:w="5517" w:type="dxa"/>
            <w:shd w:val="clear" w:color="auto" w:fill="8EAADB" w:themeFill="accent1" w:themeFillTint="99"/>
          </w:tcPr>
          <w:p w14:paraId="5FEBDD66" w14:textId="77777777" w:rsidR="00F5453D" w:rsidRPr="00812FFB" w:rsidRDefault="00F5453D" w:rsidP="00EA7313">
            <w:pPr>
              <w:jc w:val="center"/>
              <w:rPr>
                <w:b/>
                <w:bCs/>
                <w:sz w:val="20"/>
                <w:szCs w:val="20"/>
              </w:rPr>
            </w:pPr>
            <w:r w:rsidRPr="00812FFB">
              <w:rPr>
                <w:b/>
                <w:bCs/>
                <w:sz w:val="20"/>
                <w:szCs w:val="20"/>
              </w:rPr>
              <w:t>Valuation Logic</w:t>
            </w:r>
          </w:p>
        </w:tc>
      </w:tr>
      <w:tr w:rsidR="000D45B6" w:rsidRPr="00812FFB" w14:paraId="27FB2C47" w14:textId="77777777" w:rsidTr="00EA7313">
        <w:tc>
          <w:tcPr>
            <w:tcW w:w="3544" w:type="dxa"/>
            <w:shd w:val="clear" w:color="auto" w:fill="DEEAF6" w:themeFill="accent5" w:themeFillTint="33"/>
          </w:tcPr>
          <w:p w14:paraId="2F6CBA17" w14:textId="1A2E2FCC" w:rsidR="00F5453D" w:rsidRPr="00812FFB" w:rsidRDefault="00F5453D" w:rsidP="004E6388">
            <w:pPr>
              <w:jc w:val="both"/>
              <w:rPr>
                <w:sz w:val="20"/>
                <w:szCs w:val="20"/>
              </w:rPr>
            </w:pPr>
            <w:r w:rsidRPr="00812FFB">
              <w:rPr>
                <w:sz w:val="20"/>
                <w:szCs w:val="20"/>
              </w:rPr>
              <w:t xml:space="preserve">Increase in maintenance costs arising from </w:t>
            </w:r>
            <w:r w:rsidR="00100E03" w:rsidRPr="00812FFB">
              <w:rPr>
                <w:sz w:val="20"/>
                <w:szCs w:val="20"/>
              </w:rPr>
              <w:t>green area increases</w:t>
            </w:r>
          </w:p>
        </w:tc>
        <w:tc>
          <w:tcPr>
            <w:tcW w:w="1559" w:type="dxa"/>
            <w:shd w:val="clear" w:color="auto" w:fill="DEEAF6" w:themeFill="accent5" w:themeFillTint="33"/>
          </w:tcPr>
          <w:p w14:paraId="792BC996" w14:textId="77777777" w:rsidR="00F5453D" w:rsidRPr="00812FFB" w:rsidRDefault="00F5453D" w:rsidP="00EA7313">
            <w:pPr>
              <w:jc w:val="center"/>
              <w:rPr>
                <w:sz w:val="20"/>
                <w:szCs w:val="20"/>
              </w:rPr>
            </w:pPr>
            <w:r w:rsidRPr="00812FFB">
              <w:rPr>
                <w:sz w:val="20"/>
                <w:szCs w:val="20"/>
              </w:rPr>
              <w:t>Greenery</w:t>
            </w:r>
          </w:p>
        </w:tc>
        <w:tc>
          <w:tcPr>
            <w:tcW w:w="5517" w:type="dxa"/>
            <w:shd w:val="clear" w:color="auto" w:fill="DEEAF6" w:themeFill="accent5" w:themeFillTint="33"/>
          </w:tcPr>
          <w:p w14:paraId="60D4D35F" w14:textId="7B9AB3FC" w:rsidR="00100E03" w:rsidRPr="00812FFB" w:rsidRDefault="004C1890" w:rsidP="004E6388">
            <w:pPr>
              <w:jc w:val="both"/>
              <w:rPr>
                <w:sz w:val="20"/>
                <w:szCs w:val="20"/>
              </w:rPr>
            </w:pPr>
            <w:r w:rsidRPr="00812FFB">
              <w:rPr>
                <w:sz w:val="20"/>
                <w:szCs w:val="20"/>
              </w:rPr>
              <w:t xml:space="preserve">Greenery </w:t>
            </w:r>
            <w:r w:rsidR="00F5453D" w:rsidRPr="00812FFB">
              <w:rPr>
                <w:sz w:val="20"/>
                <w:szCs w:val="20"/>
              </w:rPr>
              <w:t>Maintenance costs per m2</w:t>
            </w:r>
            <w:r w:rsidR="00171EB2" w:rsidRPr="00812FFB">
              <w:rPr>
                <w:sz w:val="20"/>
                <w:szCs w:val="20"/>
              </w:rPr>
              <w:t xml:space="preserve"> </w:t>
            </w:r>
            <w:r w:rsidR="00F5453D" w:rsidRPr="00812FFB">
              <w:rPr>
                <w:sz w:val="20"/>
                <w:szCs w:val="20"/>
              </w:rPr>
              <w:t>*</w:t>
            </w:r>
          </w:p>
          <w:p w14:paraId="56698B66" w14:textId="7213D553" w:rsidR="00F5453D" w:rsidRPr="00812FFB" w:rsidRDefault="004C1890" w:rsidP="004E6388">
            <w:pPr>
              <w:jc w:val="both"/>
              <w:rPr>
                <w:sz w:val="20"/>
                <w:szCs w:val="20"/>
              </w:rPr>
            </w:pPr>
            <w:r w:rsidRPr="00812FFB">
              <w:rPr>
                <w:sz w:val="20"/>
                <w:szCs w:val="20"/>
              </w:rPr>
              <w:t>(</w:t>
            </w:r>
            <w:r w:rsidR="00F5453D" w:rsidRPr="00812FFB">
              <w:rPr>
                <w:sz w:val="20"/>
                <w:szCs w:val="20"/>
              </w:rPr>
              <w:t>Change in green space</w:t>
            </w:r>
            <w:r w:rsidR="00100E03" w:rsidRPr="00812FFB">
              <w:rPr>
                <w:sz w:val="20"/>
                <w:szCs w:val="20"/>
              </w:rPr>
              <w:t xml:space="preserve"> from vertical green</w:t>
            </w:r>
            <w:r w:rsidRPr="00812FFB">
              <w:rPr>
                <w:sz w:val="20"/>
                <w:szCs w:val="20"/>
              </w:rPr>
              <w:t xml:space="preserve"> +</w:t>
            </w:r>
          </w:p>
          <w:p w14:paraId="4730AE27" w14:textId="77777777" w:rsidR="004C1890" w:rsidRPr="00812FFB" w:rsidRDefault="004C1890" w:rsidP="004E6388">
            <w:pPr>
              <w:jc w:val="both"/>
              <w:rPr>
                <w:sz w:val="20"/>
                <w:szCs w:val="20"/>
              </w:rPr>
            </w:pPr>
            <w:r w:rsidRPr="00812FFB">
              <w:rPr>
                <w:sz w:val="20"/>
                <w:szCs w:val="20"/>
              </w:rPr>
              <w:t>Change In green space from rooftop green +</w:t>
            </w:r>
          </w:p>
          <w:p w14:paraId="56C37028" w14:textId="77777777" w:rsidR="004C1890" w:rsidRPr="00812FFB" w:rsidRDefault="004C1890" w:rsidP="004E6388">
            <w:pPr>
              <w:jc w:val="both"/>
              <w:rPr>
                <w:sz w:val="20"/>
                <w:szCs w:val="20"/>
              </w:rPr>
            </w:pPr>
            <w:r w:rsidRPr="00812FFB">
              <w:rPr>
                <w:sz w:val="20"/>
                <w:szCs w:val="20"/>
              </w:rPr>
              <w:t>Change in green space from land greenery)</w:t>
            </w:r>
          </w:p>
          <w:p w14:paraId="1FE17967" w14:textId="09B14E41" w:rsidR="004C1890" w:rsidRPr="00812FFB" w:rsidRDefault="004C1890" w:rsidP="004E6388">
            <w:pPr>
              <w:jc w:val="both"/>
              <w:rPr>
                <w:sz w:val="20"/>
                <w:szCs w:val="20"/>
              </w:rPr>
            </w:pPr>
          </w:p>
        </w:tc>
      </w:tr>
      <w:tr w:rsidR="00F5453D" w:rsidRPr="00812FFB" w14:paraId="5B6F2C74" w14:textId="77777777" w:rsidTr="00EA7313">
        <w:tc>
          <w:tcPr>
            <w:tcW w:w="3544" w:type="dxa"/>
          </w:tcPr>
          <w:p w14:paraId="15AA5690" w14:textId="77777777" w:rsidR="00F5453D" w:rsidRPr="00812FFB" w:rsidRDefault="00F5453D" w:rsidP="004E6388">
            <w:pPr>
              <w:jc w:val="both"/>
              <w:rPr>
                <w:sz w:val="20"/>
                <w:szCs w:val="20"/>
              </w:rPr>
            </w:pPr>
            <w:r w:rsidRPr="00812FFB">
              <w:rPr>
                <w:sz w:val="20"/>
                <w:szCs w:val="20"/>
              </w:rPr>
              <w:t>Increase in cost of maintenance of Public Spaces</w:t>
            </w:r>
          </w:p>
        </w:tc>
        <w:tc>
          <w:tcPr>
            <w:tcW w:w="1559" w:type="dxa"/>
          </w:tcPr>
          <w:p w14:paraId="42C7979F" w14:textId="77777777" w:rsidR="00F5453D" w:rsidRPr="00812FFB" w:rsidRDefault="00F5453D" w:rsidP="00EA7313">
            <w:pPr>
              <w:jc w:val="center"/>
              <w:rPr>
                <w:sz w:val="20"/>
                <w:szCs w:val="20"/>
              </w:rPr>
            </w:pPr>
            <w:r w:rsidRPr="00812FFB">
              <w:rPr>
                <w:sz w:val="20"/>
                <w:szCs w:val="20"/>
              </w:rPr>
              <w:t>Public Space</w:t>
            </w:r>
          </w:p>
        </w:tc>
        <w:tc>
          <w:tcPr>
            <w:tcW w:w="5517" w:type="dxa"/>
          </w:tcPr>
          <w:p w14:paraId="0CF658CB" w14:textId="4600E10B" w:rsidR="00100E03" w:rsidRPr="00812FFB" w:rsidRDefault="00F5453D" w:rsidP="004E6388">
            <w:pPr>
              <w:jc w:val="both"/>
              <w:rPr>
                <w:sz w:val="20"/>
                <w:szCs w:val="20"/>
              </w:rPr>
            </w:pPr>
            <w:r w:rsidRPr="00812FFB">
              <w:rPr>
                <w:sz w:val="20"/>
                <w:szCs w:val="20"/>
              </w:rPr>
              <w:t>Cost per m2 of park maintenance *</w:t>
            </w:r>
          </w:p>
          <w:p w14:paraId="15B6CC21" w14:textId="3956D175" w:rsidR="00F5453D" w:rsidRPr="00812FFB" w:rsidRDefault="004C1890" w:rsidP="004E6388">
            <w:pPr>
              <w:jc w:val="both"/>
              <w:rPr>
                <w:sz w:val="20"/>
                <w:szCs w:val="20"/>
              </w:rPr>
            </w:pPr>
            <w:r w:rsidRPr="00812FFB">
              <w:rPr>
                <w:sz w:val="20"/>
                <w:szCs w:val="20"/>
              </w:rPr>
              <w:t>Targeted</w:t>
            </w:r>
            <w:r w:rsidR="00F5453D" w:rsidRPr="00812FFB">
              <w:rPr>
                <w:sz w:val="20"/>
                <w:szCs w:val="20"/>
              </w:rPr>
              <w:t xml:space="preserve"> increase in public space area</w:t>
            </w:r>
          </w:p>
          <w:p w14:paraId="7E108946" w14:textId="5FBDBC86" w:rsidR="00100E03" w:rsidRPr="00812FFB" w:rsidRDefault="00100E03" w:rsidP="004E6388">
            <w:pPr>
              <w:jc w:val="both"/>
              <w:rPr>
                <w:sz w:val="20"/>
                <w:szCs w:val="20"/>
              </w:rPr>
            </w:pPr>
          </w:p>
        </w:tc>
      </w:tr>
      <w:tr w:rsidR="000D45B6" w:rsidRPr="00812FFB" w14:paraId="1CAD59B1" w14:textId="77777777" w:rsidTr="00EA7313">
        <w:tc>
          <w:tcPr>
            <w:tcW w:w="3544" w:type="dxa"/>
            <w:shd w:val="clear" w:color="auto" w:fill="DEEAF6" w:themeFill="accent5" w:themeFillTint="33"/>
          </w:tcPr>
          <w:p w14:paraId="39169BE8" w14:textId="77777777" w:rsidR="00F5453D" w:rsidRPr="00812FFB" w:rsidRDefault="00F5453D" w:rsidP="004E6388">
            <w:pPr>
              <w:jc w:val="both"/>
              <w:rPr>
                <w:sz w:val="20"/>
                <w:szCs w:val="20"/>
              </w:rPr>
            </w:pPr>
            <w:r w:rsidRPr="00812FFB">
              <w:rPr>
                <w:sz w:val="20"/>
                <w:szCs w:val="20"/>
              </w:rPr>
              <w:t>Maintenance cost for construction of Monorail</w:t>
            </w:r>
          </w:p>
        </w:tc>
        <w:tc>
          <w:tcPr>
            <w:tcW w:w="1559" w:type="dxa"/>
            <w:shd w:val="clear" w:color="auto" w:fill="DEEAF6" w:themeFill="accent5" w:themeFillTint="33"/>
          </w:tcPr>
          <w:p w14:paraId="3367F7C3" w14:textId="77777777" w:rsidR="00F5453D" w:rsidRPr="00812FFB" w:rsidRDefault="00F5453D" w:rsidP="00EA7313">
            <w:pPr>
              <w:jc w:val="center"/>
              <w:rPr>
                <w:sz w:val="20"/>
                <w:szCs w:val="20"/>
              </w:rPr>
            </w:pPr>
            <w:r w:rsidRPr="00812FFB">
              <w:rPr>
                <w:sz w:val="20"/>
                <w:szCs w:val="20"/>
              </w:rPr>
              <w:t>Mobility</w:t>
            </w:r>
          </w:p>
        </w:tc>
        <w:tc>
          <w:tcPr>
            <w:tcW w:w="5517" w:type="dxa"/>
            <w:shd w:val="clear" w:color="auto" w:fill="DEEAF6" w:themeFill="accent5" w:themeFillTint="33"/>
          </w:tcPr>
          <w:p w14:paraId="5B18421A" w14:textId="77777777" w:rsidR="00F5453D" w:rsidRPr="00812FFB" w:rsidRDefault="004C1890" w:rsidP="004E6388">
            <w:pPr>
              <w:jc w:val="both"/>
              <w:rPr>
                <w:sz w:val="20"/>
                <w:szCs w:val="20"/>
              </w:rPr>
            </w:pPr>
            <w:r w:rsidRPr="00812FFB">
              <w:rPr>
                <w:sz w:val="20"/>
                <w:szCs w:val="20"/>
              </w:rPr>
              <w:t xml:space="preserve">Maintenance cost per km of </w:t>
            </w:r>
            <w:r w:rsidR="00874D43" w:rsidRPr="00812FFB">
              <w:rPr>
                <w:sz w:val="20"/>
                <w:szCs w:val="20"/>
              </w:rPr>
              <w:t>mon</w:t>
            </w:r>
            <w:r w:rsidR="00924E69" w:rsidRPr="00812FFB">
              <w:rPr>
                <w:sz w:val="20"/>
                <w:szCs w:val="20"/>
              </w:rPr>
              <w:t>orail path *</w:t>
            </w:r>
          </w:p>
          <w:p w14:paraId="78ECA4D5" w14:textId="77777777" w:rsidR="00924E69" w:rsidRPr="00812FFB" w:rsidRDefault="00924E69" w:rsidP="004E6388">
            <w:pPr>
              <w:jc w:val="both"/>
              <w:rPr>
                <w:sz w:val="20"/>
                <w:szCs w:val="20"/>
              </w:rPr>
            </w:pPr>
            <w:r w:rsidRPr="00812FFB">
              <w:rPr>
                <w:sz w:val="20"/>
                <w:szCs w:val="20"/>
              </w:rPr>
              <w:t>Targeted monorail length</w:t>
            </w:r>
          </w:p>
          <w:p w14:paraId="3698BD92" w14:textId="59039182" w:rsidR="00924E69" w:rsidRPr="00812FFB" w:rsidRDefault="00924E69" w:rsidP="004E6388">
            <w:pPr>
              <w:jc w:val="both"/>
              <w:rPr>
                <w:sz w:val="20"/>
                <w:szCs w:val="20"/>
              </w:rPr>
            </w:pPr>
          </w:p>
        </w:tc>
      </w:tr>
      <w:tr w:rsidR="00F5453D" w:rsidRPr="00812FFB" w14:paraId="4C3FF635" w14:textId="77777777" w:rsidTr="00EA7313">
        <w:tc>
          <w:tcPr>
            <w:tcW w:w="3544" w:type="dxa"/>
          </w:tcPr>
          <w:p w14:paraId="41569200" w14:textId="104CEAC6" w:rsidR="00F5453D" w:rsidRPr="00812FFB" w:rsidRDefault="00631A0A" w:rsidP="004E6388">
            <w:pPr>
              <w:jc w:val="both"/>
              <w:rPr>
                <w:sz w:val="20"/>
                <w:szCs w:val="20"/>
              </w:rPr>
            </w:pPr>
            <w:r w:rsidRPr="00812FFB">
              <w:rPr>
                <w:sz w:val="20"/>
                <w:szCs w:val="20"/>
              </w:rPr>
              <w:t xml:space="preserve">Water </w:t>
            </w:r>
            <w:r w:rsidR="00E723FF" w:rsidRPr="00812FFB">
              <w:rPr>
                <w:sz w:val="20"/>
                <w:szCs w:val="20"/>
              </w:rPr>
              <w:t xml:space="preserve">generation </w:t>
            </w:r>
            <w:r w:rsidR="003A6413" w:rsidRPr="00812FFB">
              <w:rPr>
                <w:sz w:val="20"/>
                <w:szCs w:val="20"/>
              </w:rPr>
              <w:t>maintenance cost from rainwater harvesting</w:t>
            </w:r>
          </w:p>
        </w:tc>
        <w:tc>
          <w:tcPr>
            <w:tcW w:w="1559" w:type="dxa"/>
          </w:tcPr>
          <w:p w14:paraId="312BD468" w14:textId="4064AB55" w:rsidR="00F5453D" w:rsidRPr="00812FFB" w:rsidRDefault="00183488" w:rsidP="00EA7313">
            <w:pPr>
              <w:jc w:val="center"/>
              <w:rPr>
                <w:sz w:val="20"/>
                <w:szCs w:val="20"/>
              </w:rPr>
            </w:pPr>
            <w:r w:rsidRPr="00812FFB">
              <w:rPr>
                <w:sz w:val="20"/>
                <w:szCs w:val="20"/>
              </w:rPr>
              <w:t>Water</w:t>
            </w:r>
          </w:p>
        </w:tc>
        <w:tc>
          <w:tcPr>
            <w:tcW w:w="5517" w:type="dxa"/>
          </w:tcPr>
          <w:p w14:paraId="61A3E354" w14:textId="77777777" w:rsidR="00F5453D" w:rsidRPr="00812FFB" w:rsidRDefault="00AE79FA" w:rsidP="004E6388">
            <w:pPr>
              <w:jc w:val="both"/>
              <w:rPr>
                <w:sz w:val="20"/>
                <w:szCs w:val="20"/>
              </w:rPr>
            </w:pPr>
            <w:r w:rsidRPr="00812FFB">
              <w:rPr>
                <w:sz w:val="20"/>
                <w:szCs w:val="20"/>
              </w:rPr>
              <w:t xml:space="preserve">Electricity Costs of Maintaining </w:t>
            </w:r>
            <w:r w:rsidR="00873274" w:rsidRPr="00812FFB">
              <w:rPr>
                <w:sz w:val="20"/>
                <w:szCs w:val="20"/>
              </w:rPr>
              <w:t xml:space="preserve">Rainwater Catchment = </w:t>
            </w:r>
          </w:p>
          <w:p w14:paraId="43137380" w14:textId="7ADC35ED" w:rsidR="00873274" w:rsidRPr="00812FFB" w:rsidRDefault="009B54BE" w:rsidP="004E6388">
            <w:pPr>
              <w:jc w:val="both"/>
              <w:rPr>
                <w:sz w:val="20"/>
                <w:szCs w:val="20"/>
              </w:rPr>
            </w:pPr>
            <w:r w:rsidRPr="00812FFB">
              <w:rPr>
                <w:sz w:val="20"/>
                <w:szCs w:val="20"/>
              </w:rPr>
              <w:t xml:space="preserve">Target supply of rainwater from </w:t>
            </w:r>
            <w:r w:rsidR="00171EB2" w:rsidRPr="00812FFB">
              <w:rPr>
                <w:sz w:val="20"/>
                <w:szCs w:val="20"/>
              </w:rPr>
              <w:t>Rainwater harvesting *</w:t>
            </w:r>
          </w:p>
          <w:p w14:paraId="25711E85" w14:textId="6B9CFAF1" w:rsidR="005E7DCD" w:rsidRPr="00812FFB" w:rsidRDefault="00135522" w:rsidP="004E6388">
            <w:pPr>
              <w:jc w:val="both"/>
              <w:rPr>
                <w:sz w:val="20"/>
                <w:szCs w:val="20"/>
              </w:rPr>
            </w:pPr>
            <w:r w:rsidRPr="00812FFB">
              <w:rPr>
                <w:sz w:val="20"/>
                <w:szCs w:val="20"/>
              </w:rPr>
              <w:t xml:space="preserve">kWh needed per m3 </w:t>
            </w:r>
            <w:r w:rsidR="0027792C" w:rsidRPr="00812FFB">
              <w:rPr>
                <w:sz w:val="20"/>
                <w:szCs w:val="20"/>
              </w:rPr>
              <w:t>of target supply</w:t>
            </w:r>
            <w:r w:rsidR="00621609" w:rsidRPr="00812FFB">
              <w:rPr>
                <w:sz w:val="20"/>
                <w:szCs w:val="20"/>
              </w:rPr>
              <w:t xml:space="preserve"> *</w:t>
            </w:r>
          </w:p>
          <w:p w14:paraId="29F46C8E" w14:textId="27823CBA" w:rsidR="00621609" w:rsidRPr="00812FFB" w:rsidRDefault="00621609" w:rsidP="004E6388">
            <w:pPr>
              <w:jc w:val="both"/>
              <w:rPr>
                <w:sz w:val="20"/>
                <w:szCs w:val="20"/>
              </w:rPr>
            </w:pPr>
            <w:r w:rsidRPr="00812FFB">
              <w:rPr>
                <w:sz w:val="20"/>
                <w:szCs w:val="20"/>
              </w:rPr>
              <w:t>Electricity Tariff per kWh</w:t>
            </w:r>
          </w:p>
          <w:p w14:paraId="41CD49F3" w14:textId="77777777" w:rsidR="00171EB2" w:rsidRPr="00812FFB" w:rsidRDefault="00171EB2" w:rsidP="004E6388">
            <w:pPr>
              <w:jc w:val="both"/>
              <w:rPr>
                <w:sz w:val="20"/>
                <w:szCs w:val="20"/>
              </w:rPr>
            </w:pPr>
          </w:p>
          <w:p w14:paraId="3D02BE19" w14:textId="54EE89D6" w:rsidR="00A86737" w:rsidRPr="00812FFB" w:rsidRDefault="00A86737" w:rsidP="004E6388">
            <w:pPr>
              <w:jc w:val="both"/>
              <w:rPr>
                <w:sz w:val="20"/>
                <w:szCs w:val="20"/>
              </w:rPr>
            </w:pPr>
            <w:r w:rsidRPr="00812FFB">
              <w:rPr>
                <w:sz w:val="20"/>
                <w:szCs w:val="20"/>
              </w:rPr>
              <w:t xml:space="preserve">Other maintenance costs = </w:t>
            </w:r>
          </w:p>
          <w:p w14:paraId="0B7652D7" w14:textId="730FB795" w:rsidR="00DE4EE4" w:rsidRPr="00812FFB" w:rsidRDefault="00DE4EE4" w:rsidP="004E6388">
            <w:pPr>
              <w:jc w:val="both"/>
              <w:rPr>
                <w:sz w:val="20"/>
                <w:szCs w:val="20"/>
              </w:rPr>
            </w:pPr>
            <w:r w:rsidRPr="00812FFB">
              <w:rPr>
                <w:sz w:val="20"/>
                <w:szCs w:val="20"/>
              </w:rPr>
              <w:t>A</w:t>
            </w:r>
            <w:r w:rsidR="00295713" w:rsidRPr="00812FFB">
              <w:rPr>
                <w:sz w:val="20"/>
                <w:szCs w:val="20"/>
              </w:rPr>
              <w:t>rea required for rainwater</w:t>
            </w:r>
            <w:r w:rsidR="008053F3" w:rsidRPr="00812FFB">
              <w:rPr>
                <w:sz w:val="20"/>
                <w:szCs w:val="20"/>
              </w:rPr>
              <w:t xml:space="preserve"> catchment *</w:t>
            </w:r>
            <w:r w:rsidRPr="00812FFB">
              <w:rPr>
                <w:sz w:val="20"/>
                <w:szCs w:val="20"/>
              </w:rPr>
              <w:t xml:space="preserve"> </w:t>
            </w:r>
          </w:p>
          <w:p w14:paraId="273250E3" w14:textId="77777777" w:rsidR="00873274" w:rsidRPr="00812FFB" w:rsidRDefault="00DE4EE4" w:rsidP="004E6388">
            <w:pPr>
              <w:jc w:val="both"/>
              <w:rPr>
                <w:sz w:val="20"/>
                <w:szCs w:val="20"/>
              </w:rPr>
            </w:pPr>
            <w:r w:rsidRPr="00812FFB">
              <w:rPr>
                <w:sz w:val="20"/>
                <w:szCs w:val="20"/>
              </w:rPr>
              <w:t>Maintenance cost per m2 of rainwater</w:t>
            </w:r>
          </w:p>
          <w:p w14:paraId="0B19FE38" w14:textId="77777777" w:rsidR="00A86737" w:rsidRPr="00812FFB" w:rsidRDefault="00A86737" w:rsidP="004E6388">
            <w:pPr>
              <w:jc w:val="both"/>
              <w:rPr>
                <w:sz w:val="20"/>
                <w:szCs w:val="20"/>
              </w:rPr>
            </w:pPr>
          </w:p>
          <w:p w14:paraId="79805B6A" w14:textId="70B20C5B" w:rsidR="00F5453D" w:rsidRPr="00812FFB" w:rsidRDefault="00A86737" w:rsidP="004E6388">
            <w:pPr>
              <w:jc w:val="both"/>
              <w:rPr>
                <w:sz w:val="20"/>
                <w:szCs w:val="20"/>
              </w:rPr>
            </w:pPr>
            <w:r w:rsidRPr="00812FFB">
              <w:rPr>
                <w:sz w:val="20"/>
                <w:szCs w:val="20"/>
              </w:rPr>
              <w:t>Electricity costs + Other maintenance costs</w:t>
            </w:r>
          </w:p>
        </w:tc>
      </w:tr>
      <w:tr w:rsidR="000D45B6" w:rsidRPr="00812FFB" w14:paraId="6848C977" w14:textId="77777777" w:rsidTr="00EA7313">
        <w:tc>
          <w:tcPr>
            <w:tcW w:w="3544" w:type="dxa"/>
            <w:shd w:val="clear" w:color="auto" w:fill="DEEAF6" w:themeFill="accent5" w:themeFillTint="33"/>
          </w:tcPr>
          <w:p w14:paraId="6F07E1A2" w14:textId="1D5E4146" w:rsidR="003A6413" w:rsidRPr="00812FFB" w:rsidRDefault="00AD0638" w:rsidP="004E6388">
            <w:pPr>
              <w:jc w:val="both"/>
              <w:rPr>
                <w:sz w:val="20"/>
                <w:szCs w:val="20"/>
              </w:rPr>
            </w:pPr>
            <w:r w:rsidRPr="00812FFB">
              <w:rPr>
                <w:sz w:val="20"/>
                <w:szCs w:val="20"/>
              </w:rPr>
              <w:t>Water generation maintenance cost from greywater treatment</w:t>
            </w:r>
          </w:p>
        </w:tc>
        <w:tc>
          <w:tcPr>
            <w:tcW w:w="1559" w:type="dxa"/>
            <w:shd w:val="clear" w:color="auto" w:fill="DEEAF6" w:themeFill="accent5" w:themeFillTint="33"/>
          </w:tcPr>
          <w:p w14:paraId="1C6802C8" w14:textId="55DAF66D" w:rsidR="003A6413" w:rsidRPr="00812FFB" w:rsidRDefault="00183488" w:rsidP="00EA7313">
            <w:pPr>
              <w:jc w:val="center"/>
              <w:rPr>
                <w:sz w:val="20"/>
                <w:szCs w:val="20"/>
              </w:rPr>
            </w:pPr>
            <w:r w:rsidRPr="00812FFB">
              <w:rPr>
                <w:sz w:val="20"/>
                <w:szCs w:val="20"/>
              </w:rPr>
              <w:t>Water</w:t>
            </w:r>
          </w:p>
        </w:tc>
        <w:tc>
          <w:tcPr>
            <w:tcW w:w="5517" w:type="dxa"/>
            <w:shd w:val="clear" w:color="auto" w:fill="DEEAF6" w:themeFill="accent5" w:themeFillTint="33"/>
          </w:tcPr>
          <w:p w14:paraId="491C51C1" w14:textId="77777777" w:rsidR="003A6413" w:rsidRPr="00812FFB" w:rsidRDefault="0048140B" w:rsidP="004E6388">
            <w:pPr>
              <w:jc w:val="both"/>
              <w:rPr>
                <w:sz w:val="20"/>
                <w:szCs w:val="20"/>
              </w:rPr>
            </w:pPr>
            <w:r w:rsidRPr="00812FFB">
              <w:rPr>
                <w:sz w:val="20"/>
                <w:szCs w:val="20"/>
              </w:rPr>
              <w:t>Greywater maintenance cost per m3 of target supply *</w:t>
            </w:r>
          </w:p>
          <w:p w14:paraId="62795417" w14:textId="77777777" w:rsidR="0048140B" w:rsidRPr="00812FFB" w:rsidRDefault="00A010A2" w:rsidP="004E6388">
            <w:pPr>
              <w:jc w:val="both"/>
              <w:rPr>
                <w:sz w:val="20"/>
                <w:szCs w:val="20"/>
              </w:rPr>
            </w:pPr>
            <w:r w:rsidRPr="00812FFB">
              <w:rPr>
                <w:sz w:val="20"/>
                <w:szCs w:val="20"/>
              </w:rPr>
              <w:t>Target supply of water from greywater treatment</w:t>
            </w:r>
          </w:p>
          <w:p w14:paraId="5D3F811B" w14:textId="1CAC7C4B" w:rsidR="003A6413" w:rsidRPr="00812FFB" w:rsidRDefault="003A6413" w:rsidP="004E6388">
            <w:pPr>
              <w:jc w:val="both"/>
              <w:rPr>
                <w:sz w:val="20"/>
                <w:szCs w:val="20"/>
              </w:rPr>
            </w:pPr>
          </w:p>
        </w:tc>
      </w:tr>
      <w:tr w:rsidR="003A6413" w:rsidRPr="00812FFB" w14:paraId="738BD706" w14:textId="77777777" w:rsidTr="00EA7313">
        <w:tc>
          <w:tcPr>
            <w:tcW w:w="3544" w:type="dxa"/>
          </w:tcPr>
          <w:p w14:paraId="1CF890CD" w14:textId="68832BD4" w:rsidR="003A6413" w:rsidRPr="00812FFB" w:rsidRDefault="00183488" w:rsidP="004E6388">
            <w:pPr>
              <w:jc w:val="both"/>
              <w:rPr>
                <w:sz w:val="20"/>
                <w:szCs w:val="20"/>
              </w:rPr>
            </w:pPr>
            <w:r w:rsidRPr="00812FFB">
              <w:rPr>
                <w:sz w:val="20"/>
                <w:szCs w:val="20"/>
              </w:rPr>
              <w:t>Cost of operating and maintaining solar and Wind turbine energy</w:t>
            </w:r>
          </w:p>
        </w:tc>
        <w:tc>
          <w:tcPr>
            <w:tcW w:w="1559" w:type="dxa"/>
          </w:tcPr>
          <w:p w14:paraId="06D7D92D" w14:textId="60140C84" w:rsidR="003A6413" w:rsidRPr="00812FFB" w:rsidRDefault="00183488" w:rsidP="00EA7313">
            <w:pPr>
              <w:jc w:val="center"/>
              <w:rPr>
                <w:sz w:val="20"/>
                <w:szCs w:val="20"/>
              </w:rPr>
            </w:pPr>
            <w:r w:rsidRPr="00812FFB">
              <w:rPr>
                <w:sz w:val="20"/>
                <w:szCs w:val="20"/>
              </w:rPr>
              <w:t>Energy</w:t>
            </w:r>
          </w:p>
        </w:tc>
        <w:tc>
          <w:tcPr>
            <w:tcW w:w="5517" w:type="dxa"/>
          </w:tcPr>
          <w:p w14:paraId="046D7B4F" w14:textId="77777777" w:rsidR="003A6413" w:rsidRPr="00812FFB" w:rsidRDefault="00E16C09" w:rsidP="004E6388">
            <w:pPr>
              <w:jc w:val="both"/>
              <w:rPr>
                <w:sz w:val="20"/>
                <w:szCs w:val="20"/>
              </w:rPr>
            </w:pPr>
            <w:r w:rsidRPr="00812FFB">
              <w:rPr>
                <w:sz w:val="20"/>
                <w:szCs w:val="20"/>
              </w:rPr>
              <w:t xml:space="preserve">Target supply of energy * </w:t>
            </w:r>
            <w:r w:rsidR="006F3FE3" w:rsidRPr="00812FFB">
              <w:rPr>
                <w:sz w:val="20"/>
                <w:szCs w:val="20"/>
              </w:rPr>
              <w:t>Maintenance cost per kWh</w:t>
            </w:r>
            <w:r w:rsidR="00B73E36" w:rsidRPr="00812FFB">
              <w:rPr>
                <w:sz w:val="20"/>
                <w:szCs w:val="20"/>
              </w:rPr>
              <w:t xml:space="preserve"> OR</w:t>
            </w:r>
          </w:p>
          <w:p w14:paraId="145B5734" w14:textId="77777777" w:rsidR="00B73E36" w:rsidRPr="00812FFB" w:rsidRDefault="00B73E36" w:rsidP="004E6388">
            <w:pPr>
              <w:jc w:val="both"/>
              <w:rPr>
                <w:sz w:val="20"/>
                <w:szCs w:val="20"/>
              </w:rPr>
            </w:pPr>
            <w:r w:rsidRPr="00812FFB">
              <w:rPr>
                <w:sz w:val="20"/>
                <w:szCs w:val="20"/>
              </w:rPr>
              <w:t xml:space="preserve">Target </w:t>
            </w:r>
            <w:proofErr w:type="spellStart"/>
            <w:r w:rsidRPr="00812FFB">
              <w:rPr>
                <w:sz w:val="20"/>
                <w:szCs w:val="20"/>
              </w:rPr>
              <w:t>kWp</w:t>
            </w:r>
            <w:proofErr w:type="spellEnd"/>
            <w:r w:rsidRPr="00812FFB">
              <w:rPr>
                <w:sz w:val="20"/>
                <w:szCs w:val="20"/>
              </w:rPr>
              <w:t xml:space="preserve"> required * Maintenance cost per </w:t>
            </w:r>
            <w:proofErr w:type="spellStart"/>
            <w:r w:rsidRPr="00812FFB">
              <w:rPr>
                <w:sz w:val="20"/>
                <w:szCs w:val="20"/>
              </w:rPr>
              <w:t>kWp</w:t>
            </w:r>
            <w:proofErr w:type="spellEnd"/>
          </w:p>
          <w:p w14:paraId="21B33884" w14:textId="37D7F61D" w:rsidR="003A6413" w:rsidRPr="00812FFB" w:rsidRDefault="003A6413" w:rsidP="004E6388">
            <w:pPr>
              <w:jc w:val="both"/>
              <w:rPr>
                <w:sz w:val="20"/>
                <w:szCs w:val="20"/>
              </w:rPr>
            </w:pPr>
          </w:p>
        </w:tc>
      </w:tr>
      <w:tr w:rsidR="000D45B6" w:rsidRPr="00812FFB" w14:paraId="7364698C" w14:textId="77777777" w:rsidTr="00EA7313">
        <w:tc>
          <w:tcPr>
            <w:tcW w:w="3544" w:type="dxa"/>
            <w:shd w:val="clear" w:color="auto" w:fill="DEEAF6" w:themeFill="accent5" w:themeFillTint="33"/>
          </w:tcPr>
          <w:p w14:paraId="470262FF" w14:textId="3022C773" w:rsidR="003A6413" w:rsidRPr="00812FFB" w:rsidRDefault="0043529B" w:rsidP="004E6388">
            <w:pPr>
              <w:jc w:val="both"/>
              <w:rPr>
                <w:sz w:val="20"/>
                <w:szCs w:val="20"/>
              </w:rPr>
            </w:pPr>
            <w:r w:rsidRPr="00812FFB">
              <w:rPr>
                <w:sz w:val="20"/>
                <w:szCs w:val="20"/>
              </w:rPr>
              <w:t>Operating Cost of Microgrid</w:t>
            </w:r>
          </w:p>
        </w:tc>
        <w:tc>
          <w:tcPr>
            <w:tcW w:w="1559" w:type="dxa"/>
            <w:shd w:val="clear" w:color="auto" w:fill="DEEAF6" w:themeFill="accent5" w:themeFillTint="33"/>
          </w:tcPr>
          <w:p w14:paraId="419CA5C1" w14:textId="758D5B06" w:rsidR="003A6413" w:rsidRPr="00812FFB" w:rsidRDefault="0043529B" w:rsidP="00EA7313">
            <w:pPr>
              <w:jc w:val="center"/>
              <w:rPr>
                <w:sz w:val="20"/>
                <w:szCs w:val="20"/>
              </w:rPr>
            </w:pPr>
            <w:r w:rsidRPr="00812FFB">
              <w:rPr>
                <w:sz w:val="20"/>
                <w:szCs w:val="20"/>
              </w:rPr>
              <w:t>Energy</w:t>
            </w:r>
          </w:p>
        </w:tc>
        <w:tc>
          <w:tcPr>
            <w:tcW w:w="5517" w:type="dxa"/>
            <w:shd w:val="clear" w:color="auto" w:fill="DEEAF6" w:themeFill="accent5" w:themeFillTint="33"/>
          </w:tcPr>
          <w:p w14:paraId="0122688C" w14:textId="77777777" w:rsidR="00B80525" w:rsidRPr="00812FFB" w:rsidRDefault="0045491D" w:rsidP="004E6388">
            <w:pPr>
              <w:jc w:val="both"/>
              <w:rPr>
                <w:sz w:val="20"/>
                <w:szCs w:val="20"/>
              </w:rPr>
            </w:pPr>
            <w:r w:rsidRPr="00812FFB">
              <w:rPr>
                <w:sz w:val="20"/>
                <w:szCs w:val="20"/>
              </w:rPr>
              <w:t>Average Cost of Microgrid maintenance cost</w:t>
            </w:r>
            <w:r w:rsidR="00634DFD" w:rsidRPr="00812FFB">
              <w:rPr>
                <w:sz w:val="20"/>
                <w:szCs w:val="20"/>
              </w:rPr>
              <w:t xml:space="preserve"> per kWh</w:t>
            </w:r>
            <w:r w:rsidR="00B80525" w:rsidRPr="00812FFB">
              <w:rPr>
                <w:sz w:val="20"/>
                <w:szCs w:val="20"/>
              </w:rPr>
              <w:t xml:space="preserve"> *</w:t>
            </w:r>
          </w:p>
          <w:p w14:paraId="318FC424" w14:textId="368157E2" w:rsidR="003A6413" w:rsidRPr="00812FFB" w:rsidRDefault="00E77246" w:rsidP="00405FCE">
            <w:pPr>
              <w:keepNext/>
              <w:jc w:val="both"/>
              <w:rPr>
                <w:sz w:val="20"/>
                <w:szCs w:val="20"/>
              </w:rPr>
            </w:pPr>
            <w:r w:rsidRPr="00812FFB">
              <w:rPr>
                <w:sz w:val="20"/>
                <w:szCs w:val="20"/>
              </w:rPr>
              <w:t xml:space="preserve">Target Supply </w:t>
            </w:r>
            <w:r w:rsidR="002E042A" w:rsidRPr="00812FFB">
              <w:rPr>
                <w:sz w:val="20"/>
                <w:szCs w:val="20"/>
              </w:rPr>
              <w:t>of energy from Solar PVs and Wind Turbines</w:t>
            </w:r>
          </w:p>
        </w:tc>
      </w:tr>
    </w:tbl>
    <w:p w14:paraId="1233791C" w14:textId="67063B5F" w:rsidR="00405FCE" w:rsidRDefault="00405FCE" w:rsidP="00405FCE">
      <w:pPr>
        <w:pStyle w:val="Caption"/>
        <w:jc w:val="center"/>
        <w:rPr>
          <w:color w:val="auto"/>
          <w:sz w:val="20"/>
          <w:szCs w:val="20"/>
          <w:u w:val="single"/>
        </w:rPr>
      </w:pPr>
      <w:r w:rsidRPr="00812FFB">
        <w:rPr>
          <w:color w:val="auto"/>
          <w:sz w:val="20"/>
          <w:szCs w:val="20"/>
          <w:u w:val="single"/>
        </w:rPr>
        <w:t xml:space="preserve">Table </w:t>
      </w:r>
      <w:r w:rsidRPr="00812FFB">
        <w:rPr>
          <w:color w:val="auto"/>
          <w:sz w:val="20"/>
          <w:szCs w:val="20"/>
          <w:u w:val="single"/>
        </w:rPr>
        <w:fldChar w:fldCharType="begin"/>
      </w:r>
      <w:r w:rsidRPr="00812FFB">
        <w:rPr>
          <w:color w:val="auto"/>
          <w:sz w:val="20"/>
          <w:szCs w:val="20"/>
          <w:u w:val="single"/>
        </w:rPr>
        <w:instrText xml:space="preserve"> SEQ Table \* ARABIC </w:instrText>
      </w:r>
      <w:r w:rsidRPr="00812FFB">
        <w:rPr>
          <w:color w:val="auto"/>
          <w:sz w:val="20"/>
          <w:szCs w:val="20"/>
          <w:u w:val="single"/>
        </w:rPr>
        <w:fldChar w:fldCharType="separate"/>
      </w:r>
      <w:r w:rsidRPr="00812FFB">
        <w:rPr>
          <w:noProof/>
          <w:color w:val="auto"/>
          <w:sz w:val="20"/>
          <w:szCs w:val="20"/>
          <w:u w:val="single"/>
        </w:rPr>
        <w:t>2</w:t>
      </w:r>
      <w:r w:rsidRPr="00812FFB">
        <w:rPr>
          <w:color w:val="auto"/>
          <w:sz w:val="20"/>
          <w:szCs w:val="20"/>
          <w:u w:val="single"/>
        </w:rPr>
        <w:fldChar w:fldCharType="end"/>
      </w:r>
      <w:r w:rsidRPr="00812FFB">
        <w:rPr>
          <w:color w:val="auto"/>
          <w:sz w:val="20"/>
          <w:szCs w:val="20"/>
          <w:u w:val="single"/>
        </w:rPr>
        <w:t>:Operating Cost Assumptions across key elements on a per annum basis</w:t>
      </w:r>
    </w:p>
    <w:p w14:paraId="79D227D6" w14:textId="77777777" w:rsidR="00B847C4" w:rsidRPr="00B847C4" w:rsidRDefault="00B847C4" w:rsidP="00B847C4"/>
    <w:p w14:paraId="75D4EFC8" w14:textId="71CA0B16" w:rsidR="00CC0EB1" w:rsidRPr="00812FFB" w:rsidRDefault="00CC0EB1" w:rsidP="00F64F0D">
      <w:pPr>
        <w:pStyle w:val="Heading2"/>
        <w:rPr>
          <w:sz w:val="20"/>
          <w:szCs w:val="20"/>
        </w:rPr>
      </w:pPr>
      <w:bookmarkStart w:id="13" w:name="_Toc150204548"/>
      <w:r w:rsidRPr="00812FFB">
        <w:rPr>
          <w:sz w:val="20"/>
          <w:szCs w:val="20"/>
        </w:rPr>
        <w:t>Financial Proxies</w:t>
      </w:r>
      <w:bookmarkEnd w:id="13"/>
      <w:r w:rsidRPr="00812FFB">
        <w:rPr>
          <w:sz w:val="20"/>
          <w:szCs w:val="20"/>
        </w:rPr>
        <w:t xml:space="preserve"> </w:t>
      </w:r>
    </w:p>
    <w:p w14:paraId="0A49DC72" w14:textId="023AB145" w:rsidR="00CC0EB1" w:rsidRPr="00812FFB" w:rsidRDefault="00997FFC" w:rsidP="004E6388">
      <w:pPr>
        <w:jc w:val="both"/>
        <w:rPr>
          <w:sz w:val="20"/>
          <w:szCs w:val="20"/>
        </w:rPr>
      </w:pPr>
      <w:r w:rsidRPr="00812FFB">
        <w:rPr>
          <w:sz w:val="20"/>
          <w:szCs w:val="20"/>
        </w:rPr>
        <w:t>Following which, w</w:t>
      </w:r>
      <w:r w:rsidR="005D09C1" w:rsidRPr="00812FFB">
        <w:rPr>
          <w:sz w:val="20"/>
          <w:szCs w:val="20"/>
        </w:rPr>
        <w:t xml:space="preserve">e </w:t>
      </w:r>
      <w:r w:rsidR="00B32E8C" w:rsidRPr="00812FFB">
        <w:rPr>
          <w:sz w:val="20"/>
          <w:szCs w:val="20"/>
        </w:rPr>
        <w:t xml:space="preserve">calculate the </w:t>
      </w:r>
      <w:r w:rsidR="00B65CC4" w:rsidRPr="00812FFB">
        <w:rPr>
          <w:sz w:val="20"/>
          <w:szCs w:val="20"/>
        </w:rPr>
        <w:t xml:space="preserve">social and environmental benefits of the </w:t>
      </w:r>
      <w:r w:rsidR="009E2F93" w:rsidRPr="00812FFB">
        <w:rPr>
          <w:sz w:val="20"/>
          <w:szCs w:val="20"/>
        </w:rPr>
        <w:t xml:space="preserve">project </w:t>
      </w:r>
      <w:r w:rsidR="0049712E" w:rsidRPr="00812FFB">
        <w:rPr>
          <w:sz w:val="20"/>
          <w:szCs w:val="20"/>
        </w:rPr>
        <w:t>to</w:t>
      </w:r>
      <w:r w:rsidR="009E2F93" w:rsidRPr="00812FFB">
        <w:rPr>
          <w:sz w:val="20"/>
          <w:szCs w:val="20"/>
        </w:rPr>
        <w:t xml:space="preserve"> gain a comprehensive view of value created by the activities. </w:t>
      </w:r>
      <w:r w:rsidR="00430A1E" w:rsidRPr="00812FFB">
        <w:rPr>
          <w:sz w:val="20"/>
          <w:szCs w:val="20"/>
        </w:rPr>
        <w:t xml:space="preserve">These benefits can be categorized into </w:t>
      </w:r>
      <w:r w:rsidR="00DD66BE" w:rsidRPr="00812FFB">
        <w:rPr>
          <w:sz w:val="20"/>
          <w:szCs w:val="20"/>
        </w:rPr>
        <w:t xml:space="preserve">5 categories: Economical, Environmental, Productivity, Mental Wellbeing and Physical Health. </w:t>
      </w:r>
      <w:r w:rsidR="00806476" w:rsidRPr="00812FFB">
        <w:rPr>
          <w:sz w:val="20"/>
          <w:szCs w:val="20"/>
        </w:rPr>
        <w:t xml:space="preserve">These benefits </w:t>
      </w:r>
      <w:r w:rsidR="00CD7DE4" w:rsidRPr="00812FFB">
        <w:rPr>
          <w:sz w:val="20"/>
          <w:szCs w:val="20"/>
        </w:rPr>
        <w:t xml:space="preserve">affect our </w:t>
      </w:r>
      <w:r w:rsidR="0049712E" w:rsidRPr="00812FFB">
        <w:rPr>
          <w:sz w:val="20"/>
          <w:szCs w:val="20"/>
        </w:rPr>
        <w:t>2</w:t>
      </w:r>
      <w:r w:rsidR="00CD7DE4" w:rsidRPr="00812FFB">
        <w:rPr>
          <w:sz w:val="20"/>
          <w:szCs w:val="20"/>
        </w:rPr>
        <w:t xml:space="preserve"> main </w:t>
      </w:r>
      <w:r w:rsidR="005A4343" w:rsidRPr="00812FFB">
        <w:rPr>
          <w:sz w:val="20"/>
          <w:szCs w:val="20"/>
        </w:rPr>
        <w:t>stakeholders:</w:t>
      </w:r>
      <w:r w:rsidR="00CD7DE4" w:rsidRPr="00812FFB">
        <w:rPr>
          <w:sz w:val="20"/>
          <w:szCs w:val="20"/>
        </w:rPr>
        <w:t xml:space="preserve"> NUS Student and Staff, University Campus Infrastructure</w:t>
      </w:r>
      <w:r w:rsidR="0049712E" w:rsidRPr="00812FFB">
        <w:rPr>
          <w:sz w:val="20"/>
          <w:szCs w:val="20"/>
        </w:rPr>
        <w:t xml:space="preserve"> and NUS</w:t>
      </w:r>
      <w:r w:rsidR="00CD7DE4" w:rsidRPr="00812FFB">
        <w:rPr>
          <w:sz w:val="20"/>
          <w:szCs w:val="20"/>
        </w:rPr>
        <w:t xml:space="preserve">. </w:t>
      </w:r>
    </w:p>
    <w:p w14:paraId="2D1AAD54" w14:textId="77777777" w:rsidR="00F64F0D" w:rsidRPr="00812FFB" w:rsidRDefault="00F64F0D" w:rsidP="004E6388">
      <w:pPr>
        <w:jc w:val="both"/>
        <w:rPr>
          <w:sz w:val="20"/>
          <w:szCs w:val="20"/>
        </w:rPr>
      </w:pPr>
    </w:p>
    <w:p w14:paraId="0AB5292E" w14:textId="56F7B2C0" w:rsidR="00A9562E" w:rsidRPr="00812FFB" w:rsidRDefault="001E7254" w:rsidP="004214C4">
      <w:pPr>
        <w:jc w:val="center"/>
        <w:rPr>
          <w:sz w:val="20"/>
          <w:szCs w:val="20"/>
        </w:rPr>
      </w:pPr>
      <w:r w:rsidRPr="00812FFB">
        <w:rPr>
          <w:noProof/>
          <w:sz w:val="20"/>
          <w:szCs w:val="20"/>
        </w:rPr>
        <w:drawing>
          <wp:inline distT="0" distB="0" distL="0" distR="0" wp14:anchorId="39F596B2" wp14:editId="4BCEE9DE">
            <wp:extent cx="6732905" cy="2254827"/>
            <wp:effectExtent l="0" t="0" r="10795" b="6350"/>
            <wp:docPr id="1594797831" name="Chart 1">
              <a:extLst xmlns:a="http://schemas.openxmlformats.org/drawingml/2006/main">
                <a:ext uri="{FF2B5EF4-FFF2-40B4-BE49-F238E27FC236}">
                  <a16:creationId xmlns:a16="http://schemas.microsoft.com/office/drawing/2014/main" id="{F2783638-B595-2247-96C9-77D8EFB1F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8F06200" w14:textId="48D0619B" w:rsidR="00EF21D0" w:rsidRPr="00812FFB" w:rsidRDefault="006B039D" w:rsidP="00EF21D0">
      <w:pPr>
        <w:jc w:val="center"/>
        <w:rPr>
          <w:i/>
          <w:sz w:val="20"/>
          <w:szCs w:val="20"/>
          <w:u w:val="single"/>
        </w:rPr>
      </w:pPr>
      <w:r w:rsidRPr="00812FFB">
        <w:rPr>
          <w:i/>
          <w:sz w:val="20"/>
          <w:szCs w:val="20"/>
          <w:u w:val="single"/>
        </w:rPr>
        <w:t xml:space="preserve">Figure </w:t>
      </w:r>
      <w:r w:rsidR="00483CA9" w:rsidRPr="00812FFB">
        <w:rPr>
          <w:i/>
          <w:sz w:val="20"/>
          <w:szCs w:val="20"/>
          <w:u w:val="single"/>
        </w:rPr>
        <w:t>4</w:t>
      </w:r>
      <w:r w:rsidR="00EF21D0" w:rsidRPr="00812FFB">
        <w:rPr>
          <w:i/>
          <w:sz w:val="20"/>
          <w:szCs w:val="20"/>
          <w:u w:val="single"/>
        </w:rPr>
        <w:t xml:space="preserve">: Benefits </w:t>
      </w:r>
      <w:r w:rsidR="0090093D" w:rsidRPr="00812FFB">
        <w:rPr>
          <w:i/>
          <w:sz w:val="20"/>
          <w:szCs w:val="20"/>
          <w:u w:val="single"/>
        </w:rPr>
        <w:t xml:space="preserve">per year by Category of </w:t>
      </w:r>
      <w:r w:rsidR="0047400B" w:rsidRPr="00812FFB">
        <w:rPr>
          <w:i/>
          <w:sz w:val="20"/>
          <w:szCs w:val="20"/>
          <w:u w:val="single"/>
        </w:rPr>
        <w:t>Activity</w:t>
      </w:r>
      <w:r w:rsidR="00EF21D0" w:rsidRPr="00812FFB">
        <w:rPr>
          <w:i/>
          <w:sz w:val="20"/>
          <w:szCs w:val="20"/>
          <w:u w:val="single"/>
        </w:rPr>
        <w:t xml:space="preserve"> (</w:t>
      </w:r>
      <w:r w:rsidR="00F43F82" w:rsidRPr="00812FFB">
        <w:rPr>
          <w:i/>
          <w:sz w:val="20"/>
          <w:szCs w:val="20"/>
          <w:u w:val="single"/>
        </w:rPr>
        <w:t xml:space="preserve">million </w:t>
      </w:r>
      <w:r w:rsidR="00EF21D0" w:rsidRPr="00812FFB">
        <w:rPr>
          <w:i/>
          <w:sz w:val="20"/>
          <w:szCs w:val="20"/>
          <w:u w:val="single"/>
        </w:rPr>
        <w:t>SGD)</w:t>
      </w:r>
    </w:p>
    <w:p w14:paraId="70335693" w14:textId="77777777" w:rsidR="00F64F0D" w:rsidRPr="00812FFB" w:rsidRDefault="00F64F0D" w:rsidP="00EF21D0">
      <w:pPr>
        <w:jc w:val="center"/>
        <w:rPr>
          <w:i/>
          <w:sz w:val="20"/>
          <w:szCs w:val="20"/>
          <w:u w:val="single"/>
        </w:rPr>
      </w:pPr>
    </w:p>
    <w:p w14:paraId="5050F79C" w14:textId="0D35BBDC" w:rsidR="005A4343" w:rsidRPr="00812FFB" w:rsidRDefault="00307C93" w:rsidP="004E6388">
      <w:pPr>
        <w:jc w:val="both"/>
        <w:rPr>
          <w:sz w:val="20"/>
          <w:szCs w:val="20"/>
        </w:rPr>
      </w:pPr>
      <w:r w:rsidRPr="00812FFB">
        <w:rPr>
          <w:sz w:val="20"/>
          <w:szCs w:val="20"/>
        </w:rPr>
        <w:lastRenderedPageBreak/>
        <w:t xml:space="preserve">Due to the comprehensive list of exhaustible Financial Proxies (Appendix </w:t>
      </w:r>
      <w:r w:rsidR="0049695B" w:rsidRPr="00812FFB">
        <w:rPr>
          <w:sz w:val="20"/>
          <w:szCs w:val="20"/>
        </w:rPr>
        <w:t>A</w:t>
      </w:r>
      <w:r w:rsidRPr="00812FFB">
        <w:rPr>
          <w:sz w:val="20"/>
          <w:szCs w:val="20"/>
        </w:rPr>
        <w:t xml:space="preserve">), we will delve into the calculation of key Financial Proxies with </w:t>
      </w:r>
      <w:r w:rsidR="002D0FFE" w:rsidRPr="00812FFB">
        <w:rPr>
          <w:sz w:val="20"/>
          <w:szCs w:val="20"/>
        </w:rPr>
        <w:t>a calculated value of over $3 Million accrued per year</w:t>
      </w:r>
      <w:r w:rsidRPr="00812FFB">
        <w:rPr>
          <w:sz w:val="20"/>
          <w:szCs w:val="20"/>
        </w:rPr>
        <w:t>.</w:t>
      </w:r>
    </w:p>
    <w:p w14:paraId="354D85BE" w14:textId="77777777" w:rsidR="00F64F0D" w:rsidRPr="00812FFB" w:rsidRDefault="00F64F0D" w:rsidP="004E6388">
      <w:pPr>
        <w:jc w:val="both"/>
        <w:rPr>
          <w:sz w:val="20"/>
          <w:szCs w:val="20"/>
        </w:rPr>
      </w:pPr>
    </w:p>
    <w:p w14:paraId="2AA54CF9" w14:textId="0797EB8E" w:rsidR="00F818EC" w:rsidRPr="00812FFB" w:rsidRDefault="00F818EC" w:rsidP="00F64F0D">
      <w:pPr>
        <w:pStyle w:val="Heading3"/>
        <w:rPr>
          <w:sz w:val="20"/>
          <w:szCs w:val="20"/>
        </w:rPr>
      </w:pPr>
      <w:bookmarkStart w:id="14" w:name="_Toc150204549"/>
      <w:r w:rsidRPr="00812FFB">
        <w:rPr>
          <w:sz w:val="20"/>
          <w:szCs w:val="20"/>
        </w:rPr>
        <w:t>Cost Savings</w:t>
      </w:r>
      <w:bookmarkEnd w:id="14"/>
    </w:p>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126"/>
        <w:gridCol w:w="3828"/>
        <w:gridCol w:w="1842"/>
      </w:tblGrid>
      <w:tr w:rsidR="00B311F3" w:rsidRPr="00812FFB" w14:paraId="57BC2654" w14:textId="77777777" w:rsidTr="00B311F3">
        <w:trPr>
          <w:trHeight w:val="600"/>
        </w:trPr>
        <w:tc>
          <w:tcPr>
            <w:tcW w:w="2972" w:type="dxa"/>
            <w:shd w:val="clear" w:color="auto" w:fill="8EAADB" w:themeFill="accent1" w:themeFillTint="99"/>
            <w:vAlign w:val="center"/>
            <w:hideMark/>
          </w:tcPr>
          <w:p w14:paraId="420E92D4" w14:textId="7461A61D" w:rsidR="00C8258D" w:rsidRPr="00812FFB" w:rsidRDefault="00C8258D" w:rsidP="0049712E">
            <w:pPr>
              <w:jc w:val="center"/>
              <w:rPr>
                <w:b/>
                <w:bCs/>
                <w:color w:val="000000" w:themeColor="text1"/>
                <w:sz w:val="20"/>
                <w:szCs w:val="20"/>
              </w:rPr>
            </w:pPr>
            <w:r w:rsidRPr="00812FFB">
              <w:rPr>
                <w:b/>
                <w:bCs/>
                <w:color w:val="000000" w:themeColor="text1"/>
                <w:sz w:val="20"/>
                <w:szCs w:val="20"/>
              </w:rPr>
              <w:t>Outcome</w:t>
            </w:r>
          </w:p>
        </w:tc>
        <w:tc>
          <w:tcPr>
            <w:tcW w:w="2126" w:type="dxa"/>
            <w:shd w:val="clear" w:color="auto" w:fill="8EAADB" w:themeFill="accent1" w:themeFillTint="99"/>
            <w:noWrap/>
            <w:vAlign w:val="center"/>
            <w:hideMark/>
          </w:tcPr>
          <w:p w14:paraId="44239F6A" w14:textId="77777777" w:rsidR="00C8258D" w:rsidRPr="00812FFB" w:rsidRDefault="00C8258D" w:rsidP="0049712E">
            <w:pPr>
              <w:jc w:val="center"/>
              <w:rPr>
                <w:b/>
                <w:bCs/>
                <w:color w:val="000000" w:themeColor="text1"/>
                <w:sz w:val="20"/>
                <w:szCs w:val="20"/>
              </w:rPr>
            </w:pPr>
            <w:r w:rsidRPr="00812FFB">
              <w:rPr>
                <w:b/>
                <w:bCs/>
                <w:color w:val="000000" w:themeColor="text1"/>
                <w:sz w:val="20"/>
                <w:szCs w:val="20"/>
              </w:rPr>
              <w:t>Category</w:t>
            </w:r>
          </w:p>
        </w:tc>
        <w:tc>
          <w:tcPr>
            <w:tcW w:w="3828" w:type="dxa"/>
            <w:shd w:val="clear" w:color="auto" w:fill="8EAADB" w:themeFill="accent1" w:themeFillTint="99"/>
            <w:vAlign w:val="center"/>
            <w:hideMark/>
          </w:tcPr>
          <w:p w14:paraId="25A77B87" w14:textId="77777777" w:rsidR="00C8258D" w:rsidRPr="00812FFB" w:rsidRDefault="00C8258D" w:rsidP="0049712E">
            <w:pPr>
              <w:jc w:val="center"/>
              <w:rPr>
                <w:b/>
                <w:bCs/>
                <w:color w:val="000000" w:themeColor="text1"/>
                <w:sz w:val="20"/>
                <w:szCs w:val="20"/>
              </w:rPr>
            </w:pPr>
            <w:r w:rsidRPr="00812FFB">
              <w:rPr>
                <w:b/>
                <w:bCs/>
                <w:color w:val="000000" w:themeColor="text1"/>
                <w:sz w:val="20"/>
                <w:szCs w:val="20"/>
              </w:rPr>
              <w:t>Valuation Logic</w:t>
            </w:r>
          </w:p>
        </w:tc>
        <w:tc>
          <w:tcPr>
            <w:tcW w:w="1842" w:type="dxa"/>
            <w:shd w:val="clear" w:color="auto" w:fill="8EAADB" w:themeFill="accent1" w:themeFillTint="99"/>
            <w:noWrap/>
            <w:vAlign w:val="center"/>
            <w:hideMark/>
          </w:tcPr>
          <w:p w14:paraId="253AB19A" w14:textId="35881242" w:rsidR="00C8258D" w:rsidRPr="00812FFB" w:rsidRDefault="00C8258D" w:rsidP="0049712E">
            <w:pPr>
              <w:jc w:val="center"/>
              <w:rPr>
                <w:b/>
                <w:bCs/>
                <w:color w:val="000000" w:themeColor="text1"/>
                <w:sz w:val="20"/>
                <w:szCs w:val="20"/>
              </w:rPr>
            </w:pPr>
            <w:r w:rsidRPr="00812FFB">
              <w:rPr>
                <w:b/>
                <w:bCs/>
                <w:color w:val="000000" w:themeColor="text1"/>
                <w:sz w:val="20"/>
                <w:szCs w:val="20"/>
              </w:rPr>
              <w:t>Calculation</w:t>
            </w:r>
            <w:r w:rsidR="0049712E" w:rsidRPr="00812FFB">
              <w:rPr>
                <w:b/>
                <w:bCs/>
                <w:color w:val="000000" w:themeColor="text1"/>
                <w:sz w:val="20"/>
                <w:szCs w:val="20"/>
              </w:rPr>
              <w:t xml:space="preserve"> (SGD)</w:t>
            </w:r>
          </w:p>
        </w:tc>
      </w:tr>
      <w:tr w:rsidR="00B311F3" w:rsidRPr="00812FFB" w14:paraId="1A5AA3C8" w14:textId="77777777" w:rsidTr="00B311F3">
        <w:trPr>
          <w:trHeight w:val="827"/>
        </w:trPr>
        <w:tc>
          <w:tcPr>
            <w:tcW w:w="2972" w:type="dxa"/>
            <w:shd w:val="clear" w:color="auto" w:fill="DEEAF6" w:themeFill="accent5" w:themeFillTint="33"/>
            <w:vAlign w:val="center"/>
            <w:hideMark/>
          </w:tcPr>
          <w:p w14:paraId="681745FF" w14:textId="77777777" w:rsidR="00F818EC" w:rsidRPr="00812FFB" w:rsidRDefault="00F818EC" w:rsidP="004E6388">
            <w:pPr>
              <w:jc w:val="both"/>
              <w:rPr>
                <w:color w:val="000000" w:themeColor="text1"/>
                <w:sz w:val="20"/>
                <w:szCs w:val="20"/>
              </w:rPr>
            </w:pPr>
            <w:r w:rsidRPr="00812FFB">
              <w:rPr>
                <w:color w:val="000000" w:themeColor="text1"/>
                <w:sz w:val="20"/>
                <w:szCs w:val="20"/>
              </w:rPr>
              <w:t>Decrease in electricity bill through in-house rooftop PV</w:t>
            </w:r>
          </w:p>
        </w:tc>
        <w:tc>
          <w:tcPr>
            <w:tcW w:w="2126" w:type="dxa"/>
            <w:shd w:val="clear" w:color="auto" w:fill="DEEAF6" w:themeFill="accent5" w:themeFillTint="33"/>
            <w:noWrap/>
            <w:vAlign w:val="center"/>
            <w:hideMark/>
          </w:tcPr>
          <w:p w14:paraId="5FE52D8A" w14:textId="77777777" w:rsidR="00F818EC" w:rsidRPr="00812FFB" w:rsidRDefault="00F818EC" w:rsidP="00490A44">
            <w:pPr>
              <w:jc w:val="center"/>
              <w:rPr>
                <w:color w:val="000000" w:themeColor="text1"/>
                <w:sz w:val="20"/>
                <w:szCs w:val="20"/>
              </w:rPr>
            </w:pPr>
            <w:r w:rsidRPr="00812FFB">
              <w:rPr>
                <w:color w:val="000000" w:themeColor="text1"/>
                <w:sz w:val="20"/>
                <w:szCs w:val="20"/>
              </w:rPr>
              <w:t>Energy</w:t>
            </w:r>
          </w:p>
        </w:tc>
        <w:tc>
          <w:tcPr>
            <w:tcW w:w="3828" w:type="dxa"/>
            <w:shd w:val="clear" w:color="auto" w:fill="DEEAF6" w:themeFill="accent5" w:themeFillTint="33"/>
            <w:vAlign w:val="center"/>
            <w:hideMark/>
          </w:tcPr>
          <w:p w14:paraId="7610E22B" w14:textId="77777777" w:rsidR="00F818EC" w:rsidRPr="00812FFB" w:rsidRDefault="00F818EC" w:rsidP="004E6388">
            <w:pPr>
              <w:jc w:val="both"/>
              <w:rPr>
                <w:color w:val="000000" w:themeColor="text1"/>
                <w:sz w:val="20"/>
                <w:szCs w:val="20"/>
              </w:rPr>
            </w:pPr>
            <w:r w:rsidRPr="00812FFB">
              <w:rPr>
                <w:color w:val="000000" w:themeColor="text1"/>
                <w:sz w:val="20"/>
                <w:szCs w:val="20"/>
              </w:rPr>
              <w:t xml:space="preserve">Electricity supplied by in-house rooftop PV * SP electricity tariff, GST included </w:t>
            </w:r>
          </w:p>
        </w:tc>
        <w:tc>
          <w:tcPr>
            <w:tcW w:w="1842" w:type="dxa"/>
            <w:shd w:val="clear" w:color="auto" w:fill="DEEAF6" w:themeFill="accent5" w:themeFillTint="33"/>
            <w:noWrap/>
            <w:vAlign w:val="bottom"/>
            <w:hideMark/>
          </w:tcPr>
          <w:p w14:paraId="00C18010" w14:textId="0730886B" w:rsidR="00F818EC" w:rsidRPr="00812FFB" w:rsidRDefault="00F818EC" w:rsidP="00490A44">
            <w:pPr>
              <w:jc w:val="center"/>
              <w:rPr>
                <w:color w:val="000000" w:themeColor="text1"/>
                <w:sz w:val="20"/>
                <w:szCs w:val="20"/>
              </w:rPr>
            </w:pPr>
            <w:r w:rsidRPr="00812FFB">
              <w:rPr>
                <w:color w:val="000000" w:themeColor="text1"/>
                <w:sz w:val="20"/>
                <w:szCs w:val="20"/>
              </w:rPr>
              <w:t>61,070,000</w:t>
            </w:r>
          </w:p>
        </w:tc>
      </w:tr>
      <w:tr w:rsidR="00B311F3" w:rsidRPr="00812FFB" w14:paraId="1848E494" w14:textId="77777777" w:rsidTr="00B311F3">
        <w:trPr>
          <w:trHeight w:val="1123"/>
        </w:trPr>
        <w:tc>
          <w:tcPr>
            <w:tcW w:w="2972" w:type="dxa"/>
            <w:shd w:val="clear" w:color="auto" w:fill="auto"/>
            <w:vAlign w:val="center"/>
            <w:hideMark/>
          </w:tcPr>
          <w:p w14:paraId="2249EB74" w14:textId="77777777" w:rsidR="00F818EC" w:rsidRPr="00812FFB" w:rsidRDefault="00F818EC" w:rsidP="004E6388">
            <w:pPr>
              <w:jc w:val="both"/>
              <w:rPr>
                <w:color w:val="000000" w:themeColor="text1"/>
                <w:sz w:val="20"/>
                <w:szCs w:val="20"/>
              </w:rPr>
            </w:pPr>
            <w:r w:rsidRPr="00812FFB">
              <w:rPr>
                <w:color w:val="000000" w:themeColor="text1"/>
                <w:sz w:val="20"/>
                <w:szCs w:val="20"/>
              </w:rPr>
              <w:t>Decrease in electricity bill through reduced demand due to District cooling system, Retrofitting etc.</w:t>
            </w:r>
          </w:p>
        </w:tc>
        <w:tc>
          <w:tcPr>
            <w:tcW w:w="2126" w:type="dxa"/>
            <w:shd w:val="clear" w:color="auto" w:fill="auto"/>
            <w:noWrap/>
            <w:vAlign w:val="center"/>
            <w:hideMark/>
          </w:tcPr>
          <w:p w14:paraId="08DA7E2C" w14:textId="77777777" w:rsidR="00F818EC" w:rsidRPr="00812FFB" w:rsidRDefault="00F818EC" w:rsidP="00490A44">
            <w:pPr>
              <w:jc w:val="center"/>
              <w:rPr>
                <w:color w:val="000000" w:themeColor="text1"/>
                <w:sz w:val="20"/>
                <w:szCs w:val="20"/>
              </w:rPr>
            </w:pPr>
            <w:r w:rsidRPr="00812FFB">
              <w:rPr>
                <w:color w:val="000000" w:themeColor="text1"/>
                <w:sz w:val="20"/>
                <w:szCs w:val="20"/>
              </w:rPr>
              <w:t>Energy</w:t>
            </w:r>
          </w:p>
        </w:tc>
        <w:tc>
          <w:tcPr>
            <w:tcW w:w="3828" w:type="dxa"/>
            <w:shd w:val="clear" w:color="auto" w:fill="auto"/>
            <w:vAlign w:val="center"/>
            <w:hideMark/>
          </w:tcPr>
          <w:p w14:paraId="41272295" w14:textId="77777777" w:rsidR="00F818EC" w:rsidRPr="00812FFB" w:rsidRDefault="00F818EC" w:rsidP="004E6388">
            <w:pPr>
              <w:jc w:val="both"/>
              <w:rPr>
                <w:color w:val="000000" w:themeColor="text1"/>
                <w:sz w:val="20"/>
                <w:szCs w:val="20"/>
              </w:rPr>
            </w:pPr>
            <w:r w:rsidRPr="00812FFB">
              <w:rPr>
                <w:color w:val="000000" w:themeColor="text1"/>
                <w:sz w:val="20"/>
                <w:szCs w:val="20"/>
              </w:rPr>
              <w:t xml:space="preserve">Electricity demand reduction* SP electricity tariff, GST included </w:t>
            </w:r>
          </w:p>
        </w:tc>
        <w:tc>
          <w:tcPr>
            <w:tcW w:w="1842" w:type="dxa"/>
            <w:shd w:val="clear" w:color="auto" w:fill="auto"/>
            <w:noWrap/>
            <w:vAlign w:val="bottom"/>
            <w:hideMark/>
          </w:tcPr>
          <w:p w14:paraId="15667FFE" w14:textId="27857812" w:rsidR="00F818EC" w:rsidRPr="00812FFB" w:rsidRDefault="00F818EC" w:rsidP="00490A44">
            <w:pPr>
              <w:jc w:val="center"/>
              <w:rPr>
                <w:color w:val="000000" w:themeColor="text1"/>
                <w:sz w:val="20"/>
                <w:szCs w:val="20"/>
              </w:rPr>
            </w:pPr>
            <w:r w:rsidRPr="00812FFB">
              <w:rPr>
                <w:color w:val="000000" w:themeColor="text1"/>
                <w:sz w:val="20"/>
                <w:szCs w:val="20"/>
              </w:rPr>
              <w:t>42,888,405</w:t>
            </w:r>
          </w:p>
        </w:tc>
      </w:tr>
      <w:tr w:rsidR="00B311F3" w:rsidRPr="00812FFB" w14:paraId="45390078" w14:textId="77777777" w:rsidTr="00B311F3">
        <w:trPr>
          <w:trHeight w:val="828"/>
        </w:trPr>
        <w:tc>
          <w:tcPr>
            <w:tcW w:w="2972" w:type="dxa"/>
            <w:shd w:val="clear" w:color="auto" w:fill="DEEAF6" w:themeFill="accent5" w:themeFillTint="33"/>
            <w:vAlign w:val="center"/>
            <w:hideMark/>
          </w:tcPr>
          <w:p w14:paraId="3F75C92C" w14:textId="77777777" w:rsidR="00F818EC" w:rsidRPr="00812FFB" w:rsidRDefault="00F818EC" w:rsidP="004E6388">
            <w:pPr>
              <w:jc w:val="both"/>
              <w:rPr>
                <w:color w:val="000000" w:themeColor="text1"/>
                <w:sz w:val="20"/>
                <w:szCs w:val="20"/>
              </w:rPr>
            </w:pPr>
            <w:r w:rsidRPr="00812FFB">
              <w:rPr>
                <w:color w:val="000000" w:themeColor="text1"/>
                <w:sz w:val="20"/>
                <w:szCs w:val="20"/>
              </w:rPr>
              <w:t>Decrease in electricity bill through in-house wind turbine</w:t>
            </w:r>
          </w:p>
        </w:tc>
        <w:tc>
          <w:tcPr>
            <w:tcW w:w="2126" w:type="dxa"/>
            <w:shd w:val="clear" w:color="auto" w:fill="DEEAF6" w:themeFill="accent5" w:themeFillTint="33"/>
            <w:noWrap/>
            <w:vAlign w:val="center"/>
            <w:hideMark/>
          </w:tcPr>
          <w:p w14:paraId="24B37ACC" w14:textId="77777777" w:rsidR="00F818EC" w:rsidRPr="00812FFB" w:rsidRDefault="00F818EC" w:rsidP="00490A44">
            <w:pPr>
              <w:jc w:val="center"/>
              <w:rPr>
                <w:color w:val="000000" w:themeColor="text1"/>
                <w:sz w:val="20"/>
                <w:szCs w:val="20"/>
              </w:rPr>
            </w:pPr>
            <w:r w:rsidRPr="00812FFB">
              <w:rPr>
                <w:color w:val="000000" w:themeColor="text1"/>
                <w:sz w:val="20"/>
                <w:szCs w:val="20"/>
              </w:rPr>
              <w:t>Energy</w:t>
            </w:r>
          </w:p>
        </w:tc>
        <w:tc>
          <w:tcPr>
            <w:tcW w:w="3828" w:type="dxa"/>
            <w:shd w:val="clear" w:color="auto" w:fill="DEEAF6" w:themeFill="accent5" w:themeFillTint="33"/>
            <w:vAlign w:val="center"/>
            <w:hideMark/>
          </w:tcPr>
          <w:p w14:paraId="147AA779" w14:textId="77777777" w:rsidR="00F818EC" w:rsidRPr="00812FFB" w:rsidRDefault="00F818EC" w:rsidP="004E6388">
            <w:pPr>
              <w:jc w:val="both"/>
              <w:rPr>
                <w:color w:val="000000" w:themeColor="text1"/>
                <w:sz w:val="20"/>
                <w:szCs w:val="20"/>
              </w:rPr>
            </w:pPr>
            <w:r w:rsidRPr="00812FFB">
              <w:rPr>
                <w:color w:val="000000" w:themeColor="text1"/>
                <w:sz w:val="20"/>
                <w:szCs w:val="20"/>
              </w:rPr>
              <w:t xml:space="preserve">Electricity supplied by in-house wind turbine* SP electricity tariff, GST included </w:t>
            </w:r>
          </w:p>
        </w:tc>
        <w:tc>
          <w:tcPr>
            <w:tcW w:w="1842" w:type="dxa"/>
            <w:shd w:val="clear" w:color="auto" w:fill="DEEAF6" w:themeFill="accent5" w:themeFillTint="33"/>
            <w:noWrap/>
            <w:vAlign w:val="bottom"/>
            <w:hideMark/>
          </w:tcPr>
          <w:p w14:paraId="40778BBF" w14:textId="53E75D35" w:rsidR="00F818EC" w:rsidRPr="00812FFB" w:rsidRDefault="00F818EC" w:rsidP="00490A44">
            <w:pPr>
              <w:jc w:val="center"/>
              <w:rPr>
                <w:color w:val="000000" w:themeColor="text1"/>
                <w:sz w:val="20"/>
                <w:szCs w:val="20"/>
              </w:rPr>
            </w:pPr>
            <w:r w:rsidRPr="00812FFB">
              <w:rPr>
                <w:color w:val="000000" w:themeColor="text1"/>
                <w:sz w:val="20"/>
                <w:szCs w:val="20"/>
              </w:rPr>
              <w:t>5,580,000</w:t>
            </w:r>
          </w:p>
        </w:tc>
      </w:tr>
      <w:tr w:rsidR="00B311F3" w:rsidRPr="00812FFB" w14:paraId="56C6DA39" w14:textId="77777777" w:rsidTr="00904897">
        <w:trPr>
          <w:trHeight w:val="983"/>
        </w:trPr>
        <w:tc>
          <w:tcPr>
            <w:tcW w:w="2972" w:type="dxa"/>
            <w:shd w:val="clear" w:color="auto" w:fill="auto"/>
            <w:vAlign w:val="center"/>
            <w:hideMark/>
          </w:tcPr>
          <w:p w14:paraId="36D3CC84" w14:textId="77777777" w:rsidR="00F818EC" w:rsidRPr="00812FFB" w:rsidRDefault="00F818EC" w:rsidP="004E6388">
            <w:pPr>
              <w:jc w:val="both"/>
              <w:rPr>
                <w:color w:val="000000" w:themeColor="text1"/>
                <w:sz w:val="20"/>
                <w:szCs w:val="20"/>
              </w:rPr>
            </w:pPr>
            <w:r w:rsidRPr="00812FFB">
              <w:rPr>
                <w:color w:val="000000" w:themeColor="text1"/>
                <w:sz w:val="20"/>
                <w:szCs w:val="20"/>
              </w:rPr>
              <w:t>Savings from generation of non-potable water supply</w:t>
            </w:r>
          </w:p>
        </w:tc>
        <w:tc>
          <w:tcPr>
            <w:tcW w:w="2126" w:type="dxa"/>
            <w:shd w:val="clear" w:color="auto" w:fill="auto"/>
            <w:noWrap/>
            <w:vAlign w:val="center"/>
            <w:hideMark/>
          </w:tcPr>
          <w:p w14:paraId="7659C462" w14:textId="77777777" w:rsidR="00F818EC" w:rsidRPr="00812FFB" w:rsidRDefault="00F818EC" w:rsidP="00490A44">
            <w:pPr>
              <w:jc w:val="center"/>
              <w:rPr>
                <w:color w:val="000000" w:themeColor="text1"/>
                <w:sz w:val="20"/>
                <w:szCs w:val="20"/>
              </w:rPr>
            </w:pPr>
            <w:r w:rsidRPr="00812FFB">
              <w:rPr>
                <w:color w:val="000000" w:themeColor="text1"/>
                <w:sz w:val="20"/>
                <w:szCs w:val="20"/>
              </w:rPr>
              <w:t>Water</w:t>
            </w:r>
          </w:p>
        </w:tc>
        <w:tc>
          <w:tcPr>
            <w:tcW w:w="3828" w:type="dxa"/>
            <w:shd w:val="clear" w:color="auto" w:fill="auto"/>
            <w:vAlign w:val="center"/>
            <w:hideMark/>
          </w:tcPr>
          <w:p w14:paraId="6CCFDB09" w14:textId="77777777" w:rsidR="00F818EC" w:rsidRPr="00812FFB" w:rsidRDefault="00F818EC" w:rsidP="004E6388">
            <w:pPr>
              <w:jc w:val="both"/>
              <w:rPr>
                <w:color w:val="000000" w:themeColor="text1"/>
                <w:sz w:val="20"/>
                <w:szCs w:val="20"/>
              </w:rPr>
            </w:pPr>
            <w:r w:rsidRPr="00812FFB">
              <w:rPr>
                <w:color w:val="000000" w:themeColor="text1"/>
                <w:sz w:val="20"/>
                <w:szCs w:val="20"/>
              </w:rPr>
              <w:t>Cost of water * self-generated non-potable water supply</w:t>
            </w:r>
          </w:p>
        </w:tc>
        <w:tc>
          <w:tcPr>
            <w:tcW w:w="1842" w:type="dxa"/>
            <w:shd w:val="clear" w:color="auto" w:fill="auto"/>
            <w:noWrap/>
            <w:vAlign w:val="bottom"/>
            <w:hideMark/>
          </w:tcPr>
          <w:p w14:paraId="7D12D6C9" w14:textId="1DA090E8" w:rsidR="00F818EC" w:rsidRPr="00812FFB" w:rsidRDefault="00F818EC" w:rsidP="00490A44">
            <w:pPr>
              <w:jc w:val="center"/>
              <w:rPr>
                <w:color w:val="000000" w:themeColor="text1"/>
                <w:sz w:val="20"/>
                <w:szCs w:val="20"/>
              </w:rPr>
            </w:pPr>
            <w:r w:rsidRPr="00812FFB">
              <w:rPr>
                <w:color w:val="000000" w:themeColor="text1"/>
                <w:sz w:val="20"/>
                <w:szCs w:val="20"/>
              </w:rPr>
              <w:t>4,422,376</w:t>
            </w:r>
          </w:p>
        </w:tc>
      </w:tr>
      <w:tr w:rsidR="00B311F3" w:rsidRPr="00812FFB" w14:paraId="4A5101E3" w14:textId="77777777" w:rsidTr="0040620D">
        <w:trPr>
          <w:trHeight w:val="848"/>
        </w:trPr>
        <w:tc>
          <w:tcPr>
            <w:tcW w:w="2972" w:type="dxa"/>
            <w:shd w:val="clear" w:color="auto" w:fill="DEEAF6" w:themeFill="accent5" w:themeFillTint="33"/>
            <w:noWrap/>
            <w:vAlign w:val="bottom"/>
            <w:hideMark/>
          </w:tcPr>
          <w:p w14:paraId="25AEAAA1" w14:textId="77777777" w:rsidR="00F818EC" w:rsidRPr="00812FFB" w:rsidRDefault="00F818EC" w:rsidP="004E6388">
            <w:pPr>
              <w:jc w:val="both"/>
              <w:rPr>
                <w:color w:val="000000" w:themeColor="text1"/>
                <w:sz w:val="20"/>
                <w:szCs w:val="20"/>
              </w:rPr>
            </w:pPr>
            <w:r w:rsidRPr="00812FFB">
              <w:rPr>
                <w:color w:val="000000" w:themeColor="text1"/>
                <w:sz w:val="20"/>
                <w:szCs w:val="20"/>
              </w:rPr>
              <w:t>Cost avoidance from Reduction in Cars Driven on Campus</w:t>
            </w:r>
          </w:p>
        </w:tc>
        <w:tc>
          <w:tcPr>
            <w:tcW w:w="2126" w:type="dxa"/>
            <w:shd w:val="clear" w:color="auto" w:fill="DEEAF6" w:themeFill="accent5" w:themeFillTint="33"/>
            <w:noWrap/>
            <w:vAlign w:val="center"/>
            <w:hideMark/>
          </w:tcPr>
          <w:p w14:paraId="38D4A7DF" w14:textId="77777777" w:rsidR="00F818EC" w:rsidRPr="00812FFB" w:rsidRDefault="00F818EC" w:rsidP="00490A44">
            <w:pPr>
              <w:jc w:val="center"/>
              <w:rPr>
                <w:color w:val="000000" w:themeColor="text1"/>
                <w:sz w:val="20"/>
                <w:szCs w:val="20"/>
              </w:rPr>
            </w:pPr>
            <w:r w:rsidRPr="00812FFB">
              <w:rPr>
                <w:color w:val="000000" w:themeColor="text1"/>
                <w:sz w:val="20"/>
                <w:szCs w:val="20"/>
              </w:rPr>
              <w:t>Mobility</w:t>
            </w:r>
          </w:p>
        </w:tc>
        <w:tc>
          <w:tcPr>
            <w:tcW w:w="3828" w:type="dxa"/>
            <w:shd w:val="clear" w:color="auto" w:fill="DEEAF6" w:themeFill="accent5" w:themeFillTint="33"/>
            <w:noWrap/>
            <w:vAlign w:val="bottom"/>
            <w:hideMark/>
          </w:tcPr>
          <w:p w14:paraId="5138F77E" w14:textId="1FBB5148" w:rsidR="00F818EC" w:rsidRPr="00812FFB" w:rsidRDefault="003C5E3D" w:rsidP="004E6388">
            <w:pPr>
              <w:jc w:val="both"/>
              <w:rPr>
                <w:color w:val="000000" w:themeColor="text1"/>
                <w:sz w:val="20"/>
                <w:szCs w:val="20"/>
              </w:rPr>
            </w:pPr>
            <w:r w:rsidRPr="00812FFB">
              <w:rPr>
                <w:color w:val="000000" w:themeColor="text1"/>
                <w:sz w:val="20"/>
                <w:szCs w:val="20"/>
              </w:rPr>
              <w:t xml:space="preserve">Number of trips to Campus * Percentage reduction of cars driven on campus * </w:t>
            </w:r>
            <w:r w:rsidR="007202FC" w:rsidRPr="00812FFB">
              <w:rPr>
                <w:color w:val="000000" w:themeColor="text1"/>
                <w:sz w:val="20"/>
                <w:szCs w:val="20"/>
              </w:rPr>
              <w:t xml:space="preserve">Population * </w:t>
            </w:r>
            <w:r w:rsidR="004D2925" w:rsidRPr="00812FFB">
              <w:rPr>
                <w:color w:val="000000" w:themeColor="text1"/>
                <w:sz w:val="20"/>
                <w:szCs w:val="20"/>
              </w:rPr>
              <w:t xml:space="preserve">Distance driven </w:t>
            </w:r>
          </w:p>
        </w:tc>
        <w:tc>
          <w:tcPr>
            <w:tcW w:w="1842" w:type="dxa"/>
            <w:shd w:val="clear" w:color="auto" w:fill="DEEAF6" w:themeFill="accent5" w:themeFillTint="33"/>
            <w:noWrap/>
            <w:vAlign w:val="bottom"/>
            <w:hideMark/>
          </w:tcPr>
          <w:p w14:paraId="117B82AE" w14:textId="47530E0A" w:rsidR="00F818EC" w:rsidRPr="00812FFB" w:rsidRDefault="00F818EC" w:rsidP="00490A44">
            <w:pPr>
              <w:jc w:val="center"/>
              <w:rPr>
                <w:color w:val="000000" w:themeColor="text1"/>
                <w:sz w:val="20"/>
                <w:szCs w:val="20"/>
              </w:rPr>
            </w:pPr>
            <w:r w:rsidRPr="00812FFB">
              <w:rPr>
                <w:color w:val="000000" w:themeColor="text1"/>
                <w:sz w:val="20"/>
                <w:szCs w:val="20"/>
              </w:rPr>
              <w:t>3,912,431</w:t>
            </w:r>
          </w:p>
        </w:tc>
      </w:tr>
      <w:tr w:rsidR="00B311F3" w:rsidRPr="00812FFB" w14:paraId="54DF0672" w14:textId="77777777" w:rsidTr="00B311F3">
        <w:trPr>
          <w:trHeight w:val="617"/>
        </w:trPr>
        <w:tc>
          <w:tcPr>
            <w:tcW w:w="2972" w:type="dxa"/>
            <w:shd w:val="clear" w:color="auto" w:fill="auto"/>
            <w:vAlign w:val="center"/>
            <w:hideMark/>
          </w:tcPr>
          <w:p w14:paraId="20C22F8B" w14:textId="77777777" w:rsidR="00F818EC" w:rsidRPr="00812FFB" w:rsidRDefault="00F818EC" w:rsidP="004E6388">
            <w:pPr>
              <w:jc w:val="both"/>
              <w:rPr>
                <w:color w:val="000000" w:themeColor="text1"/>
                <w:sz w:val="20"/>
                <w:szCs w:val="20"/>
              </w:rPr>
            </w:pPr>
            <w:r w:rsidRPr="00812FFB">
              <w:rPr>
                <w:color w:val="000000" w:themeColor="text1"/>
                <w:sz w:val="20"/>
                <w:szCs w:val="20"/>
              </w:rPr>
              <w:t>Decrease in electricity bill through in-house facade PV</w:t>
            </w:r>
          </w:p>
        </w:tc>
        <w:tc>
          <w:tcPr>
            <w:tcW w:w="2126" w:type="dxa"/>
            <w:shd w:val="clear" w:color="auto" w:fill="auto"/>
            <w:noWrap/>
            <w:vAlign w:val="center"/>
            <w:hideMark/>
          </w:tcPr>
          <w:p w14:paraId="54A6A550" w14:textId="77777777" w:rsidR="00F818EC" w:rsidRPr="00812FFB" w:rsidRDefault="00F818EC" w:rsidP="00490A44">
            <w:pPr>
              <w:jc w:val="center"/>
              <w:rPr>
                <w:color w:val="000000" w:themeColor="text1"/>
                <w:sz w:val="20"/>
                <w:szCs w:val="20"/>
              </w:rPr>
            </w:pPr>
            <w:r w:rsidRPr="00812FFB">
              <w:rPr>
                <w:color w:val="000000" w:themeColor="text1"/>
                <w:sz w:val="20"/>
                <w:szCs w:val="20"/>
              </w:rPr>
              <w:t>Energy</w:t>
            </w:r>
          </w:p>
        </w:tc>
        <w:tc>
          <w:tcPr>
            <w:tcW w:w="3828" w:type="dxa"/>
            <w:shd w:val="clear" w:color="auto" w:fill="auto"/>
            <w:vAlign w:val="center"/>
            <w:hideMark/>
          </w:tcPr>
          <w:p w14:paraId="1820C249" w14:textId="77777777" w:rsidR="00F818EC" w:rsidRPr="00812FFB" w:rsidRDefault="00F818EC" w:rsidP="004E6388">
            <w:pPr>
              <w:jc w:val="both"/>
              <w:rPr>
                <w:color w:val="000000" w:themeColor="text1"/>
                <w:sz w:val="20"/>
                <w:szCs w:val="20"/>
              </w:rPr>
            </w:pPr>
            <w:r w:rsidRPr="00812FFB">
              <w:rPr>
                <w:color w:val="000000" w:themeColor="text1"/>
                <w:sz w:val="20"/>
                <w:szCs w:val="20"/>
              </w:rPr>
              <w:t xml:space="preserve">Electricity supplied by in-house facade PV * SP electricity tariff, GST included </w:t>
            </w:r>
          </w:p>
        </w:tc>
        <w:tc>
          <w:tcPr>
            <w:tcW w:w="1842" w:type="dxa"/>
            <w:shd w:val="clear" w:color="auto" w:fill="auto"/>
            <w:noWrap/>
            <w:vAlign w:val="bottom"/>
            <w:hideMark/>
          </w:tcPr>
          <w:p w14:paraId="3BCA244A" w14:textId="56E5E64C" w:rsidR="00F818EC" w:rsidRPr="00812FFB" w:rsidRDefault="00F818EC" w:rsidP="00490A44">
            <w:pPr>
              <w:jc w:val="center"/>
              <w:rPr>
                <w:color w:val="000000" w:themeColor="text1"/>
                <w:sz w:val="20"/>
                <w:szCs w:val="20"/>
              </w:rPr>
            </w:pPr>
            <w:r w:rsidRPr="00812FFB">
              <w:rPr>
                <w:color w:val="000000" w:themeColor="text1"/>
                <w:sz w:val="20"/>
                <w:szCs w:val="20"/>
              </w:rPr>
              <w:t>3,410,000</w:t>
            </w:r>
          </w:p>
        </w:tc>
      </w:tr>
    </w:tbl>
    <w:p w14:paraId="7DAC7BB6" w14:textId="611E9C2F" w:rsidR="00CA126C" w:rsidRPr="00812FFB" w:rsidRDefault="00CA126C" w:rsidP="004E6388">
      <w:pPr>
        <w:jc w:val="center"/>
        <w:rPr>
          <w:i/>
          <w:sz w:val="20"/>
          <w:szCs w:val="20"/>
          <w:u w:val="single"/>
        </w:rPr>
      </w:pPr>
      <w:bookmarkStart w:id="15" w:name="OLE_LINK1"/>
      <w:r w:rsidRPr="00812FFB">
        <w:rPr>
          <w:i/>
          <w:sz w:val="20"/>
          <w:szCs w:val="20"/>
          <w:u w:val="single"/>
        </w:rPr>
        <w:t xml:space="preserve">Table </w:t>
      </w:r>
      <w:r w:rsidR="00405FCE" w:rsidRPr="00812FFB">
        <w:rPr>
          <w:i/>
          <w:sz w:val="20"/>
          <w:szCs w:val="20"/>
          <w:u w:val="single"/>
        </w:rPr>
        <w:t>3</w:t>
      </w:r>
      <w:r w:rsidRPr="00812FFB">
        <w:rPr>
          <w:i/>
          <w:sz w:val="20"/>
          <w:szCs w:val="20"/>
          <w:u w:val="single"/>
        </w:rPr>
        <w:t xml:space="preserve">: </w:t>
      </w:r>
      <w:r w:rsidR="00E1144E" w:rsidRPr="00812FFB">
        <w:rPr>
          <w:i/>
          <w:sz w:val="20"/>
          <w:szCs w:val="20"/>
          <w:u w:val="single"/>
        </w:rPr>
        <w:t xml:space="preserve">Key </w:t>
      </w:r>
      <w:r w:rsidRPr="00812FFB">
        <w:rPr>
          <w:i/>
          <w:sz w:val="20"/>
          <w:szCs w:val="20"/>
          <w:u w:val="single"/>
        </w:rPr>
        <w:t>Cost avoidance</w:t>
      </w:r>
      <w:r w:rsidR="00E1144E" w:rsidRPr="00812FFB">
        <w:rPr>
          <w:i/>
          <w:sz w:val="20"/>
          <w:szCs w:val="20"/>
          <w:u w:val="single"/>
        </w:rPr>
        <w:t xml:space="preserve"> Financial Proxies</w:t>
      </w:r>
      <w:r w:rsidRPr="00812FFB">
        <w:rPr>
          <w:i/>
          <w:sz w:val="20"/>
          <w:szCs w:val="20"/>
          <w:u w:val="single"/>
        </w:rPr>
        <w:t xml:space="preserve"> calculated </w:t>
      </w:r>
      <w:r w:rsidR="00E1144E" w:rsidRPr="00812FFB">
        <w:rPr>
          <w:i/>
          <w:sz w:val="20"/>
          <w:szCs w:val="20"/>
          <w:u w:val="single"/>
        </w:rPr>
        <w:t>o</w:t>
      </w:r>
      <w:r w:rsidRPr="00812FFB">
        <w:rPr>
          <w:i/>
          <w:sz w:val="20"/>
          <w:szCs w:val="20"/>
          <w:u w:val="single"/>
        </w:rPr>
        <w:t>n a per year basis</w:t>
      </w:r>
      <w:r w:rsidR="00FC5B8F" w:rsidRPr="00812FFB">
        <w:rPr>
          <w:i/>
          <w:sz w:val="20"/>
          <w:szCs w:val="20"/>
          <w:u w:val="single"/>
        </w:rPr>
        <w:t xml:space="preserve"> (SGD)</w:t>
      </w:r>
    </w:p>
    <w:p w14:paraId="7E2B665E" w14:textId="77777777" w:rsidR="00904897" w:rsidRPr="00812FFB" w:rsidRDefault="00904897" w:rsidP="004E6388">
      <w:pPr>
        <w:jc w:val="center"/>
        <w:rPr>
          <w:i/>
          <w:sz w:val="20"/>
          <w:szCs w:val="20"/>
          <w:u w:val="single"/>
        </w:rPr>
      </w:pPr>
    </w:p>
    <w:bookmarkEnd w:id="15"/>
    <w:p w14:paraId="01E5D2B8" w14:textId="74BD38BF" w:rsidR="002617A9" w:rsidRPr="00812FFB" w:rsidRDefault="00DE16A6" w:rsidP="004E6388">
      <w:pPr>
        <w:jc w:val="both"/>
        <w:rPr>
          <w:sz w:val="20"/>
          <w:szCs w:val="20"/>
        </w:rPr>
      </w:pPr>
      <w:r w:rsidRPr="00812FFB">
        <w:rPr>
          <w:sz w:val="20"/>
          <w:szCs w:val="20"/>
        </w:rPr>
        <w:t xml:space="preserve">From Table </w:t>
      </w:r>
      <w:r w:rsidR="00405FCE" w:rsidRPr="00812FFB">
        <w:rPr>
          <w:sz w:val="20"/>
          <w:szCs w:val="20"/>
        </w:rPr>
        <w:t>3</w:t>
      </w:r>
      <w:r w:rsidR="005D6EDC" w:rsidRPr="00812FFB">
        <w:rPr>
          <w:sz w:val="20"/>
          <w:szCs w:val="20"/>
        </w:rPr>
        <w:t>, we can see that a large proportion of the Cost Avoidance is derived from Solar PV</w:t>
      </w:r>
      <w:r w:rsidR="007673CD" w:rsidRPr="00812FFB">
        <w:rPr>
          <w:sz w:val="20"/>
          <w:szCs w:val="20"/>
        </w:rPr>
        <w:t xml:space="preserve"> Installation</w:t>
      </w:r>
      <w:r w:rsidR="005D6EDC" w:rsidRPr="00812FFB">
        <w:rPr>
          <w:sz w:val="20"/>
          <w:szCs w:val="20"/>
        </w:rPr>
        <w:t>, Wind turbine</w:t>
      </w:r>
      <w:r w:rsidR="007673CD" w:rsidRPr="00812FFB">
        <w:rPr>
          <w:sz w:val="20"/>
          <w:szCs w:val="20"/>
        </w:rPr>
        <w:t xml:space="preserve"> Installation</w:t>
      </w:r>
      <w:r w:rsidR="005D6EDC" w:rsidRPr="00812FFB">
        <w:rPr>
          <w:sz w:val="20"/>
          <w:szCs w:val="20"/>
        </w:rPr>
        <w:t xml:space="preserve"> and </w:t>
      </w:r>
      <w:r w:rsidR="007673CD" w:rsidRPr="00812FFB">
        <w:rPr>
          <w:sz w:val="20"/>
          <w:szCs w:val="20"/>
        </w:rPr>
        <w:t xml:space="preserve">Demand reduction from District cooling systems and retrofitting of buildings to attain the Green Mark certification. </w:t>
      </w:r>
    </w:p>
    <w:p w14:paraId="60574BB8" w14:textId="77777777" w:rsidR="00B16534" w:rsidRPr="00812FFB" w:rsidRDefault="00B16534" w:rsidP="004E6388">
      <w:pPr>
        <w:jc w:val="both"/>
        <w:rPr>
          <w:sz w:val="20"/>
          <w:szCs w:val="20"/>
        </w:rPr>
      </w:pPr>
    </w:p>
    <w:p w14:paraId="5AD563C2" w14:textId="4FBD79E9" w:rsidR="00C513C5" w:rsidRPr="00812FFB" w:rsidRDefault="00CD24F5" w:rsidP="00904897">
      <w:pPr>
        <w:pStyle w:val="Heading4"/>
        <w:rPr>
          <w:sz w:val="20"/>
          <w:szCs w:val="20"/>
        </w:rPr>
      </w:pPr>
      <w:r w:rsidRPr="00812FFB">
        <w:rPr>
          <w:sz w:val="20"/>
          <w:szCs w:val="20"/>
        </w:rPr>
        <w:t>4.</w:t>
      </w:r>
      <w:r w:rsidR="00EA7313" w:rsidRPr="00812FFB">
        <w:rPr>
          <w:sz w:val="20"/>
          <w:szCs w:val="20"/>
        </w:rPr>
        <w:t>3</w:t>
      </w:r>
      <w:r w:rsidRPr="00812FFB">
        <w:rPr>
          <w:sz w:val="20"/>
          <w:szCs w:val="20"/>
        </w:rPr>
        <w:t xml:space="preserve">.1.1 </w:t>
      </w:r>
      <w:r w:rsidR="00D30EFB" w:rsidRPr="00812FFB">
        <w:rPr>
          <w:sz w:val="20"/>
          <w:szCs w:val="20"/>
        </w:rPr>
        <w:t xml:space="preserve">Energy: </w:t>
      </w:r>
      <w:r w:rsidR="00C513C5" w:rsidRPr="00812FFB">
        <w:rPr>
          <w:sz w:val="20"/>
          <w:szCs w:val="20"/>
        </w:rPr>
        <w:t>Solar PV Installation, Wind Turbine Installation, District cooling systems and Retrofitting of Buildings</w:t>
      </w:r>
    </w:p>
    <w:p w14:paraId="334998A3" w14:textId="3C23FCFE" w:rsidR="00E87994" w:rsidRPr="00812FFB" w:rsidRDefault="00E87994" w:rsidP="004E6388">
      <w:pPr>
        <w:jc w:val="both"/>
        <w:rPr>
          <w:sz w:val="20"/>
          <w:szCs w:val="20"/>
        </w:rPr>
      </w:pPr>
      <w:r w:rsidRPr="00812FFB">
        <w:rPr>
          <w:sz w:val="20"/>
          <w:szCs w:val="20"/>
        </w:rPr>
        <w:t xml:space="preserve">The </w:t>
      </w:r>
      <w:r w:rsidR="00606798" w:rsidRPr="00812FFB">
        <w:rPr>
          <w:sz w:val="20"/>
          <w:szCs w:val="20"/>
        </w:rPr>
        <w:t xml:space="preserve">cost avoidance from the energy produced and reduction in energy demanded </w:t>
      </w:r>
      <w:r w:rsidR="00F05E47" w:rsidRPr="00812FFB">
        <w:rPr>
          <w:sz w:val="20"/>
          <w:szCs w:val="20"/>
        </w:rPr>
        <w:t xml:space="preserve">refers to the </w:t>
      </w:r>
      <w:r w:rsidR="004A0F01" w:rsidRPr="00812FFB">
        <w:rPr>
          <w:sz w:val="20"/>
          <w:szCs w:val="20"/>
        </w:rPr>
        <w:t>energy cost savings</w:t>
      </w:r>
      <w:r w:rsidR="00CB486B" w:rsidRPr="00812FFB">
        <w:rPr>
          <w:sz w:val="20"/>
          <w:szCs w:val="20"/>
        </w:rPr>
        <w:t xml:space="preserve"> from the </w:t>
      </w:r>
      <w:r w:rsidRPr="00812FFB">
        <w:rPr>
          <w:sz w:val="20"/>
          <w:szCs w:val="20"/>
        </w:rPr>
        <w:t>installation of in-house and façade PVs</w:t>
      </w:r>
      <w:r w:rsidR="0044011B" w:rsidRPr="00812FFB">
        <w:rPr>
          <w:sz w:val="20"/>
          <w:szCs w:val="20"/>
        </w:rPr>
        <w:t>, Wind turbin</w:t>
      </w:r>
      <w:r w:rsidR="004464E0" w:rsidRPr="00812FFB">
        <w:rPr>
          <w:sz w:val="20"/>
          <w:szCs w:val="20"/>
        </w:rPr>
        <w:t>e</w:t>
      </w:r>
      <w:r w:rsidR="0044011B" w:rsidRPr="00812FFB">
        <w:rPr>
          <w:sz w:val="20"/>
          <w:szCs w:val="20"/>
        </w:rPr>
        <w:t xml:space="preserve"> Installation and Retrofitting of buildings</w:t>
      </w:r>
      <w:r w:rsidR="00CB486B" w:rsidRPr="00812FFB">
        <w:rPr>
          <w:sz w:val="20"/>
          <w:szCs w:val="20"/>
        </w:rPr>
        <w:t xml:space="preserve">, this value is taken to be </w:t>
      </w:r>
      <w:r w:rsidR="00AF2D3C" w:rsidRPr="00812FFB">
        <w:rPr>
          <w:sz w:val="20"/>
          <w:szCs w:val="20"/>
        </w:rPr>
        <w:t>NUS’</w:t>
      </w:r>
      <w:r w:rsidR="00CB486B" w:rsidRPr="00812FFB">
        <w:rPr>
          <w:sz w:val="20"/>
          <w:szCs w:val="20"/>
        </w:rPr>
        <w:t xml:space="preserve"> </w:t>
      </w:r>
      <w:r w:rsidR="0010040E" w:rsidRPr="00812FFB">
        <w:rPr>
          <w:sz w:val="20"/>
          <w:szCs w:val="20"/>
        </w:rPr>
        <w:t xml:space="preserve">cost savings </w:t>
      </w:r>
      <w:r w:rsidR="00E40A44" w:rsidRPr="00812FFB">
        <w:rPr>
          <w:sz w:val="20"/>
          <w:szCs w:val="20"/>
        </w:rPr>
        <w:t xml:space="preserve">for electricity </w:t>
      </w:r>
      <w:r w:rsidR="00AF2D3C" w:rsidRPr="00812FFB">
        <w:rPr>
          <w:sz w:val="20"/>
          <w:szCs w:val="20"/>
        </w:rPr>
        <w:t>from Electricity Retailers such as SP Group.</w:t>
      </w:r>
      <w:r w:rsidR="00361F42" w:rsidRPr="00812FFB">
        <w:rPr>
          <w:sz w:val="20"/>
          <w:szCs w:val="20"/>
        </w:rPr>
        <w:t xml:space="preserve"> </w:t>
      </w:r>
    </w:p>
    <w:p w14:paraId="6E522039" w14:textId="3662CE29" w:rsidR="00192A1D" w:rsidRPr="00812FFB" w:rsidRDefault="005A504C" w:rsidP="004E6388">
      <w:pPr>
        <w:pStyle w:val="Subtitle"/>
        <w:jc w:val="both"/>
        <w:rPr>
          <w:b w:val="0"/>
          <w:bCs w:val="0"/>
          <w:sz w:val="20"/>
          <w:szCs w:val="20"/>
        </w:rPr>
      </w:pPr>
      <w:r>
        <w:rPr>
          <w:sz w:val="20"/>
          <w:szCs w:val="20"/>
        </w:rPr>
        <w:t xml:space="preserve">Cost Avoidance due to </w:t>
      </w:r>
      <w:r w:rsidR="00192A1D" w:rsidRPr="00812FFB">
        <w:rPr>
          <w:sz w:val="20"/>
          <w:szCs w:val="20"/>
        </w:rPr>
        <w:t>Energy Produced</w:t>
      </w:r>
      <w:r w:rsidR="00473F0C" w:rsidRPr="00812FFB">
        <w:rPr>
          <w:sz w:val="20"/>
          <w:szCs w:val="20"/>
        </w:rPr>
        <w:t xml:space="preserve"> and Demand reduced</w:t>
      </w:r>
      <w:r w:rsidR="00473F0C" w:rsidRPr="00812FFB">
        <w:rPr>
          <w:b w:val="0"/>
          <w:bCs w:val="0"/>
          <w:sz w:val="20"/>
          <w:szCs w:val="20"/>
        </w:rPr>
        <w:t xml:space="preserve"> </w:t>
      </w:r>
      <w:r w:rsidR="00192A1D" w:rsidRPr="00812FFB">
        <w:rPr>
          <w:b w:val="0"/>
          <w:bCs w:val="0"/>
          <w:sz w:val="20"/>
          <w:szCs w:val="20"/>
        </w:rPr>
        <w:t xml:space="preserve">= </w:t>
      </w:r>
      <w:r w:rsidR="00092AAC">
        <w:rPr>
          <w:b w:val="0"/>
          <w:bCs w:val="0"/>
          <w:sz w:val="20"/>
          <w:szCs w:val="20"/>
        </w:rPr>
        <w:t>[</w:t>
      </w:r>
      <w:r w:rsidR="00431D05" w:rsidRPr="00812FFB">
        <w:rPr>
          <w:b w:val="0"/>
          <w:bCs w:val="0"/>
          <w:sz w:val="20"/>
          <w:szCs w:val="20"/>
        </w:rPr>
        <w:t xml:space="preserve">Energy produced by Rooftop </w:t>
      </w:r>
      <w:r w:rsidR="00927E2D">
        <w:rPr>
          <w:b w:val="0"/>
          <w:bCs w:val="0"/>
          <w:sz w:val="20"/>
          <w:szCs w:val="20"/>
        </w:rPr>
        <w:t xml:space="preserve">&amp; Façade </w:t>
      </w:r>
      <w:r w:rsidR="00431D05" w:rsidRPr="00812FFB">
        <w:rPr>
          <w:b w:val="0"/>
          <w:bCs w:val="0"/>
          <w:sz w:val="20"/>
          <w:szCs w:val="20"/>
        </w:rPr>
        <w:t xml:space="preserve">Solar PV </w:t>
      </w:r>
      <w:r w:rsidR="00BF14F3" w:rsidRPr="00812FFB">
        <w:rPr>
          <w:b w:val="0"/>
          <w:bCs w:val="0"/>
          <w:sz w:val="20"/>
          <w:szCs w:val="20"/>
        </w:rPr>
        <w:t xml:space="preserve">+ Energy produced by Wind Turbine + </w:t>
      </w:r>
      <w:r w:rsidR="00473F0C" w:rsidRPr="00812FFB">
        <w:rPr>
          <w:b w:val="0"/>
          <w:bCs w:val="0"/>
          <w:sz w:val="20"/>
          <w:szCs w:val="20"/>
        </w:rPr>
        <w:t>(Current Energy Demand - Target Energy Demand)</w:t>
      </w:r>
      <w:r w:rsidR="00092AAC">
        <w:rPr>
          <w:b w:val="0"/>
          <w:bCs w:val="0"/>
          <w:sz w:val="20"/>
          <w:szCs w:val="20"/>
        </w:rPr>
        <w:t>]</w:t>
      </w:r>
      <w:r w:rsidR="00AE6A01">
        <w:rPr>
          <w:b w:val="0"/>
          <w:bCs w:val="0"/>
          <w:sz w:val="20"/>
          <w:szCs w:val="20"/>
        </w:rPr>
        <w:t xml:space="preserve"> * Energy Tariffs</w:t>
      </w:r>
    </w:p>
    <w:p w14:paraId="5F03E2AB" w14:textId="753E44C9" w:rsidR="0010040E" w:rsidRPr="00812FFB" w:rsidRDefault="0010040E" w:rsidP="004E6388">
      <w:pPr>
        <w:jc w:val="both"/>
        <w:rPr>
          <w:sz w:val="20"/>
          <w:szCs w:val="20"/>
        </w:rPr>
      </w:pPr>
      <w:r w:rsidRPr="00812FFB">
        <w:rPr>
          <w:sz w:val="20"/>
          <w:szCs w:val="20"/>
        </w:rPr>
        <w:t>Thus we derived the cost avoidance by multiplying the amount of Energy produced and demand reduced by SP</w:t>
      </w:r>
      <w:r w:rsidR="000C7042" w:rsidRPr="00812FFB">
        <w:rPr>
          <w:sz w:val="20"/>
          <w:szCs w:val="20"/>
        </w:rPr>
        <w:t xml:space="preserve"> Group’s</w:t>
      </w:r>
      <w:r w:rsidRPr="00812FFB">
        <w:rPr>
          <w:sz w:val="20"/>
          <w:szCs w:val="20"/>
        </w:rPr>
        <w:t xml:space="preserve"> Electricity Household Tariffs (including GST)</w:t>
      </w:r>
      <w:r w:rsidR="00B2019F" w:rsidRPr="00812FFB">
        <w:rPr>
          <w:sz w:val="20"/>
          <w:szCs w:val="20"/>
        </w:rPr>
        <w:t xml:space="preserve"> </w:t>
      </w:r>
      <w:r w:rsidR="006F11A0" w:rsidRPr="00812FFB">
        <w:rPr>
          <w:sz w:val="20"/>
          <w:szCs w:val="20"/>
        </w:rPr>
        <w:t xml:space="preserve">(SP Group, 2023) projected </w:t>
      </w:r>
      <w:r w:rsidR="00B2019F" w:rsidRPr="00812FFB">
        <w:rPr>
          <w:sz w:val="20"/>
          <w:szCs w:val="20"/>
        </w:rPr>
        <w:t>over the years of the Project, also</w:t>
      </w:r>
      <w:r w:rsidRPr="00812FFB">
        <w:rPr>
          <w:sz w:val="20"/>
          <w:szCs w:val="20"/>
        </w:rPr>
        <w:t xml:space="preserve"> adjust</w:t>
      </w:r>
      <w:r w:rsidR="00B2019F" w:rsidRPr="00812FFB">
        <w:rPr>
          <w:sz w:val="20"/>
          <w:szCs w:val="20"/>
        </w:rPr>
        <w:t>ing</w:t>
      </w:r>
      <w:r w:rsidRPr="00812FFB">
        <w:rPr>
          <w:sz w:val="20"/>
          <w:szCs w:val="20"/>
        </w:rPr>
        <w:t xml:space="preserve"> for inflation </w:t>
      </w:r>
      <w:r w:rsidR="00D73C73" w:rsidRPr="00812FFB">
        <w:rPr>
          <w:sz w:val="20"/>
          <w:szCs w:val="20"/>
        </w:rPr>
        <w:t xml:space="preserve">over time </w:t>
      </w:r>
      <w:r w:rsidRPr="00812FFB">
        <w:rPr>
          <w:sz w:val="20"/>
          <w:szCs w:val="20"/>
        </w:rPr>
        <w:t xml:space="preserve">in our SROI calculation below. </w:t>
      </w:r>
    </w:p>
    <w:p w14:paraId="6110DD3A" w14:textId="77777777" w:rsidR="0010040E" w:rsidRPr="00812FFB" w:rsidRDefault="0010040E" w:rsidP="004E6388">
      <w:pPr>
        <w:jc w:val="both"/>
        <w:rPr>
          <w:i/>
          <w:iCs/>
          <w:sz w:val="20"/>
          <w:szCs w:val="20"/>
        </w:rPr>
      </w:pPr>
    </w:p>
    <w:p w14:paraId="79EB4A45" w14:textId="5AAA1930" w:rsidR="00C513C5" w:rsidRPr="00812FFB" w:rsidRDefault="00CD24F5" w:rsidP="00904897">
      <w:pPr>
        <w:pStyle w:val="Heading4"/>
        <w:rPr>
          <w:sz w:val="20"/>
          <w:szCs w:val="20"/>
        </w:rPr>
      </w:pPr>
      <w:r w:rsidRPr="00812FFB">
        <w:rPr>
          <w:sz w:val="20"/>
          <w:szCs w:val="20"/>
        </w:rPr>
        <w:t>4.</w:t>
      </w:r>
      <w:r w:rsidR="00EA7313" w:rsidRPr="00812FFB">
        <w:rPr>
          <w:sz w:val="20"/>
          <w:szCs w:val="20"/>
        </w:rPr>
        <w:t>3</w:t>
      </w:r>
      <w:r w:rsidRPr="00812FFB">
        <w:rPr>
          <w:sz w:val="20"/>
          <w:szCs w:val="20"/>
        </w:rPr>
        <w:t xml:space="preserve">.1.2 </w:t>
      </w:r>
      <w:r w:rsidR="00D30EFB" w:rsidRPr="00812FFB">
        <w:rPr>
          <w:sz w:val="20"/>
          <w:szCs w:val="20"/>
        </w:rPr>
        <w:t xml:space="preserve">Water: </w:t>
      </w:r>
      <w:r w:rsidR="00C513C5" w:rsidRPr="00812FFB">
        <w:rPr>
          <w:sz w:val="20"/>
          <w:szCs w:val="20"/>
        </w:rPr>
        <w:t>Rainwater Harvesting and Greywater recycling</w:t>
      </w:r>
    </w:p>
    <w:p w14:paraId="5E70EC91" w14:textId="0A2C5164" w:rsidR="001754EE" w:rsidRPr="00812FFB" w:rsidRDefault="00F63AC8" w:rsidP="004E6388">
      <w:pPr>
        <w:jc w:val="both"/>
        <w:rPr>
          <w:iCs/>
          <w:sz w:val="20"/>
          <w:szCs w:val="20"/>
        </w:rPr>
      </w:pPr>
      <w:r w:rsidRPr="00812FFB">
        <w:rPr>
          <w:iCs/>
          <w:sz w:val="20"/>
          <w:szCs w:val="20"/>
        </w:rPr>
        <w:t xml:space="preserve">The savings from the generation of Non-potable water supply </w:t>
      </w:r>
      <w:r w:rsidR="002B43E4" w:rsidRPr="00812FFB">
        <w:rPr>
          <w:iCs/>
          <w:sz w:val="20"/>
          <w:szCs w:val="20"/>
        </w:rPr>
        <w:t xml:space="preserve">via Rainwater Harvesting and Grey Water Recycling </w:t>
      </w:r>
      <w:r w:rsidRPr="00812FFB">
        <w:rPr>
          <w:iCs/>
          <w:sz w:val="20"/>
          <w:szCs w:val="20"/>
        </w:rPr>
        <w:t xml:space="preserve">is derived from </w:t>
      </w:r>
      <w:r w:rsidR="001C48F0" w:rsidRPr="00812FFB">
        <w:rPr>
          <w:iCs/>
          <w:sz w:val="20"/>
          <w:szCs w:val="20"/>
        </w:rPr>
        <w:t xml:space="preserve">multiplying the amount of </w:t>
      </w:r>
      <w:r w:rsidR="00A634CA" w:rsidRPr="00812FFB">
        <w:rPr>
          <w:iCs/>
          <w:sz w:val="20"/>
          <w:szCs w:val="20"/>
        </w:rPr>
        <w:t xml:space="preserve">non-potable water </w:t>
      </w:r>
      <w:r w:rsidR="00AA46B0" w:rsidRPr="00812FFB">
        <w:rPr>
          <w:iCs/>
          <w:sz w:val="20"/>
          <w:szCs w:val="20"/>
        </w:rPr>
        <w:t xml:space="preserve">generated from the </w:t>
      </w:r>
      <w:r w:rsidR="00970E19" w:rsidRPr="00812FFB">
        <w:rPr>
          <w:iCs/>
          <w:sz w:val="20"/>
          <w:szCs w:val="20"/>
        </w:rPr>
        <w:t>Water recycling initiatives</w:t>
      </w:r>
      <w:r w:rsidR="006F03B7" w:rsidRPr="00812FFB">
        <w:rPr>
          <w:iCs/>
          <w:sz w:val="20"/>
          <w:szCs w:val="20"/>
        </w:rPr>
        <w:t xml:space="preserve"> by the </w:t>
      </w:r>
      <w:r w:rsidR="00C26FDD" w:rsidRPr="00812FFB">
        <w:rPr>
          <w:iCs/>
          <w:sz w:val="20"/>
          <w:szCs w:val="20"/>
        </w:rPr>
        <w:t>Price of water for househo</w:t>
      </w:r>
      <w:r w:rsidR="007654E2" w:rsidRPr="00812FFB">
        <w:rPr>
          <w:iCs/>
          <w:sz w:val="20"/>
          <w:szCs w:val="20"/>
        </w:rPr>
        <w:t xml:space="preserve">lds. </w:t>
      </w:r>
    </w:p>
    <w:p w14:paraId="1781E7D5" w14:textId="4E9C7A29" w:rsidR="0040620D" w:rsidRPr="00812FFB" w:rsidRDefault="0040620D" w:rsidP="004E6388">
      <w:pPr>
        <w:pStyle w:val="Subtitle"/>
        <w:jc w:val="both"/>
        <w:rPr>
          <w:b w:val="0"/>
          <w:bCs w:val="0"/>
          <w:sz w:val="20"/>
          <w:szCs w:val="20"/>
        </w:rPr>
      </w:pPr>
      <w:r w:rsidRPr="00812FFB">
        <w:rPr>
          <w:sz w:val="20"/>
          <w:szCs w:val="20"/>
        </w:rPr>
        <w:t xml:space="preserve">Cost Avoidance due to </w:t>
      </w:r>
      <w:r w:rsidR="00DC7E21" w:rsidRPr="00812FFB">
        <w:rPr>
          <w:sz w:val="20"/>
          <w:szCs w:val="20"/>
        </w:rPr>
        <w:t xml:space="preserve">generation of Non-potable and potable water supply </w:t>
      </w:r>
      <w:r w:rsidR="00C924CF" w:rsidRPr="00812FFB">
        <w:rPr>
          <w:b w:val="0"/>
          <w:bCs w:val="0"/>
          <w:sz w:val="20"/>
          <w:szCs w:val="20"/>
        </w:rPr>
        <w:t xml:space="preserve">= </w:t>
      </w:r>
      <w:r w:rsidR="00CE16C2" w:rsidRPr="00812FFB">
        <w:rPr>
          <w:b w:val="0"/>
          <w:bCs w:val="0"/>
          <w:sz w:val="20"/>
          <w:szCs w:val="20"/>
        </w:rPr>
        <w:t xml:space="preserve">Price of water * </w:t>
      </w:r>
      <w:r w:rsidR="00B16534" w:rsidRPr="00812FFB">
        <w:rPr>
          <w:b w:val="0"/>
          <w:bCs w:val="0"/>
          <w:sz w:val="20"/>
          <w:szCs w:val="20"/>
        </w:rPr>
        <w:t xml:space="preserve">Self-generated supply of Non-potable and Potable water </w:t>
      </w:r>
    </w:p>
    <w:p w14:paraId="0A22C8BC" w14:textId="3BF4A7C2" w:rsidR="00B16534" w:rsidRPr="00812FFB" w:rsidRDefault="00B16534" w:rsidP="004E6388">
      <w:pPr>
        <w:jc w:val="both"/>
        <w:rPr>
          <w:iCs/>
          <w:sz w:val="20"/>
          <w:szCs w:val="20"/>
        </w:rPr>
      </w:pPr>
      <w:r w:rsidRPr="00812FFB">
        <w:rPr>
          <w:iCs/>
          <w:sz w:val="20"/>
          <w:szCs w:val="20"/>
        </w:rPr>
        <w:t>In Singapore, there is not a view on the difference in price between potable and non-potable water thus if we were to incorporate for the lower price of non-potable water, the cost savings should be reduced. However, we do not believe the difference in price to be substantial</w:t>
      </w:r>
      <w:r w:rsidR="00FE0C26" w:rsidRPr="00812FFB">
        <w:rPr>
          <w:iCs/>
          <w:sz w:val="20"/>
          <w:szCs w:val="20"/>
        </w:rPr>
        <w:t xml:space="preserve"> </w:t>
      </w:r>
      <w:r w:rsidR="00DD4951" w:rsidRPr="00812FFB">
        <w:rPr>
          <w:iCs/>
          <w:sz w:val="20"/>
          <w:szCs w:val="20"/>
        </w:rPr>
        <w:t>as Singapore’s tap water is potable</w:t>
      </w:r>
      <w:r w:rsidRPr="00812FFB">
        <w:rPr>
          <w:iCs/>
          <w:sz w:val="20"/>
          <w:szCs w:val="20"/>
        </w:rPr>
        <w:t xml:space="preserve">. </w:t>
      </w:r>
      <w:r w:rsidR="00406820" w:rsidRPr="00812FFB">
        <w:rPr>
          <w:iCs/>
          <w:sz w:val="20"/>
          <w:szCs w:val="20"/>
        </w:rPr>
        <w:t xml:space="preserve">Thus, we calculate the cost avoidance of </w:t>
      </w:r>
      <w:r w:rsidR="00230073" w:rsidRPr="00812FFB">
        <w:rPr>
          <w:iCs/>
          <w:sz w:val="20"/>
          <w:szCs w:val="20"/>
        </w:rPr>
        <w:t>Rainwater Harvesting and Greywater Recycling by multiplying the Price of Potable Water in Singapore</w:t>
      </w:r>
      <w:r w:rsidR="009654EB" w:rsidRPr="00812FFB">
        <w:rPr>
          <w:iCs/>
          <w:sz w:val="20"/>
          <w:szCs w:val="20"/>
        </w:rPr>
        <w:t xml:space="preserve"> (PUB, 2023) projected</w:t>
      </w:r>
      <w:r w:rsidR="003E7080" w:rsidRPr="00812FFB">
        <w:rPr>
          <w:iCs/>
          <w:sz w:val="20"/>
          <w:szCs w:val="20"/>
        </w:rPr>
        <w:t xml:space="preserve"> for the relevant Project </w:t>
      </w:r>
      <w:r w:rsidR="009C48EB" w:rsidRPr="00812FFB">
        <w:rPr>
          <w:iCs/>
          <w:sz w:val="20"/>
          <w:szCs w:val="20"/>
        </w:rPr>
        <w:t>years by t</w:t>
      </w:r>
      <w:r w:rsidR="00A36787" w:rsidRPr="00812FFB">
        <w:rPr>
          <w:iCs/>
          <w:sz w:val="20"/>
          <w:szCs w:val="20"/>
        </w:rPr>
        <w:t xml:space="preserve">he </w:t>
      </w:r>
      <w:r w:rsidR="00374BAA" w:rsidRPr="00812FFB">
        <w:rPr>
          <w:iCs/>
          <w:sz w:val="20"/>
          <w:szCs w:val="20"/>
        </w:rPr>
        <w:t>supply</w:t>
      </w:r>
      <w:r w:rsidR="00A36787" w:rsidRPr="00812FFB">
        <w:rPr>
          <w:iCs/>
          <w:sz w:val="20"/>
          <w:szCs w:val="20"/>
        </w:rPr>
        <w:t xml:space="preserve"> of Self-generated </w:t>
      </w:r>
      <w:r w:rsidR="001477F4" w:rsidRPr="00812FFB">
        <w:rPr>
          <w:iCs/>
          <w:sz w:val="20"/>
          <w:szCs w:val="20"/>
        </w:rPr>
        <w:t xml:space="preserve">Non-potable and Potable water, </w:t>
      </w:r>
      <w:r w:rsidR="00420D07" w:rsidRPr="00812FFB">
        <w:rPr>
          <w:iCs/>
          <w:sz w:val="20"/>
          <w:szCs w:val="20"/>
        </w:rPr>
        <w:t>also</w:t>
      </w:r>
      <w:r w:rsidRPr="00812FFB">
        <w:rPr>
          <w:iCs/>
          <w:sz w:val="20"/>
          <w:szCs w:val="20"/>
        </w:rPr>
        <w:t xml:space="preserve"> adjust</w:t>
      </w:r>
      <w:r w:rsidR="00420D07" w:rsidRPr="00812FFB">
        <w:rPr>
          <w:iCs/>
          <w:sz w:val="20"/>
          <w:szCs w:val="20"/>
        </w:rPr>
        <w:t>ing</w:t>
      </w:r>
      <w:r w:rsidRPr="00812FFB">
        <w:rPr>
          <w:iCs/>
          <w:sz w:val="20"/>
          <w:szCs w:val="20"/>
        </w:rPr>
        <w:t xml:space="preserve"> for inflation in our SROI calculation below.</w:t>
      </w:r>
    </w:p>
    <w:p w14:paraId="3539EC16" w14:textId="77777777" w:rsidR="00B16534" w:rsidRPr="00812FFB" w:rsidRDefault="00B16534" w:rsidP="004E6388">
      <w:pPr>
        <w:jc w:val="both"/>
        <w:rPr>
          <w:sz w:val="20"/>
          <w:szCs w:val="20"/>
        </w:rPr>
      </w:pPr>
    </w:p>
    <w:p w14:paraId="4EB3EFFD" w14:textId="57C76129" w:rsidR="0040620D" w:rsidRPr="00812FFB" w:rsidRDefault="00CD24F5" w:rsidP="00904897">
      <w:pPr>
        <w:pStyle w:val="Heading4"/>
        <w:rPr>
          <w:sz w:val="20"/>
          <w:szCs w:val="20"/>
        </w:rPr>
      </w:pPr>
      <w:r w:rsidRPr="00812FFB">
        <w:rPr>
          <w:sz w:val="20"/>
          <w:szCs w:val="20"/>
        </w:rPr>
        <w:lastRenderedPageBreak/>
        <w:t>4.</w:t>
      </w:r>
      <w:r w:rsidR="00EA7313" w:rsidRPr="00812FFB">
        <w:rPr>
          <w:sz w:val="20"/>
          <w:szCs w:val="20"/>
        </w:rPr>
        <w:t>3</w:t>
      </w:r>
      <w:r w:rsidRPr="00812FFB">
        <w:rPr>
          <w:sz w:val="20"/>
          <w:szCs w:val="20"/>
        </w:rPr>
        <w:t xml:space="preserve">.1.3 </w:t>
      </w:r>
      <w:r w:rsidR="00D30EFB" w:rsidRPr="00812FFB">
        <w:rPr>
          <w:sz w:val="20"/>
          <w:szCs w:val="20"/>
        </w:rPr>
        <w:t>Mobility: Multi-modal Transport (YCCN, Driverless Shuttle and Monorail)</w:t>
      </w:r>
    </w:p>
    <w:p w14:paraId="0AE4FA16" w14:textId="77777777" w:rsidR="00415689" w:rsidRPr="00812FFB" w:rsidRDefault="001754EE" w:rsidP="004E6388">
      <w:pPr>
        <w:jc w:val="both"/>
        <w:rPr>
          <w:iCs/>
          <w:sz w:val="20"/>
          <w:szCs w:val="20"/>
        </w:rPr>
      </w:pPr>
      <w:r w:rsidRPr="00812FFB">
        <w:rPr>
          <w:iCs/>
          <w:sz w:val="20"/>
          <w:szCs w:val="20"/>
        </w:rPr>
        <w:t xml:space="preserve">The cost avoidance from the reduction of Cars driven on Campus is estimated to be the </w:t>
      </w:r>
      <w:r w:rsidR="00201934" w:rsidRPr="00812FFB">
        <w:rPr>
          <w:iCs/>
          <w:sz w:val="20"/>
          <w:szCs w:val="20"/>
        </w:rPr>
        <w:t>reduced</w:t>
      </w:r>
      <w:r w:rsidR="00EA6BBB" w:rsidRPr="00812FFB">
        <w:rPr>
          <w:iCs/>
          <w:sz w:val="20"/>
          <w:szCs w:val="20"/>
        </w:rPr>
        <w:t xml:space="preserve"> accident costs, driving costs, time costs and air pollution costs per </w:t>
      </w:r>
      <w:proofErr w:type="spellStart"/>
      <w:r w:rsidR="00EA6BBB" w:rsidRPr="00812FFB">
        <w:rPr>
          <w:iCs/>
          <w:sz w:val="20"/>
          <w:szCs w:val="20"/>
        </w:rPr>
        <w:t>kilometer</w:t>
      </w:r>
      <w:proofErr w:type="spellEnd"/>
      <w:r w:rsidR="00EA6BBB" w:rsidRPr="00812FFB">
        <w:rPr>
          <w:iCs/>
          <w:sz w:val="20"/>
          <w:szCs w:val="20"/>
        </w:rPr>
        <w:t xml:space="preserve">. </w:t>
      </w:r>
    </w:p>
    <w:p w14:paraId="73531589" w14:textId="1F95E8E4" w:rsidR="00415689" w:rsidRPr="00812FFB" w:rsidRDefault="00415689" w:rsidP="004E6388">
      <w:pPr>
        <w:pStyle w:val="Subtitle"/>
        <w:jc w:val="both"/>
        <w:rPr>
          <w:sz w:val="20"/>
          <w:szCs w:val="20"/>
        </w:rPr>
      </w:pPr>
      <w:r w:rsidRPr="00812FFB">
        <w:rPr>
          <w:sz w:val="20"/>
          <w:szCs w:val="20"/>
        </w:rPr>
        <w:t xml:space="preserve">Cost avoidance due to reduction in cars driven on Campus </w:t>
      </w:r>
      <w:r w:rsidRPr="00812FFB">
        <w:rPr>
          <w:b w:val="0"/>
          <w:bCs w:val="0"/>
          <w:sz w:val="20"/>
          <w:szCs w:val="20"/>
        </w:rPr>
        <w:t xml:space="preserve">= </w:t>
      </w:r>
      <w:r w:rsidR="00A76671" w:rsidRPr="00812FFB">
        <w:rPr>
          <w:b w:val="0"/>
          <w:bCs w:val="0"/>
          <w:sz w:val="20"/>
          <w:szCs w:val="20"/>
        </w:rPr>
        <w:t>[</w:t>
      </w:r>
      <w:r w:rsidRPr="00812FFB">
        <w:rPr>
          <w:b w:val="0"/>
          <w:bCs w:val="0"/>
          <w:sz w:val="20"/>
          <w:szCs w:val="20"/>
        </w:rPr>
        <w:t xml:space="preserve">Number of NUS Staff and Students that live off-campus * Number of trips made to Campus </w:t>
      </w:r>
      <w:r w:rsidR="00F723D1" w:rsidRPr="00812FFB">
        <w:rPr>
          <w:b w:val="0"/>
          <w:bCs w:val="0"/>
          <w:sz w:val="20"/>
          <w:szCs w:val="20"/>
        </w:rPr>
        <w:t>per</w:t>
      </w:r>
      <w:r w:rsidRPr="00812FFB">
        <w:rPr>
          <w:b w:val="0"/>
          <w:bCs w:val="0"/>
          <w:sz w:val="20"/>
          <w:szCs w:val="20"/>
        </w:rPr>
        <w:t xml:space="preserve"> year (off-campus) + Number of NUS Staff and Students that live on campus * Number of trips made to Campus </w:t>
      </w:r>
      <w:r w:rsidR="00F723D1" w:rsidRPr="00812FFB">
        <w:rPr>
          <w:b w:val="0"/>
          <w:bCs w:val="0"/>
          <w:sz w:val="20"/>
          <w:szCs w:val="20"/>
        </w:rPr>
        <w:t>per</w:t>
      </w:r>
      <w:r w:rsidRPr="00812FFB">
        <w:rPr>
          <w:b w:val="0"/>
          <w:bCs w:val="0"/>
          <w:sz w:val="20"/>
          <w:szCs w:val="20"/>
        </w:rPr>
        <w:t xml:space="preserve"> year (on Campus)</w:t>
      </w:r>
      <w:r w:rsidR="00A76671" w:rsidRPr="00812FFB">
        <w:rPr>
          <w:b w:val="0"/>
          <w:bCs w:val="0"/>
          <w:sz w:val="20"/>
          <w:szCs w:val="20"/>
        </w:rPr>
        <w:t>]</w:t>
      </w:r>
      <w:r w:rsidRPr="00812FFB">
        <w:rPr>
          <w:b w:val="0"/>
          <w:bCs w:val="0"/>
          <w:sz w:val="20"/>
          <w:szCs w:val="20"/>
        </w:rPr>
        <w:t xml:space="preserve"> * Percentage that drive to Campus * Percentage willing to switch to </w:t>
      </w:r>
      <w:r w:rsidR="00070E99">
        <w:rPr>
          <w:b w:val="0"/>
          <w:bCs w:val="0"/>
          <w:sz w:val="20"/>
          <w:szCs w:val="20"/>
        </w:rPr>
        <w:t>public transport</w:t>
      </w:r>
      <w:r w:rsidRPr="00812FFB">
        <w:rPr>
          <w:b w:val="0"/>
          <w:bCs w:val="0"/>
          <w:sz w:val="20"/>
          <w:szCs w:val="20"/>
        </w:rPr>
        <w:t xml:space="preserve"> * Cost savings from reduction in</w:t>
      </w:r>
      <w:r w:rsidR="00F723D1" w:rsidRPr="00812FFB">
        <w:rPr>
          <w:b w:val="0"/>
          <w:bCs w:val="0"/>
          <w:sz w:val="20"/>
          <w:szCs w:val="20"/>
        </w:rPr>
        <w:t xml:space="preserve"> distance driven in a</w:t>
      </w:r>
      <w:r w:rsidRPr="00812FFB">
        <w:rPr>
          <w:b w:val="0"/>
          <w:bCs w:val="0"/>
          <w:sz w:val="20"/>
          <w:szCs w:val="20"/>
        </w:rPr>
        <w:t xml:space="preserve"> </w:t>
      </w:r>
      <w:r w:rsidR="00F723D1" w:rsidRPr="00812FFB">
        <w:rPr>
          <w:b w:val="0"/>
          <w:bCs w:val="0"/>
          <w:sz w:val="20"/>
          <w:szCs w:val="20"/>
        </w:rPr>
        <w:t>car</w:t>
      </w:r>
      <w:r w:rsidRPr="00812FFB">
        <w:rPr>
          <w:b w:val="0"/>
          <w:bCs w:val="0"/>
          <w:sz w:val="20"/>
          <w:szCs w:val="20"/>
        </w:rPr>
        <w:t xml:space="preserve"> * Total distance covered per round trip </w:t>
      </w:r>
    </w:p>
    <w:p w14:paraId="06D22939" w14:textId="5EF93045" w:rsidR="00F723D1" w:rsidRPr="00812FFB" w:rsidRDefault="002C5A0C" w:rsidP="004E6388">
      <w:pPr>
        <w:jc w:val="both"/>
        <w:rPr>
          <w:iCs/>
          <w:sz w:val="20"/>
          <w:szCs w:val="20"/>
        </w:rPr>
      </w:pPr>
      <w:r w:rsidRPr="00812FFB">
        <w:rPr>
          <w:iCs/>
          <w:sz w:val="20"/>
          <w:szCs w:val="20"/>
        </w:rPr>
        <w:t xml:space="preserve">A key assumption made was that the current proportion of NUS Staff and Students that travel to Campus </w:t>
      </w:r>
      <w:r w:rsidR="00204676">
        <w:rPr>
          <w:iCs/>
          <w:sz w:val="20"/>
          <w:szCs w:val="20"/>
        </w:rPr>
        <w:t xml:space="preserve">in a car </w:t>
      </w:r>
      <w:r w:rsidRPr="00812FFB">
        <w:rPr>
          <w:iCs/>
          <w:sz w:val="20"/>
          <w:szCs w:val="20"/>
        </w:rPr>
        <w:t xml:space="preserve">do so in a car with fewer than </w:t>
      </w:r>
      <w:r w:rsidR="007E5986" w:rsidRPr="00812FFB">
        <w:rPr>
          <w:iCs/>
          <w:sz w:val="20"/>
          <w:szCs w:val="20"/>
        </w:rPr>
        <w:t>3 passengers.</w:t>
      </w:r>
      <w:r w:rsidR="001754EE" w:rsidRPr="00812FFB">
        <w:rPr>
          <w:iCs/>
          <w:sz w:val="20"/>
          <w:szCs w:val="20"/>
        </w:rPr>
        <w:t xml:space="preserve"> </w:t>
      </w:r>
      <w:r w:rsidR="007C75FD" w:rsidRPr="00812FFB">
        <w:rPr>
          <w:iCs/>
          <w:sz w:val="20"/>
          <w:szCs w:val="20"/>
        </w:rPr>
        <w:t xml:space="preserve">The second key assumption would be the off-campus population will travel to </w:t>
      </w:r>
      <w:r w:rsidR="000B229F" w:rsidRPr="00812FFB">
        <w:rPr>
          <w:iCs/>
          <w:sz w:val="20"/>
          <w:szCs w:val="20"/>
        </w:rPr>
        <w:t xml:space="preserve">and </w:t>
      </w:r>
      <w:proofErr w:type="spellStart"/>
      <w:r w:rsidR="000B229F" w:rsidRPr="00812FFB">
        <w:rPr>
          <w:iCs/>
          <w:sz w:val="20"/>
          <w:szCs w:val="20"/>
        </w:rPr>
        <w:t>fro</w:t>
      </w:r>
      <w:proofErr w:type="spellEnd"/>
      <w:r w:rsidR="000B229F" w:rsidRPr="00812FFB">
        <w:rPr>
          <w:iCs/>
          <w:sz w:val="20"/>
          <w:szCs w:val="20"/>
        </w:rPr>
        <w:t xml:space="preserve"> the </w:t>
      </w:r>
      <w:r w:rsidR="007C75FD" w:rsidRPr="00812FFB">
        <w:rPr>
          <w:iCs/>
          <w:sz w:val="20"/>
          <w:szCs w:val="20"/>
        </w:rPr>
        <w:t xml:space="preserve">Campus 5 times a week all year round </w:t>
      </w:r>
      <w:r w:rsidR="000B229F" w:rsidRPr="00812FFB">
        <w:rPr>
          <w:iCs/>
          <w:sz w:val="20"/>
          <w:szCs w:val="20"/>
        </w:rPr>
        <w:t xml:space="preserve">and the on-campus population will do so </w:t>
      </w:r>
      <w:r w:rsidR="00113717" w:rsidRPr="00812FFB">
        <w:rPr>
          <w:iCs/>
          <w:sz w:val="20"/>
          <w:szCs w:val="20"/>
        </w:rPr>
        <w:t xml:space="preserve">once a week. </w:t>
      </w:r>
      <w:r w:rsidR="00E90FBE" w:rsidRPr="00812FFB">
        <w:rPr>
          <w:iCs/>
          <w:sz w:val="20"/>
          <w:szCs w:val="20"/>
        </w:rPr>
        <w:t xml:space="preserve">We assume that such activities will be made all year round instead of only during the Semester Schooling period due to the myriad of </w:t>
      </w:r>
      <w:r w:rsidR="00746CC7" w:rsidRPr="00812FFB">
        <w:rPr>
          <w:iCs/>
          <w:sz w:val="20"/>
          <w:szCs w:val="20"/>
        </w:rPr>
        <w:t xml:space="preserve">activities the </w:t>
      </w:r>
      <w:r w:rsidR="003F197F" w:rsidRPr="00812FFB">
        <w:rPr>
          <w:iCs/>
          <w:sz w:val="20"/>
          <w:szCs w:val="20"/>
        </w:rPr>
        <w:t xml:space="preserve">NUS Staff and Student </w:t>
      </w:r>
      <w:r w:rsidR="00746CC7" w:rsidRPr="00812FFB">
        <w:rPr>
          <w:iCs/>
          <w:sz w:val="20"/>
          <w:szCs w:val="20"/>
        </w:rPr>
        <w:t xml:space="preserve">population engages in for recreational and academic </w:t>
      </w:r>
      <w:r w:rsidR="003F197F" w:rsidRPr="00812FFB">
        <w:rPr>
          <w:iCs/>
          <w:sz w:val="20"/>
          <w:szCs w:val="20"/>
        </w:rPr>
        <w:t>purposes</w:t>
      </w:r>
      <w:r w:rsidR="00746CC7" w:rsidRPr="00812FFB">
        <w:rPr>
          <w:iCs/>
          <w:sz w:val="20"/>
          <w:szCs w:val="20"/>
        </w:rPr>
        <w:t xml:space="preserve">. </w:t>
      </w:r>
    </w:p>
    <w:p w14:paraId="5AD03778" w14:textId="77777777" w:rsidR="00904897" w:rsidRPr="00812FFB" w:rsidRDefault="00904897" w:rsidP="004E6388">
      <w:pPr>
        <w:jc w:val="both"/>
        <w:rPr>
          <w:iCs/>
          <w:sz w:val="20"/>
          <w:szCs w:val="20"/>
        </w:rPr>
      </w:pPr>
    </w:p>
    <w:p w14:paraId="35F874B5" w14:textId="77DFB366" w:rsidR="00F723D1" w:rsidRPr="00812FFB" w:rsidRDefault="00DD0601" w:rsidP="004E6388">
      <w:pPr>
        <w:jc w:val="both"/>
        <w:rPr>
          <w:iCs/>
          <w:sz w:val="20"/>
          <w:szCs w:val="20"/>
        </w:rPr>
      </w:pPr>
      <w:r w:rsidRPr="00812FFB">
        <w:rPr>
          <w:iCs/>
          <w:sz w:val="20"/>
          <w:szCs w:val="20"/>
        </w:rPr>
        <w:t xml:space="preserve">The average distance driven on Campus is taken to be the </w:t>
      </w:r>
      <w:r w:rsidR="006E189C" w:rsidRPr="00812FFB">
        <w:rPr>
          <w:iCs/>
          <w:sz w:val="20"/>
          <w:szCs w:val="20"/>
        </w:rPr>
        <w:t xml:space="preserve">distance from Clementi MRT to </w:t>
      </w:r>
      <w:r w:rsidR="00263BAC" w:rsidRPr="00812FFB">
        <w:rPr>
          <w:iCs/>
          <w:sz w:val="20"/>
          <w:szCs w:val="20"/>
        </w:rPr>
        <w:t>Science S15 and from PGP to Engineering Faculty</w:t>
      </w:r>
      <w:r w:rsidR="003F197F" w:rsidRPr="00812FFB">
        <w:rPr>
          <w:iCs/>
          <w:sz w:val="20"/>
          <w:szCs w:val="20"/>
        </w:rPr>
        <w:t>,</w:t>
      </w:r>
      <w:r w:rsidR="00263BAC" w:rsidRPr="00812FFB">
        <w:rPr>
          <w:iCs/>
          <w:sz w:val="20"/>
          <w:szCs w:val="20"/>
        </w:rPr>
        <w:t xml:space="preserve"> due to the improved monorail designed along </w:t>
      </w:r>
      <w:r w:rsidR="003F197F" w:rsidRPr="00812FFB">
        <w:rPr>
          <w:iCs/>
          <w:sz w:val="20"/>
          <w:szCs w:val="20"/>
        </w:rPr>
        <w:t>the 2</w:t>
      </w:r>
      <w:r w:rsidR="00263BAC" w:rsidRPr="00812FFB">
        <w:rPr>
          <w:iCs/>
          <w:sz w:val="20"/>
          <w:szCs w:val="20"/>
        </w:rPr>
        <w:t xml:space="preserve"> </w:t>
      </w:r>
      <w:r w:rsidR="003F197F" w:rsidRPr="00812FFB">
        <w:rPr>
          <w:iCs/>
          <w:sz w:val="20"/>
          <w:szCs w:val="20"/>
        </w:rPr>
        <w:t>routes</w:t>
      </w:r>
      <w:r w:rsidR="00263BAC" w:rsidRPr="00812FFB">
        <w:rPr>
          <w:iCs/>
          <w:sz w:val="20"/>
          <w:szCs w:val="20"/>
        </w:rPr>
        <w:t xml:space="preserve"> to facilitate mobility and encourage public transport</w:t>
      </w:r>
      <w:r w:rsidR="004418C2" w:rsidRPr="00812FFB">
        <w:rPr>
          <w:iCs/>
          <w:sz w:val="20"/>
          <w:szCs w:val="20"/>
        </w:rPr>
        <w:t>. The average distance is calculated to be</w:t>
      </w:r>
      <w:r w:rsidR="00AE590C" w:rsidRPr="00812FFB">
        <w:rPr>
          <w:iCs/>
          <w:sz w:val="20"/>
          <w:szCs w:val="20"/>
        </w:rPr>
        <w:t xml:space="preserve"> 8.9km</w:t>
      </w:r>
      <w:r w:rsidR="004B645E" w:rsidRPr="00812FFB">
        <w:rPr>
          <w:iCs/>
          <w:sz w:val="20"/>
          <w:szCs w:val="20"/>
        </w:rPr>
        <w:t xml:space="preserve"> for a round trip</w:t>
      </w:r>
      <w:r w:rsidR="00AE590C" w:rsidRPr="00812FFB">
        <w:rPr>
          <w:iCs/>
          <w:sz w:val="20"/>
          <w:szCs w:val="20"/>
        </w:rPr>
        <w:t xml:space="preserve">. </w:t>
      </w:r>
    </w:p>
    <w:p w14:paraId="09C3B25D" w14:textId="77777777" w:rsidR="00904897" w:rsidRPr="00812FFB" w:rsidRDefault="00904897" w:rsidP="004E6388">
      <w:pPr>
        <w:jc w:val="both"/>
        <w:rPr>
          <w:iCs/>
          <w:sz w:val="20"/>
          <w:szCs w:val="20"/>
        </w:rPr>
      </w:pPr>
    </w:p>
    <w:p w14:paraId="60C17C2E" w14:textId="36C59908" w:rsidR="00AE4FB2" w:rsidRPr="00812FFB" w:rsidRDefault="00454D96" w:rsidP="004E6388">
      <w:pPr>
        <w:jc w:val="both"/>
        <w:rPr>
          <w:iCs/>
          <w:sz w:val="20"/>
          <w:szCs w:val="20"/>
        </w:rPr>
      </w:pPr>
      <w:r w:rsidRPr="00812FFB">
        <w:rPr>
          <w:iCs/>
          <w:sz w:val="20"/>
          <w:szCs w:val="20"/>
        </w:rPr>
        <w:t xml:space="preserve">The percentage reduction in cars driven on campus </w:t>
      </w:r>
      <w:r w:rsidR="00FA2C54" w:rsidRPr="00812FFB">
        <w:rPr>
          <w:iCs/>
          <w:sz w:val="20"/>
          <w:szCs w:val="20"/>
        </w:rPr>
        <w:t xml:space="preserve">was taken to be the percentage of NUS Staff and students that drive to </w:t>
      </w:r>
      <w:r w:rsidR="00832B2F" w:rsidRPr="00812FFB">
        <w:rPr>
          <w:iCs/>
          <w:sz w:val="20"/>
          <w:szCs w:val="20"/>
        </w:rPr>
        <w:t>Campus</w:t>
      </w:r>
      <w:r w:rsidR="00FA2C54" w:rsidRPr="00812FFB">
        <w:rPr>
          <w:iCs/>
          <w:sz w:val="20"/>
          <w:szCs w:val="20"/>
        </w:rPr>
        <w:t xml:space="preserve"> multiplied by the </w:t>
      </w:r>
      <w:r w:rsidR="00E61B0A" w:rsidRPr="00812FFB">
        <w:rPr>
          <w:iCs/>
          <w:sz w:val="20"/>
          <w:szCs w:val="20"/>
        </w:rPr>
        <w:t xml:space="preserve">percentage of </w:t>
      </w:r>
      <w:r w:rsidR="00832B2F" w:rsidRPr="00812FFB">
        <w:rPr>
          <w:iCs/>
          <w:sz w:val="20"/>
          <w:szCs w:val="20"/>
        </w:rPr>
        <w:t xml:space="preserve">those that are willing to </w:t>
      </w:r>
      <w:r w:rsidR="00A95719">
        <w:rPr>
          <w:iCs/>
          <w:sz w:val="20"/>
          <w:szCs w:val="20"/>
        </w:rPr>
        <w:t>take public transport</w:t>
      </w:r>
      <w:r w:rsidR="00832B2F" w:rsidRPr="00812FFB">
        <w:rPr>
          <w:iCs/>
          <w:sz w:val="20"/>
          <w:szCs w:val="20"/>
        </w:rPr>
        <w:t xml:space="preserve"> instead</w:t>
      </w:r>
      <w:r w:rsidR="0037717C" w:rsidRPr="00812FFB">
        <w:rPr>
          <w:iCs/>
          <w:sz w:val="20"/>
          <w:szCs w:val="20"/>
        </w:rPr>
        <w:t xml:space="preserve">. </w:t>
      </w:r>
      <w:r w:rsidR="00832B2F" w:rsidRPr="00812FFB">
        <w:rPr>
          <w:iCs/>
          <w:sz w:val="20"/>
          <w:szCs w:val="20"/>
        </w:rPr>
        <w:t>The proportion of NUS Staff and Students that drive to campus is estimated to be the proportion of Singaporeans that drive to work</w:t>
      </w:r>
      <w:r w:rsidR="00D03DE8" w:rsidRPr="00812FFB">
        <w:rPr>
          <w:iCs/>
          <w:sz w:val="20"/>
          <w:szCs w:val="20"/>
        </w:rPr>
        <w:t xml:space="preserve"> (</w:t>
      </w:r>
      <w:r w:rsidR="0037717C" w:rsidRPr="00812FFB">
        <w:rPr>
          <w:iCs/>
          <w:sz w:val="20"/>
          <w:szCs w:val="20"/>
        </w:rPr>
        <w:t xml:space="preserve">Kok, 2021). </w:t>
      </w:r>
      <w:r w:rsidR="00BF6E50" w:rsidRPr="00812FFB">
        <w:rPr>
          <w:iCs/>
          <w:sz w:val="20"/>
          <w:szCs w:val="20"/>
        </w:rPr>
        <w:t>T</w:t>
      </w:r>
      <w:r w:rsidR="00832B2F" w:rsidRPr="00812FFB">
        <w:rPr>
          <w:iCs/>
          <w:sz w:val="20"/>
          <w:szCs w:val="20"/>
        </w:rPr>
        <w:t>he p</w:t>
      </w:r>
      <w:r w:rsidR="003A19CF" w:rsidRPr="00812FFB">
        <w:rPr>
          <w:iCs/>
          <w:sz w:val="20"/>
          <w:szCs w:val="20"/>
        </w:rPr>
        <w:t>roportion</w:t>
      </w:r>
      <w:r w:rsidR="00D96FE4">
        <w:rPr>
          <w:iCs/>
          <w:sz w:val="20"/>
          <w:szCs w:val="20"/>
        </w:rPr>
        <w:t xml:space="preserve"> </w:t>
      </w:r>
      <w:r w:rsidR="00597CEF" w:rsidRPr="00812FFB">
        <w:rPr>
          <w:iCs/>
          <w:sz w:val="20"/>
          <w:szCs w:val="20"/>
        </w:rPr>
        <w:t xml:space="preserve">willing to switch </w:t>
      </w:r>
      <w:r w:rsidR="001021A7" w:rsidRPr="00812FFB">
        <w:rPr>
          <w:iCs/>
          <w:sz w:val="20"/>
          <w:szCs w:val="20"/>
        </w:rPr>
        <w:t xml:space="preserve">is </w:t>
      </w:r>
      <w:r w:rsidR="00D96FE4">
        <w:rPr>
          <w:iCs/>
          <w:sz w:val="20"/>
          <w:szCs w:val="20"/>
        </w:rPr>
        <w:t xml:space="preserve">an </w:t>
      </w:r>
      <w:r w:rsidR="001021A7" w:rsidRPr="00812FFB">
        <w:rPr>
          <w:iCs/>
          <w:sz w:val="20"/>
          <w:szCs w:val="20"/>
        </w:rPr>
        <w:t>estimated</w:t>
      </w:r>
      <w:r w:rsidR="00BF6E50" w:rsidRPr="00812FFB">
        <w:rPr>
          <w:iCs/>
          <w:sz w:val="20"/>
          <w:szCs w:val="20"/>
        </w:rPr>
        <w:t xml:space="preserve"> </w:t>
      </w:r>
      <w:r w:rsidR="000D2931" w:rsidRPr="00812FFB">
        <w:rPr>
          <w:iCs/>
          <w:sz w:val="20"/>
          <w:szCs w:val="20"/>
        </w:rPr>
        <w:t xml:space="preserve">10%, </w:t>
      </w:r>
      <w:r w:rsidR="00BF6E50" w:rsidRPr="00812FFB">
        <w:rPr>
          <w:iCs/>
          <w:sz w:val="20"/>
          <w:szCs w:val="20"/>
        </w:rPr>
        <w:t>the proportion</w:t>
      </w:r>
      <w:r w:rsidR="00BF40BE" w:rsidRPr="00812FFB">
        <w:rPr>
          <w:iCs/>
          <w:sz w:val="20"/>
          <w:szCs w:val="20"/>
        </w:rPr>
        <w:t xml:space="preserve"> that </w:t>
      </w:r>
      <w:r w:rsidR="00D96FE4">
        <w:rPr>
          <w:iCs/>
          <w:sz w:val="20"/>
          <w:szCs w:val="20"/>
        </w:rPr>
        <w:t>normally drive that take</w:t>
      </w:r>
      <w:r w:rsidR="00BF40BE" w:rsidRPr="00812FFB">
        <w:rPr>
          <w:iCs/>
          <w:sz w:val="20"/>
          <w:szCs w:val="20"/>
        </w:rPr>
        <w:t xml:space="preserve"> </w:t>
      </w:r>
      <w:r w:rsidR="00D96FE4">
        <w:rPr>
          <w:iCs/>
          <w:sz w:val="20"/>
          <w:szCs w:val="20"/>
        </w:rPr>
        <w:t>public transport</w:t>
      </w:r>
      <w:r w:rsidR="00BF40BE" w:rsidRPr="00812FFB">
        <w:rPr>
          <w:iCs/>
          <w:sz w:val="20"/>
          <w:szCs w:val="20"/>
        </w:rPr>
        <w:t xml:space="preserve"> at least once in the past 4 weeks</w:t>
      </w:r>
      <w:r w:rsidR="002F7FC8" w:rsidRPr="00812FFB">
        <w:rPr>
          <w:iCs/>
          <w:sz w:val="20"/>
          <w:szCs w:val="20"/>
        </w:rPr>
        <w:t xml:space="preserve"> in Singapore</w:t>
      </w:r>
      <w:r w:rsidR="000D2931" w:rsidRPr="00812FFB">
        <w:rPr>
          <w:iCs/>
          <w:sz w:val="20"/>
          <w:szCs w:val="20"/>
        </w:rPr>
        <w:t xml:space="preserve"> (Chua, 2020). </w:t>
      </w:r>
    </w:p>
    <w:p w14:paraId="458C7908" w14:textId="77777777" w:rsidR="00415689" w:rsidRPr="00812FFB" w:rsidRDefault="00415689" w:rsidP="00904897">
      <w:pPr>
        <w:pStyle w:val="Heading3"/>
        <w:numPr>
          <w:ilvl w:val="0"/>
          <w:numId w:val="0"/>
        </w:numPr>
        <w:ind w:left="720" w:hanging="720"/>
        <w:rPr>
          <w:sz w:val="20"/>
          <w:szCs w:val="20"/>
        </w:rPr>
      </w:pPr>
    </w:p>
    <w:p w14:paraId="3685D319" w14:textId="740B14E8" w:rsidR="00F818EC" w:rsidRPr="00812FFB" w:rsidRDefault="00F818EC" w:rsidP="00F64F0D">
      <w:pPr>
        <w:pStyle w:val="Heading3"/>
        <w:rPr>
          <w:sz w:val="20"/>
          <w:szCs w:val="20"/>
        </w:rPr>
      </w:pPr>
      <w:bookmarkStart w:id="16" w:name="_Toc150204550"/>
      <w:r w:rsidRPr="00812FFB">
        <w:rPr>
          <w:sz w:val="20"/>
          <w:szCs w:val="20"/>
        </w:rPr>
        <w:t>Increased Income</w:t>
      </w:r>
      <w:bookmarkEnd w:id="16"/>
    </w:p>
    <w:tbl>
      <w:tblPr>
        <w:tblW w:w="10768" w:type="dxa"/>
        <w:tblLook w:val="04A0" w:firstRow="1" w:lastRow="0" w:firstColumn="1" w:lastColumn="0" w:noHBand="0" w:noVBand="1"/>
      </w:tblPr>
      <w:tblGrid>
        <w:gridCol w:w="3114"/>
        <w:gridCol w:w="1843"/>
        <w:gridCol w:w="4252"/>
        <w:gridCol w:w="1559"/>
      </w:tblGrid>
      <w:tr w:rsidR="00C8258D" w:rsidRPr="00812FFB" w14:paraId="3FCF1EEF" w14:textId="77777777" w:rsidTr="00904897">
        <w:trPr>
          <w:trHeight w:val="600"/>
        </w:trPr>
        <w:tc>
          <w:tcPr>
            <w:tcW w:w="311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273E75D7" w14:textId="5EC35049" w:rsidR="00C8258D" w:rsidRPr="00812FFB" w:rsidRDefault="00C8258D" w:rsidP="0049712E">
            <w:pPr>
              <w:jc w:val="center"/>
              <w:rPr>
                <w:b/>
                <w:bCs/>
                <w:color w:val="000000" w:themeColor="text1"/>
                <w:sz w:val="20"/>
                <w:szCs w:val="20"/>
              </w:rPr>
            </w:pPr>
            <w:r w:rsidRPr="00812FFB">
              <w:rPr>
                <w:b/>
                <w:bCs/>
                <w:color w:val="000000" w:themeColor="text1"/>
                <w:sz w:val="20"/>
                <w:szCs w:val="20"/>
              </w:rPr>
              <w:t>Outcome</w:t>
            </w:r>
          </w:p>
        </w:tc>
        <w:tc>
          <w:tcPr>
            <w:tcW w:w="1843"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center"/>
            <w:hideMark/>
          </w:tcPr>
          <w:p w14:paraId="223B82E9" w14:textId="468071EF" w:rsidR="00C8258D" w:rsidRPr="00812FFB" w:rsidRDefault="00C8258D" w:rsidP="0049712E">
            <w:pPr>
              <w:jc w:val="center"/>
              <w:rPr>
                <w:b/>
                <w:bCs/>
                <w:color w:val="000000" w:themeColor="text1"/>
                <w:sz w:val="20"/>
                <w:szCs w:val="20"/>
              </w:rPr>
            </w:pPr>
            <w:r w:rsidRPr="00812FFB">
              <w:rPr>
                <w:b/>
                <w:bCs/>
                <w:color w:val="000000" w:themeColor="text1"/>
                <w:sz w:val="20"/>
                <w:szCs w:val="20"/>
              </w:rPr>
              <w:t>Category</w:t>
            </w:r>
          </w:p>
        </w:tc>
        <w:tc>
          <w:tcPr>
            <w:tcW w:w="4252"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6019FB43" w14:textId="34CE29FB" w:rsidR="00C8258D" w:rsidRPr="00812FFB" w:rsidRDefault="00C8258D" w:rsidP="0049712E">
            <w:pPr>
              <w:jc w:val="center"/>
              <w:rPr>
                <w:b/>
                <w:bCs/>
                <w:color w:val="000000" w:themeColor="text1"/>
                <w:sz w:val="20"/>
                <w:szCs w:val="20"/>
              </w:rPr>
            </w:pPr>
            <w:r w:rsidRPr="00812FFB">
              <w:rPr>
                <w:b/>
                <w:bCs/>
                <w:color w:val="000000" w:themeColor="text1"/>
                <w:sz w:val="20"/>
                <w:szCs w:val="20"/>
              </w:rPr>
              <w:t>Valuation Logic</w:t>
            </w:r>
          </w:p>
        </w:tc>
        <w:tc>
          <w:tcPr>
            <w:tcW w:w="1559" w:type="dxa"/>
            <w:tcBorders>
              <w:top w:val="single" w:sz="4" w:space="0" w:color="auto"/>
              <w:left w:val="single" w:sz="4" w:space="0" w:color="auto"/>
              <w:bottom w:val="single" w:sz="4" w:space="0" w:color="auto"/>
              <w:right w:val="single" w:sz="4" w:space="0" w:color="9BC2E6"/>
            </w:tcBorders>
            <w:shd w:val="clear" w:color="auto" w:fill="8EAADB" w:themeFill="accent1" w:themeFillTint="99"/>
            <w:noWrap/>
            <w:vAlign w:val="center"/>
            <w:hideMark/>
          </w:tcPr>
          <w:p w14:paraId="5FC91247" w14:textId="5F983D20" w:rsidR="00C8258D" w:rsidRPr="00812FFB" w:rsidRDefault="00C8258D" w:rsidP="0049712E">
            <w:pPr>
              <w:jc w:val="center"/>
              <w:rPr>
                <w:b/>
                <w:bCs/>
                <w:color w:val="000000" w:themeColor="text1"/>
                <w:sz w:val="20"/>
                <w:szCs w:val="20"/>
              </w:rPr>
            </w:pPr>
            <w:r w:rsidRPr="00812FFB">
              <w:rPr>
                <w:b/>
                <w:bCs/>
                <w:color w:val="000000" w:themeColor="text1"/>
                <w:sz w:val="20"/>
                <w:szCs w:val="20"/>
              </w:rPr>
              <w:t>Calculation</w:t>
            </w:r>
            <w:r w:rsidR="0049712E" w:rsidRPr="00812FFB">
              <w:rPr>
                <w:b/>
                <w:bCs/>
                <w:color w:val="000000" w:themeColor="text1"/>
                <w:sz w:val="20"/>
                <w:szCs w:val="20"/>
              </w:rPr>
              <w:t xml:space="preserve"> (SGD)</w:t>
            </w:r>
          </w:p>
        </w:tc>
      </w:tr>
      <w:tr w:rsidR="00746C9B" w:rsidRPr="00812FFB" w14:paraId="3FF845E2" w14:textId="77777777" w:rsidTr="00904897">
        <w:trPr>
          <w:trHeight w:val="849"/>
        </w:trPr>
        <w:tc>
          <w:tcPr>
            <w:tcW w:w="311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7E29B4F" w14:textId="77777777" w:rsidR="00F62EF2" w:rsidRPr="00812FFB" w:rsidRDefault="00F62EF2" w:rsidP="004E6388">
            <w:pPr>
              <w:jc w:val="both"/>
              <w:rPr>
                <w:color w:val="000000" w:themeColor="text1"/>
                <w:sz w:val="20"/>
                <w:szCs w:val="20"/>
              </w:rPr>
            </w:pPr>
            <w:r w:rsidRPr="00812FFB">
              <w:rPr>
                <w:color w:val="000000" w:themeColor="text1"/>
                <w:sz w:val="20"/>
                <w:szCs w:val="20"/>
              </w:rPr>
              <w:t>Increase in productivity due to more Efficient transport system</w:t>
            </w:r>
          </w:p>
        </w:tc>
        <w:tc>
          <w:tcPr>
            <w:tcW w:w="1843"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14:paraId="1B6CC911" w14:textId="77777777" w:rsidR="00F62EF2" w:rsidRPr="00812FFB" w:rsidRDefault="00F62EF2" w:rsidP="00DC5E65">
            <w:pPr>
              <w:jc w:val="center"/>
              <w:rPr>
                <w:color w:val="000000" w:themeColor="text1"/>
                <w:sz w:val="20"/>
                <w:szCs w:val="20"/>
              </w:rPr>
            </w:pPr>
            <w:r w:rsidRPr="00812FFB">
              <w:rPr>
                <w:color w:val="000000" w:themeColor="text1"/>
                <w:sz w:val="20"/>
                <w:szCs w:val="20"/>
              </w:rPr>
              <w:t>Mobility</w:t>
            </w:r>
          </w:p>
        </w:tc>
        <w:tc>
          <w:tcPr>
            <w:tcW w:w="4252"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76A60D3" w14:textId="4D504787" w:rsidR="00F62EF2" w:rsidRPr="00812FFB" w:rsidRDefault="00746C9B" w:rsidP="004E6388">
            <w:pPr>
              <w:jc w:val="both"/>
              <w:rPr>
                <w:color w:val="000000" w:themeColor="text1"/>
                <w:sz w:val="20"/>
                <w:szCs w:val="20"/>
              </w:rPr>
            </w:pPr>
            <w:r w:rsidRPr="00812FFB">
              <w:rPr>
                <w:color w:val="000000" w:themeColor="text1"/>
                <w:sz w:val="20"/>
                <w:szCs w:val="20"/>
              </w:rPr>
              <w:t>Population</w:t>
            </w:r>
            <w:r w:rsidR="00F62EF2" w:rsidRPr="00812FFB">
              <w:rPr>
                <w:color w:val="000000" w:themeColor="text1"/>
                <w:sz w:val="20"/>
                <w:szCs w:val="20"/>
              </w:rPr>
              <w:t xml:space="preserve"> *</w:t>
            </w:r>
            <w:r w:rsidRPr="00812FFB">
              <w:rPr>
                <w:color w:val="000000" w:themeColor="text1"/>
                <w:sz w:val="20"/>
                <w:szCs w:val="20"/>
              </w:rPr>
              <w:t xml:space="preserve"> </w:t>
            </w:r>
            <w:r w:rsidR="00F62EF2" w:rsidRPr="00812FFB">
              <w:rPr>
                <w:color w:val="000000" w:themeColor="text1"/>
                <w:sz w:val="20"/>
                <w:szCs w:val="20"/>
              </w:rPr>
              <w:t>% Increase in health</w:t>
            </w:r>
            <w:r w:rsidRPr="00812FFB">
              <w:rPr>
                <w:color w:val="000000" w:themeColor="text1"/>
                <w:sz w:val="20"/>
                <w:szCs w:val="20"/>
              </w:rPr>
              <w:t xml:space="preserve"> </w:t>
            </w:r>
            <w:r w:rsidR="00F62EF2" w:rsidRPr="00812FFB">
              <w:rPr>
                <w:color w:val="000000" w:themeColor="text1"/>
                <w:sz w:val="20"/>
                <w:szCs w:val="20"/>
              </w:rPr>
              <w:t>*</w:t>
            </w:r>
            <w:r w:rsidRPr="00812FFB">
              <w:rPr>
                <w:color w:val="000000" w:themeColor="text1"/>
                <w:sz w:val="20"/>
                <w:szCs w:val="20"/>
              </w:rPr>
              <w:t xml:space="preserve"> </w:t>
            </w:r>
            <w:r w:rsidR="00F62EF2" w:rsidRPr="00812FFB">
              <w:rPr>
                <w:color w:val="000000" w:themeColor="text1"/>
                <w:sz w:val="20"/>
                <w:szCs w:val="20"/>
              </w:rPr>
              <w:t>Productivity in dollar terms</w:t>
            </w:r>
            <w:r w:rsidRPr="00812FFB">
              <w:rPr>
                <w:color w:val="000000" w:themeColor="text1"/>
                <w:sz w:val="20"/>
                <w:szCs w:val="20"/>
              </w:rPr>
              <w:t xml:space="preserve"> </w:t>
            </w:r>
            <w:r w:rsidR="00F62EF2" w:rsidRPr="00812FFB">
              <w:rPr>
                <w:color w:val="000000" w:themeColor="text1"/>
                <w:sz w:val="20"/>
                <w:szCs w:val="20"/>
              </w:rPr>
              <w:t>*</w:t>
            </w:r>
            <w:r w:rsidRPr="00812FFB">
              <w:rPr>
                <w:color w:val="000000" w:themeColor="text1"/>
                <w:sz w:val="20"/>
                <w:szCs w:val="20"/>
              </w:rPr>
              <w:t xml:space="preserve"> </w:t>
            </w:r>
            <w:r w:rsidR="00F62EF2" w:rsidRPr="00812FFB">
              <w:rPr>
                <w:color w:val="000000" w:themeColor="text1"/>
                <w:sz w:val="20"/>
                <w:szCs w:val="20"/>
              </w:rPr>
              <w:t>Travel time saved</w:t>
            </w:r>
          </w:p>
        </w:tc>
        <w:tc>
          <w:tcPr>
            <w:tcW w:w="1559"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hideMark/>
          </w:tcPr>
          <w:p w14:paraId="07115BB8" w14:textId="71CD3137" w:rsidR="00F62EF2" w:rsidRPr="00812FFB" w:rsidRDefault="00F62EF2" w:rsidP="00DC5E65">
            <w:pPr>
              <w:jc w:val="center"/>
              <w:rPr>
                <w:color w:val="000000" w:themeColor="text1"/>
                <w:sz w:val="20"/>
                <w:szCs w:val="20"/>
              </w:rPr>
            </w:pPr>
            <w:r w:rsidRPr="00812FFB">
              <w:rPr>
                <w:color w:val="000000" w:themeColor="text1"/>
                <w:sz w:val="20"/>
                <w:szCs w:val="20"/>
              </w:rPr>
              <w:t>39,550,368</w:t>
            </w:r>
          </w:p>
        </w:tc>
      </w:tr>
      <w:tr w:rsidR="00A37DD2" w:rsidRPr="00812FFB" w14:paraId="026312F0" w14:textId="77777777" w:rsidTr="00904897">
        <w:trPr>
          <w:trHeight w:val="1114"/>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9DD71A" w14:textId="5C93E45E" w:rsidR="00F62EF2" w:rsidRPr="00812FFB" w:rsidRDefault="005708DF" w:rsidP="004E6388">
            <w:pPr>
              <w:jc w:val="both"/>
              <w:rPr>
                <w:color w:val="000000"/>
                <w:sz w:val="20"/>
                <w:szCs w:val="20"/>
              </w:rPr>
            </w:pPr>
            <w:r w:rsidRPr="00812FFB">
              <w:rPr>
                <w:color w:val="000000"/>
                <w:sz w:val="20"/>
                <w:szCs w:val="20"/>
              </w:rPr>
              <w:t>I</w:t>
            </w:r>
            <w:r w:rsidR="00F62EF2" w:rsidRPr="00812FFB">
              <w:rPr>
                <w:color w:val="000000"/>
                <w:sz w:val="20"/>
                <w:szCs w:val="20"/>
              </w:rPr>
              <w:t>ncrease in social participation due to increased  connectivity</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51DEC7" w14:textId="77777777" w:rsidR="00F62EF2" w:rsidRPr="00812FFB" w:rsidRDefault="00F62EF2" w:rsidP="00DC5E65">
            <w:pPr>
              <w:jc w:val="center"/>
              <w:rPr>
                <w:color w:val="000000"/>
                <w:sz w:val="20"/>
                <w:szCs w:val="20"/>
              </w:rPr>
            </w:pPr>
            <w:r w:rsidRPr="00812FFB">
              <w:rPr>
                <w:color w:val="000000"/>
                <w:sz w:val="20"/>
                <w:szCs w:val="20"/>
              </w:rPr>
              <w:t>Mobility</w:t>
            </w:r>
          </w:p>
        </w:tc>
        <w:tc>
          <w:tcPr>
            <w:tcW w:w="4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DC6C6F" w14:textId="057D6275" w:rsidR="00F62EF2" w:rsidRPr="00812FFB" w:rsidRDefault="00746C9B" w:rsidP="004E6388">
            <w:pPr>
              <w:jc w:val="both"/>
              <w:rPr>
                <w:color w:val="000000"/>
                <w:sz w:val="20"/>
                <w:szCs w:val="20"/>
              </w:rPr>
            </w:pPr>
            <w:r w:rsidRPr="00812FFB">
              <w:rPr>
                <w:color w:val="000000"/>
                <w:sz w:val="20"/>
                <w:szCs w:val="20"/>
              </w:rPr>
              <w:t xml:space="preserve">Population </w:t>
            </w:r>
            <w:r w:rsidR="00F62EF2" w:rsidRPr="00812FFB">
              <w:rPr>
                <w:color w:val="000000"/>
                <w:sz w:val="20"/>
                <w:szCs w:val="20"/>
              </w:rPr>
              <w:t>* % increase in Connectivity</w:t>
            </w:r>
            <w:r w:rsidRPr="00812FFB">
              <w:rPr>
                <w:color w:val="000000"/>
                <w:sz w:val="20"/>
                <w:szCs w:val="20"/>
              </w:rPr>
              <w:t xml:space="preserve"> </w:t>
            </w:r>
            <w:r w:rsidR="00F62EF2" w:rsidRPr="00812FFB">
              <w:rPr>
                <w:color w:val="000000"/>
                <w:sz w:val="20"/>
                <w:szCs w:val="20"/>
              </w:rPr>
              <w:t>* increase in happiness due to social participation * increase in social participation due to connectivity</w:t>
            </w:r>
            <w:r w:rsidRPr="00812FFB">
              <w:rPr>
                <w:color w:val="000000"/>
                <w:sz w:val="20"/>
                <w:szCs w:val="20"/>
              </w:rPr>
              <w:t xml:space="preserve"> </w:t>
            </w:r>
            <w:r w:rsidR="00F62EF2" w:rsidRPr="00812FFB">
              <w:rPr>
                <w:color w:val="000000"/>
                <w:sz w:val="20"/>
                <w:szCs w:val="20"/>
              </w:rPr>
              <w:t>* increase in productivity</w:t>
            </w:r>
            <w:r w:rsidRPr="00812FFB">
              <w:rPr>
                <w:color w:val="000000"/>
                <w:sz w:val="20"/>
                <w:szCs w:val="20"/>
              </w:rPr>
              <w:t xml:space="preserve"> </w:t>
            </w:r>
            <w:r w:rsidR="00F62EF2" w:rsidRPr="00812FFB">
              <w:rPr>
                <w:color w:val="000000"/>
                <w:sz w:val="20"/>
                <w:szCs w:val="20"/>
              </w:rPr>
              <w:t xml:space="preserve">* </w:t>
            </w:r>
            <w:r w:rsidR="00B352C3" w:rsidRPr="00812FFB">
              <w:rPr>
                <w:color w:val="000000"/>
                <w:sz w:val="20"/>
                <w:szCs w:val="20"/>
              </w:rPr>
              <w:t>GDP</w:t>
            </w:r>
            <w:r w:rsidR="00F62EF2" w:rsidRPr="00812FFB">
              <w:rPr>
                <w:color w:val="000000"/>
                <w:sz w:val="20"/>
                <w:szCs w:val="20"/>
              </w:rPr>
              <w:t xml:space="preserve"> per capita</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8A6C7" w14:textId="7B1A8BED" w:rsidR="00F62EF2" w:rsidRPr="00812FFB" w:rsidRDefault="00F62EF2" w:rsidP="00DC5E65">
            <w:pPr>
              <w:jc w:val="center"/>
              <w:rPr>
                <w:color w:val="000000"/>
                <w:sz w:val="20"/>
                <w:szCs w:val="20"/>
              </w:rPr>
            </w:pPr>
            <w:r w:rsidRPr="00812FFB">
              <w:rPr>
                <w:color w:val="000000"/>
                <w:sz w:val="20"/>
                <w:szCs w:val="20"/>
              </w:rPr>
              <w:t>27,374,817</w:t>
            </w:r>
          </w:p>
        </w:tc>
      </w:tr>
      <w:tr w:rsidR="00746C9B" w:rsidRPr="00812FFB" w14:paraId="4FB5ABAF" w14:textId="77777777" w:rsidTr="00904897">
        <w:trPr>
          <w:trHeight w:val="979"/>
        </w:trPr>
        <w:tc>
          <w:tcPr>
            <w:tcW w:w="311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DDA315E" w14:textId="77777777" w:rsidR="00F62EF2" w:rsidRPr="00812FFB" w:rsidRDefault="00F62EF2" w:rsidP="004E6388">
            <w:pPr>
              <w:jc w:val="both"/>
              <w:rPr>
                <w:color w:val="000000"/>
                <w:sz w:val="20"/>
                <w:szCs w:val="20"/>
              </w:rPr>
            </w:pPr>
            <w:r w:rsidRPr="00812FFB">
              <w:rPr>
                <w:color w:val="000000"/>
                <w:sz w:val="20"/>
                <w:szCs w:val="20"/>
              </w:rPr>
              <w:t>Increase in physical health due to greenery, vertical green and rooftop green</w:t>
            </w:r>
          </w:p>
        </w:tc>
        <w:tc>
          <w:tcPr>
            <w:tcW w:w="1843"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14:paraId="26A4B520" w14:textId="77777777" w:rsidR="00F62EF2" w:rsidRPr="00812FFB" w:rsidRDefault="00F62EF2" w:rsidP="00DC5E65">
            <w:pPr>
              <w:jc w:val="center"/>
              <w:rPr>
                <w:color w:val="000000"/>
                <w:sz w:val="20"/>
                <w:szCs w:val="20"/>
              </w:rPr>
            </w:pPr>
            <w:r w:rsidRPr="00812FFB">
              <w:rPr>
                <w:color w:val="000000"/>
                <w:sz w:val="20"/>
                <w:szCs w:val="20"/>
              </w:rPr>
              <w:t>Greenery</w:t>
            </w:r>
          </w:p>
        </w:tc>
        <w:tc>
          <w:tcPr>
            <w:tcW w:w="4252"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7C54C2B" w14:textId="59D23C9E" w:rsidR="00F62EF2" w:rsidRPr="00812FFB" w:rsidRDefault="00746C9B" w:rsidP="004E6388">
            <w:pPr>
              <w:jc w:val="both"/>
              <w:rPr>
                <w:color w:val="000000"/>
                <w:sz w:val="20"/>
                <w:szCs w:val="20"/>
              </w:rPr>
            </w:pPr>
            <w:r w:rsidRPr="00812FFB">
              <w:rPr>
                <w:color w:val="000000"/>
                <w:sz w:val="20"/>
                <w:szCs w:val="20"/>
              </w:rPr>
              <w:t xml:space="preserve">Population </w:t>
            </w:r>
            <w:r w:rsidR="00F62EF2" w:rsidRPr="00812FFB">
              <w:rPr>
                <w:color w:val="000000"/>
                <w:sz w:val="20"/>
                <w:szCs w:val="20"/>
              </w:rPr>
              <w:t>* Health cost reduction due to improved air quality</w:t>
            </w:r>
            <w:r w:rsidRPr="00812FFB">
              <w:rPr>
                <w:color w:val="000000"/>
                <w:sz w:val="20"/>
                <w:szCs w:val="20"/>
              </w:rPr>
              <w:t xml:space="preserve"> </w:t>
            </w:r>
            <w:r w:rsidR="00F62EF2" w:rsidRPr="00812FFB">
              <w:rPr>
                <w:color w:val="000000"/>
                <w:sz w:val="20"/>
                <w:szCs w:val="20"/>
              </w:rPr>
              <w:t>*</w:t>
            </w:r>
            <w:r w:rsidRPr="00812FFB">
              <w:rPr>
                <w:color w:val="000000"/>
                <w:sz w:val="20"/>
                <w:szCs w:val="20"/>
              </w:rPr>
              <w:t xml:space="preserve"> Target </w:t>
            </w:r>
            <w:r w:rsidR="00F62EF2" w:rsidRPr="00812FFB">
              <w:rPr>
                <w:color w:val="000000"/>
                <w:sz w:val="20"/>
                <w:szCs w:val="20"/>
              </w:rPr>
              <w:t xml:space="preserve">Co2 sequestration </w:t>
            </w:r>
          </w:p>
        </w:tc>
        <w:tc>
          <w:tcPr>
            <w:tcW w:w="1559"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hideMark/>
          </w:tcPr>
          <w:p w14:paraId="0707C24D" w14:textId="25870A22" w:rsidR="00F62EF2" w:rsidRPr="00812FFB" w:rsidRDefault="00F62EF2" w:rsidP="00DC5E65">
            <w:pPr>
              <w:jc w:val="center"/>
              <w:rPr>
                <w:color w:val="000000"/>
                <w:sz w:val="20"/>
                <w:szCs w:val="20"/>
              </w:rPr>
            </w:pPr>
            <w:r w:rsidRPr="00812FFB">
              <w:rPr>
                <w:color w:val="000000"/>
                <w:sz w:val="20"/>
                <w:szCs w:val="20"/>
              </w:rPr>
              <w:t>13,596,419</w:t>
            </w:r>
          </w:p>
        </w:tc>
      </w:tr>
      <w:tr w:rsidR="00A37DD2" w:rsidRPr="00812FFB" w14:paraId="17C23650" w14:textId="77777777" w:rsidTr="00904897">
        <w:trPr>
          <w:trHeight w:val="1262"/>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883CC2" w14:textId="63A82B8A" w:rsidR="00F62EF2" w:rsidRPr="00812FFB" w:rsidRDefault="005708DF" w:rsidP="004E6388">
            <w:pPr>
              <w:jc w:val="both"/>
              <w:rPr>
                <w:color w:val="000000"/>
                <w:sz w:val="20"/>
                <w:szCs w:val="20"/>
              </w:rPr>
            </w:pPr>
            <w:r w:rsidRPr="00812FFB">
              <w:rPr>
                <w:color w:val="000000"/>
                <w:sz w:val="20"/>
                <w:szCs w:val="20"/>
              </w:rPr>
              <w:t>I</w:t>
            </w:r>
            <w:r w:rsidR="00F62EF2" w:rsidRPr="00812FFB">
              <w:rPr>
                <w:color w:val="000000"/>
                <w:sz w:val="20"/>
                <w:szCs w:val="20"/>
              </w:rPr>
              <w:t>ncrease in health due to more active lifestyles with more public space</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F8C56" w14:textId="77777777" w:rsidR="00F62EF2" w:rsidRPr="00812FFB" w:rsidRDefault="00F62EF2" w:rsidP="00DC5E65">
            <w:pPr>
              <w:jc w:val="center"/>
              <w:rPr>
                <w:color w:val="000000"/>
                <w:sz w:val="20"/>
                <w:szCs w:val="20"/>
              </w:rPr>
            </w:pPr>
            <w:r w:rsidRPr="00812FFB">
              <w:rPr>
                <w:color w:val="000000"/>
                <w:sz w:val="20"/>
                <w:szCs w:val="20"/>
              </w:rPr>
              <w:t>Public Space</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077902" w14:textId="6DF8F1F9" w:rsidR="00F62EF2" w:rsidRPr="00812FFB" w:rsidRDefault="00746C9B" w:rsidP="004E6388">
            <w:pPr>
              <w:jc w:val="both"/>
              <w:rPr>
                <w:color w:val="000000"/>
                <w:sz w:val="20"/>
                <w:szCs w:val="20"/>
              </w:rPr>
            </w:pPr>
            <w:r w:rsidRPr="00812FFB">
              <w:rPr>
                <w:color w:val="000000"/>
                <w:sz w:val="20"/>
                <w:szCs w:val="20"/>
              </w:rPr>
              <w:t>P</w:t>
            </w:r>
            <w:r w:rsidR="00F62EF2" w:rsidRPr="00812FFB">
              <w:rPr>
                <w:color w:val="000000"/>
                <w:sz w:val="20"/>
                <w:szCs w:val="20"/>
              </w:rPr>
              <w:t>opulation</w:t>
            </w:r>
            <w:r w:rsidRPr="00812FFB">
              <w:rPr>
                <w:color w:val="000000"/>
                <w:sz w:val="20"/>
                <w:szCs w:val="20"/>
              </w:rPr>
              <w:t xml:space="preserve"> </w:t>
            </w:r>
            <w:r w:rsidR="00F62EF2" w:rsidRPr="00812FFB">
              <w:rPr>
                <w:color w:val="000000"/>
                <w:sz w:val="20"/>
                <w:szCs w:val="20"/>
              </w:rPr>
              <w:t>*</w:t>
            </w:r>
            <w:r w:rsidRPr="00812FFB">
              <w:rPr>
                <w:color w:val="000000"/>
                <w:sz w:val="20"/>
                <w:szCs w:val="20"/>
              </w:rPr>
              <w:t xml:space="preserve"> </w:t>
            </w:r>
            <w:r w:rsidR="00F62EF2" w:rsidRPr="00812FFB">
              <w:rPr>
                <w:color w:val="000000"/>
                <w:sz w:val="20"/>
                <w:szCs w:val="20"/>
              </w:rPr>
              <w:t>increase in vigorous exercise</w:t>
            </w:r>
            <w:r w:rsidRPr="00812FFB">
              <w:rPr>
                <w:color w:val="000000"/>
                <w:sz w:val="20"/>
                <w:szCs w:val="20"/>
              </w:rPr>
              <w:t xml:space="preserve"> </w:t>
            </w:r>
            <w:r w:rsidR="00F62EF2" w:rsidRPr="00812FFB">
              <w:rPr>
                <w:color w:val="000000"/>
                <w:sz w:val="20"/>
                <w:szCs w:val="20"/>
              </w:rPr>
              <w:t>*</w:t>
            </w:r>
            <w:r w:rsidRPr="00812FFB">
              <w:rPr>
                <w:color w:val="000000"/>
                <w:sz w:val="20"/>
                <w:szCs w:val="20"/>
              </w:rPr>
              <w:t xml:space="preserve"> </w:t>
            </w:r>
            <w:r w:rsidR="00F62EF2" w:rsidRPr="00812FFB">
              <w:rPr>
                <w:color w:val="000000"/>
                <w:sz w:val="20"/>
                <w:szCs w:val="20"/>
              </w:rPr>
              <w:t>decrease in distance from public space</w:t>
            </w:r>
            <w:r w:rsidRPr="00812FFB">
              <w:rPr>
                <w:color w:val="000000"/>
                <w:sz w:val="20"/>
                <w:szCs w:val="20"/>
              </w:rPr>
              <w:t xml:space="preserve"> </w:t>
            </w:r>
            <w:r w:rsidR="00F62EF2" w:rsidRPr="00812FFB">
              <w:rPr>
                <w:color w:val="000000"/>
                <w:sz w:val="20"/>
                <w:szCs w:val="20"/>
              </w:rPr>
              <w:t>*</w:t>
            </w:r>
            <w:r w:rsidRPr="00812FFB">
              <w:rPr>
                <w:color w:val="000000"/>
                <w:sz w:val="20"/>
                <w:szCs w:val="20"/>
              </w:rPr>
              <w:t xml:space="preserve"> </w:t>
            </w:r>
            <w:r w:rsidR="00F62EF2" w:rsidRPr="00812FFB">
              <w:rPr>
                <w:color w:val="000000"/>
                <w:sz w:val="20"/>
                <w:szCs w:val="20"/>
              </w:rPr>
              <w:t>health cost avoided from better health from exercising regularly</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A43A7" w14:textId="35114579" w:rsidR="00F62EF2" w:rsidRPr="00812FFB" w:rsidRDefault="00F62EF2" w:rsidP="00DC5E65">
            <w:pPr>
              <w:jc w:val="center"/>
              <w:rPr>
                <w:color w:val="000000"/>
                <w:sz w:val="20"/>
                <w:szCs w:val="20"/>
              </w:rPr>
            </w:pPr>
            <w:r w:rsidRPr="00812FFB">
              <w:rPr>
                <w:color w:val="000000"/>
                <w:sz w:val="20"/>
                <w:szCs w:val="20"/>
              </w:rPr>
              <w:t>12,549,365</w:t>
            </w:r>
          </w:p>
        </w:tc>
      </w:tr>
      <w:tr w:rsidR="00F62EF2" w:rsidRPr="00812FFB" w14:paraId="32E4A1DB" w14:textId="77777777" w:rsidTr="00904897">
        <w:trPr>
          <w:trHeight w:val="1125"/>
        </w:trPr>
        <w:tc>
          <w:tcPr>
            <w:tcW w:w="311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0AA49F9" w14:textId="79B8CDB6" w:rsidR="00F62EF2" w:rsidRPr="00812FFB" w:rsidRDefault="005708DF" w:rsidP="004E6388">
            <w:pPr>
              <w:jc w:val="both"/>
              <w:rPr>
                <w:color w:val="000000"/>
                <w:sz w:val="20"/>
                <w:szCs w:val="20"/>
              </w:rPr>
            </w:pPr>
            <w:r w:rsidRPr="00812FFB">
              <w:rPr>
                <w:color w:val="000000"/>
                <w:sz w:val="20"/>
                <w:szCs w:val="20"/>
              </w:rPr>
              <w:t>I</w:t>
            </w:r>
            <w:r w:rsidR="00F62EF2" w:rsidRPr="00812FFB">
              <w:rPr>
                <w:color w:val="000000"/>
                <w:sz w:val="20"/>
                <w:szCs w:val="20"/>
              </w:rPr>
              <w:t>ncrease in health due to more cycling</w:t>
            </w:r>
          </w:p>
        </w:tc>
        <w:tc>
          <w:tcPr>
            <w:tcW w:w="1843"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14:paraId="6FE47DB1" w14:textId="77777777" w:rsidR="00F62EF2" w:rsidRPr="00812FFB" w:rsidRDefault="00F62EF2" w:rsidP="00DC5E65">
            <w:pPr>
              <w:jc w:val="center"/>
              <w:rPr>
                <w:color w:val="000000"/>
                <w:sz w:val="20"/>
                <w:szCs w:val="20"/>
              </w:rPr>
            </w:pPr>
            <w:r w:rsidRPr="00812FFB">
              <w:rPr>
                <w:color w:val="000000"/>
                <w:sz w:val="20"/>
                <w:szCs w:val="20"/>
              </w:rPr>
              <w:t>Public Space</w:t>
            </w:r>
          </w:p>
        </w:tc>
        <w:tc>
          <w:tcPr>
            <w:tcW w:w="4252"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BB6DDE6" w14:textId="55530419" w:rsidR="00F62EF2" w:rsidRPr="00812FFB" w:rsidRDefault="00746C9B" w:rsidP="004E6388">
            <w:pPr>
              <w:jc w:val="both"/>
              <w:rPr>
                <w:color w:val="000000"/>
                <w:sz w:val="20"/>
                <w:szCs w:val="20"/>
              </w:rPr>
            </w:pPr>
            <w:r w:rsidRPr="00812FFB">
              <w:rPr>
                <w:color w:val="000000"/>
                <w:sz w:val="20"/>
                <w:szCs w:val="20"/>
              </w:rPr>
              <w:t>P</w:t>
            </w:r>
            <w:r w:rsidR="00F62EF2" w:rsidRPr="00812FFB">
              <w:rPr>
                <w:color w:val="000000"/>
                <w:sz w:val="20"/>
                <w:szCs w:val="20"/>
              </w:rPr>
              <w:t>opulation</w:t>
            </w:r>
            <w:r w:rsidRPr="00812FFB">
              <w:rPr>
                <w:color w:val="000000"/>
                <w:sz w:val="20"/>
                <w:szCs w:val="20"/>
              </w:rPr>
              <w:t xml:space="preserve"> </w:t>
            </w:r>
            <w:r w:rsidR="00F62EF2" w:rsidRPr="00812FFB">
              <w:rPr>
                <w:color w:val="000000"/>
                <w:sz w:val="20"/>
                <w:szCs w:val="20"/>
              </w:rPr>
              <w:t>* % willing to cycle</w:t>
            </w:r>
            <w:r w:rsidRPr="00812FFB">
              <w:rPr>
                <w:color w:val="000000"/>
                <w:sz w:val="20"/>
                <w:szCs w:val="20"/>
              </w:rPr>
              <w:t xml:space="preserve"> </w:t>
            </w:r>
            <w:r w:rsidR="00F62EF2" w:rsidRPr="00812FFB">
              <w:rPr>
                <w:color w:val="000000"/>
                <w:sz w:val="20"/>
                <w:szCs w:val="20"/>
              </w:rPr>
              <w:t>*</w:t>
            </w:r>
            <w:r w:rsidRPr="00812FFB">
              <w:rPr>
                <w:color w:val="000000"/>
                <w:sz w:val="20"/>
                <w:szCs w:val="20"/>
              </w:rPr>
              <w:t xml:space="preserve"> </w:t>
            </w:r>
            <w:r w:rsidR="00F62EF2" w:rsidRPr="00812FFB">
              <w:rPr>
                <w:color w:val="000000"/>
                <w:sz w:val="20"/>
                <w:szCs w:val="20"/>
              </w:rPr>
              <w:t>%increase in health from cycling distance</w:t>
            </w:r>
            <w:r w:rsidRPr="00812FFB">
              <w:rPr>
                <w:color w:val="000000"/>
                <w:sz w:val="20"/>
                <w:szCs w:val="20"/>
              </w:rPr>
              <w:t xml:space="preserve"> </w:t>
            </w:r>
            <w:r w:rsidR="00F62EF2" w:rsidRPr="00812FFB">
              <w:rPr>
                <w:color w:val="000000"/>
                <w:sz w:val="20"/>
                <w:szCs w:val="20"/>
              </w:rPr>
              <w:t>*</w:t>
            </w:r>
            <w:r w:rsidRPr="00812FFB">
              <w:rPr>
                <w:color w:val="000000"/>
                <w:sz w:val="20"/>
                <w:szCs w:val="20"/>
              </w:rPr>
              <w:t xml:space="preserve"> c</w:t>
            </w:r>
            <w:r w:rsidR="00F62EF2" w:rsidRPr="00812FFB">
              <w:rPr>
                <w:color w:val="000000"/>
                <w:sz w:val="20"/>
                <w:szCs w:val="20"/>
              </w:rPr>
              <w:t>ycling trip distance *</w:t>
            </w:r>
            <w:r w:rsidRPr="00812FFB">
              <w:rPr>
                <w:color w:val="000000"/>
                <w:sz w:val="20"/>
                <w:szCs w:val="20"/>
              </w:rPr>
              <w:t xml:space="preserve"> </w:t>
            </w:r>
            <w:r w:rsidR="00F62EF2" w:rsidRPr="00812FFB">
              <w:rPr>
                <w:color w:val="000000"/>
                <w:sz w:val="20"/>
                <w:szCs w:val="20"/>
              </w:rPr>
              <w:t>cycling frequency</w:t>
            </w:r>
            <w:r w:rsidRPr="00812FFB">
              <w:rPr>
                <w:color w:val="000000"/>
                <w:sz w:val="20"/>
                <w:szCs w:val="20"/>
              </w:rPr>
              <w:t xml:space="preserve"> </w:t>
            </w:r>
            <w:r w:rsidR="00F62EF2" w:rsidRPr="00812FFB">
              <w:rPr>
                <w:color w:val="000000"/>
                <w:sz w:val="20"/>
                <w:szCs w:val="20"/>
              </w:rPr>
              <w:t>*</w:t>
            </w:r>
            <w:r w:rsidRPr="00812FFB">
              <w:rPr>
                <w:color w:val="000000"/>
                <w:sz w:val="20"/>
                <w:szCs w:val="20"/>
              </w:rPr>
              <w:t xml:space="preserve"> </w:t>
            </w:r>
            <w:r w:rsidR="00F62EF2" w:rsidRPr="00812FFB">
              <w:rPr>
                <w:color w:val="000000"/>
                <w:sz w:val="20"/>
                <w:szCs w:val="20"/>
              </w:rPr>
              <w:t>health costs</w:t>
            </w:r>
          </w:p>
        </w:tc>
        <w:tc>
          <w:tcPr>
            <w:tcW w:w="1559"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hideMark/>
          </w:tcPr>
          <w:p w14:paraId="216B77EE" w14:textId="685CBB00" w:rsidR="00F62EF2" w:rsidRPr="00812FFB" w:rsidRDefault="00F62EF2" w:rsidP="00DC5E65">
            <w:pPr>
              <w:jc w:val="center"/>
              <w:rPr>
                <w:color w:val="000000"/>
                <w:sz w:val="20"/>
                <w:szCs w:val="20"/>
              </w:rPr>
            </w:pPr>
            <w:r w:rsidRPr="00812FFB">
              <w:rPr>
                <w:color w:val="000000"/>
                <w:sz w:val="20"/>
                <w:szCs w:val="20"/>
              </w:rPr>
              <w:t>7,966,928</w:t>
            </w:r>
          </w:p>
        </w:tc>
      </w:tr>
      <w:tr w:rsidR="00834E75" w:rsidRPr="00812FFB" w14:paraId="65F6E50E" w14:textId="77777777" w:rsidTr="00904897">
        <w:trPr>
          <w:trHeight w:val="1125"/>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21179" w14:textId="7B8FECF7" w:rsidR="00F62EF2" w:rsidRPr="00812FFB" w:rsidRDefault="00746C9B" w:rsidP="004E6388">
            <w:pPr>
              <w:jc w:val="both"/>
              <w:rPr>
                <w:color w:val="000000"/>
                <w:sz w:val="20"/>
                <w:szCs w:val="20"/>
              </w:rPr>
            </w:pPr>
            <w:r w:rsidRPr="00812FFB">
              <w:rPr>
                <w:color w:val="000000"/>
                <w:sz w:val="20"/>
                <w:szCs w:val="20"/>
              </w:rPr>
              <w:t>I</w:t>
            </w:r>
            <w:r w:rsidR="00F62EF2" w:rsidRPr="00812FFB">
              <w:rPr>
                <w:color w:val="000000"/>
                <w:sz w:val="20"/>
                <w:szCs w:val="20"/>
              </w:rPr>
              <w:t>ncrease in social participation due to increased pub</w:t>
            </w:r>
            <w:r w:rsidRPr="00812FFB">
              <w:rPr>
                <w:color w:val="000000"/>
                <w:sz w:val="20"/>
                <w:szCs w:val="20"/>
              </w:rPr>
              <w:t>l</w:t>
            </w:r>
            <w:r w:rsidR="00F62EF2" w:rsidRPr="00812FFB">
              <w:rPr>
                <w:color w:val="000000"/>
                <w:sz w:val="20"/>
                <w:szCs w:val="20"/>
              </w:rPr>
              <w:t>ic spaces</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050A4D" w14:textId="77777777" w:rsidR="00F62EF2" w:rsidRPr="00812FFB" w:rsidRDefault="00F62EF2" w:rsidP="00DC5E65">
            <w:pPr>
              <w:jc w:val="center"/>
              <w:rPr>
                <w:color w:val="000000"/>
                <w:sz w:val="20"/>
                <w:szCs w:val="20"/>
              </w:rPr>
            </w:pPr>
            <w:r w:rsidRPr="00812FFB">
              <w:rPr>
                <w:color w:val="000000"/>
                <w:sz w:val="20"/>
                <w:szCs w:val="20"/>
              </w:rPr>
              <w:t>Public Space</w:t>
            </w:r>
          </w:p>
        </w:tc>
        <w:tc>
          <w:tcPr>
            <w:tcW w:w="4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9006B" w14:textId="2BDFF1A3" w:rsidR="00F62EF2" w:rsidRPr="00812FFB" w:rsidRDefault="00746C9B" w:rsidP="004E6388">
            <w:pPr>
              <w:jc w:val="both"/>
              <w:rPr>
                <w:color w:val="000000"/>
                <w:sz w:val="20"/>
                <w:szCs w:val="20"/>
              </w:rPr>
            </w:pPr>
            <w:r w:rsidRPr="00812FFB">
              <w:rPr>
                <w:color w:val="000000"/>
                <w:sz w:val="20"/>
                <w:szCs w:val="20"/>
              </w:rPr>
              <w:t xml:space="preserve">Population  </w:t>
            </w:r>
            <w:r w:rsidR="00F62EF2" w:rsidRPr="00812FFB">
              <w:rPr>
                <w:color w:val="000000"/>
                <w:sz w:val="20"/>
                <w:szCs w:val="20"/>
              </w:rPr>
              <w:t>* % increase in public space</w:t>
            </w:r>
            <w:r w:rsidRPr="00812FFB">
              <w:rPr>
                <w:color w:val="000000"/>
                <w:sz w:val="20"/>
                <w:szCs w:val="20"/>
              </w:rPr>
              <w:t xml:space="preserve"> </w:t>
            </w:r>
            <w:r w:rsidR="00F62EF2" w:rsidRPr="00812FFB">
              <w:rPr>
                <w:color w:val="000000"/>
                <w:sz w:val="20"/>
                <w:szCs w:val="20"/>
              </w:rPr>
              <w:t>* increase in happiness due to social participation *</w:t>
            </w:r>
            <w:r w:rsidR="00525A97" w:rsidRPr="00812FFB">
              <w:rPr>
                <w:color w:val="000000"/>
                <w:sz w:val="20"/>
                <w:szCs w:val="20"/>
              </w:rPr>
              <w:t xml:space="preserve">for </w:t>
            </w:r>
            <w:r w:rsidR="000B3CE6" w:rsidRPr="00812FFB">
              <w:rPr>
                <w:color w:val="000000"/>
                <w:sz w:val="20"/>
                <w:szCs w:val="20"/>
              </w:rPr>
              <w:t>the</w:t>
            </w:r>
            <w:r w:rsidR="00F62EF2" w:rsidRPr="00812FFB">
              <w:rPr>
                <w:color w:val="000000"/>
                <w:sz w:val="20"/>
                <w:szCs w:val="20"/>
              </w:rPr>
              <w:t xml:space="preserve"> increase in social participation due to public space</w:t>
            </w:r>
            <w:r w:rsidRPr="00812FFB">
              <w:rPr>
                <w:color w:val="000000"/>
                <w:sz w:val="20"/>
                <w:szCs w:val="20"/>
              </w:rPr>
              <w:t xml:space="preserve"> </w:t>
            </w:r>
            <w:r w:rsidR="00F62EF2" w:rsidRPr="00812FFB">
              <w:rPr>
                <w:color w:val="000000"/>
                <w:sz w:val="20"/>
                <w:szCs w:val="20"/>
              </w:rPr>
              <w:t>* increase in productivity</w:t>
            </w:r>
            <w:r w:rsidRPr="00812FFB">
              <w:rPr>
                <w:color w:val="000000"/>
                <w:sz w:val="20"/>
                <w:szCs w:val="20"/>
              </w:rPr>
              <w:t xml:space="preserve"> </w:t>
            </w:r>
            <w:r w:rsidR="00F62EF2" w:rsidRPr="00812FFB">
              <w:rPr>
                <w:color w:val="000000"/>
                <w:sz w:val="20"/>
                <w:szCs w:val="20"/>
              </w:rPr>
              <w:t xml:space="preserve">* </w:t>
            </w:r>
            <w:r w:rsidRPr="00812FFB">
              <w:rPr>
                <w:color w:val="000000"/>
                <w:sz w:val="20"/>
                <w:szCs w:val="20"/>
              </w:rPr>
              <w:t>GDP</w:t>
            </w:r>
            <w:r w:rsidR="00F62EF2" w:rsidRPr="00812FFB">
              <w:rPr>
                <w:color w:val="000000"/>
                <w:sz w:val="20"/>
                <w:szCs w:val="20"/>
              </w:rPr>
              <w:t xml:space="preserve"> per capita</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1D78C" w14:textId="452A97EA" w:rsidR="00F62EF2" w:rsidRPr="00812FFB" w:rsidRDefault="00F62EF2" w:rsidP="00DC5E65">
            <w:pPr>
              <w:jc w:val="center"/>
              <w:rPr>
                <w:color w:val="000000"/>
                <w:sz w:val="20"/>
                <w:szCs w:val="20"/>
              </w:rPr>
            </w:pPr>
            <w:r w:rsidRPr="00812FFB">
              <w:rPr>
                <w:color w:val="000000"/>
                <w:sz w:val="20"/>
                <w:szCs w:val="20"/>
              </w:rPr>
              <w:t>7,387,408</w:t>
            </w:r>
          </w:p>
        </w:tc>
      </w:tr>
      <w:tr w:rsidR="00F62EF2" w:rsidRPr="00812FFB" w14:paraId="50F03501" w14:textId="77777777" w:rsidTr="00904897">
        <w:trPr>
          <w:trHeight w:val="1132"/>
        </w:trPr>
        <w:tc>
          <w:tcPr>
            <w:tcW w:w="311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4BBE4A10" w14:textId="77777777" w:rsidR="00F62EF2" w:rsidRPr="00812FFB" w:rsidRDefault="00F62EF2" w:rsidP="004E6388">
            <w:pPr>
              <w:jc w:val="both"/>
              <w:rPr>
                <w:color w:val="000000"/>
                <w:sz w:val="20"/>
                <w:szCs w:val="20"/>
              </w:rPr>
            </w:pPr>
            <w:r w:rsidRPr="00812FFB">
              <w:rPr>
                <w:color w:val="000000"/>
                <w:sz w:val="20"/>
                <w:szCs w:val="20"/>
              </w:rPr>
              <w:lastRenderedPageBreak/>
              <w:t>Increase in mental health due to greenery, vertical green and rooftop green</w:t>
            </w:r>
          </w:p>
        </w:tc>
        <w:tc>
          <w:tcPr>
            <w:tcW w:w="1843"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14:paraId="5E2C2AF1" w14:textId="77777777" w:rsidR="00F62EF2" w:rsidRPr="00812FFB" w:rsidRDefault="00F62EF2" w:rsidP="00DC5E65">
            <w:pPr>
              <w:jc w:val="center"/>
              <w:rPr>
                <w:color w:val="000000"/>
                <w:sz w:val="20"/>
                <w:szCs w:val="20"/>
              </w:rPr>
            </w:pPr>
            <w:r w:rsidRPr="00812FFB">
              <w:rPr>
                <w:color w:val="000000"/>
                <w:sz w:val="20"/>
                <w:szCs w:val="20"/>
              </w:rPr>
              <w:t>Greenery</w:t>
            </w:r>
          </w:p>
        </w:tc>
        <w:tc>
          <w:tcPr>
            <w:tcW w:w="4252"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5F78454D" w14:textId="5AFCA665" w:rsidR="00F62EF2" w:rsidRPr="00812FFB" w:rsidRDefault="00746C9B" w:rsidP="004E6388">
            <w:pPr>
              <w:jc w:val="both"/>
              <w:rPr>
                <w:color w:val="000000"/>
                <w:sz w:val="20"/>
                <w:szCs w:val="20"/>
              </w:rPr>
            </w:pPr>
            <w:r w:rsidRPr="00812FFB">
              <w:rPr>
                <w:color w:val="000000"/>
                <w:sz w:val="20"/>
                <w:szCs w:val="20"/>
              </w:rPr>
              <w:t xml:space="preserve">Population </w:t>
            </w:r>
            <w:r w:rsidR="00F62EF2" w:rsidRPr="00812FFB">
              <w:rPr>
                <w:color w:val="000000"/>
                <w:sz w:val="20"/>
                <w:szCs w:val="20"/>
              </w:rPr>
              <w:t>*</w:t>
            </w:r>
            <w:r w:rsidRPr="00812FFB">
              <w:rPr>
                <w:color w:val="000000"/>
                <w:sz w:val="20"/>
                <w:szCs w:val="20"/>
              </w:rPr>
              <w:t xml:space="preserve"> </w:t>
            </w:r>
            <w:r w:rsidR="00F62EF2" w:rsidRPr="00812FFB">
              <w:rPr>
                <w:color w:val="000000"/>
                <w:sz w:val="20"/>
                <w:szCs w:val="20"/>
              </w:rPr>
              <w:t>Proportion with mental health issues</w:t>
            </w:r>
            <w:r w:rsidRPr="00812FFB">
              <w:rPr>
                <w:color w:val="000000"/>
                <w:sz w:val="20"/>
                <w:szCs w:val="20"/>
              </w:rPr>
              <w:t xml:space="preserve"> </w:t>
            </w:r>
            <w:r w:rsidR="00F62EF2" w:rsidRPr="00812FFB">
              <w:rPr>
                <w:color w:val="000000"/>
                <w:sz w:val="20"/>
                <w:szCs w:val="20"/>
              </w:rPr>
              <w:t>*</w:t>
            </w:r>
            <w:r w:rsidRPr="00812FFB">
              <w:rPr>
                <w:color w:val="000000"/>
                <w:sz w:val="20"/>
                <w:szCs w:val="20"/>
              </w:rPr>
              <w:t xml:space="preserve"> </w:t>
            </w:r>
            <w:r w:rsidR="00F62EF2" w:rsidRPr="00812FFB">
              <w:rPr>
                <w:color w:val="000000"/>
                <w:sz w:val="20"/>
                <w:szCs w:val="20"/>
              </w:rPr>
              <w:t>Costs of mental health treatment</w:t>
            </w:r>
            <w:r w:rsidRPr="00812FFB">
              <w:rPr>
                <w:color w:val="000000"/>
                <w:sz w:val="20"/>
                <w:szCs w:val="20"/>
              </w:rPr>
              <w:t xml:space="preserve"> </w:t>
            </w:r>
            <w:r w:rsidR="00F62EF2" w:rsidRPr="00812FFB">
              <w:rPr>
                <w:color w:val="000000"/>
                <w:sz w:val="20"/>
                <w:szCs w:val="20"/>
              </w:rPr>
              <w:t>*</w:t>
            </w:r>
            <w:r w:rsidRPr="00812FFB">
              <w:rPr>
                <w:color w:val="000000"/>
                <w:sz w:val="20"/>
                <w:szCs w:val="20"/>
              </w:rPr>
              <w:t xml:space="preserve"> </w:t>
            </w:r>
            <w:r w:rsidR="00F62EF2" w:rsidRPr="00812FFB">
              <w:rPr>
                <w:color w:val="000000"/>
                <w:sz w:val="20"/>
                <w:szCs w:val="20"/>
              </w:rPr>
              <w:t>% Reduction in costs</w:t>
            </w:r>
            <w:r w:rsidRPr="00812FFB">
              <w:rPr>
                <w:color w:val="000000"/>
                <w:sz w:val="20"/>
                <w:szCs w:val="20"/>
              </w:rPr>
              <w:t xml:space="preserve"> </w:t>
            </w:r>
            <w:r w:rsidR="00F62EF2" w:rsidRPr="00812FFB">
              <w:rPr>
                <w:color w:val="000000"/>
                <w:sz w:val="20"/>
                <w:szCs w:val="20"/>
              </w:rPr>
              <w:t>* Change in % Greenery</w:t>
            </w:r>
          </w:p>
        </w:tc>
        <w:tc>
          <w:tcPr>
            <w:tcW w:w="1559"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hideMark/>
          </w:tcPr>
          <w:p w14:paraId="24078E70" w14:textId="2EAD0907" w:rsidR="00F62EF2" w:rsidRPr="00812FFB" w:rsidRDefault="00F62EF2" w:rsidP="00DC5E65">
            <w:pPr>
              <w:jc w:val="center"/>
              <w:rPr>
                <w:color w:val="000000"/>
                <w:sz w:val="20"/>
                <w:szCs w:val="20"/>
              </w:rPr>
            </w:pPr>
            <w:r w:rsidRPr="00812FFB">
              <w:rPr>
                <w:color w:val="000000"/>
                <w:sz w:val="20"/>
                <w:szCs w:val="20"/>
              </w:rPr>
              <w:t>4,695,839</w:t>
            </w:r>
          </w:p>
        </w:tc>
      </w:tr>
    </w:tbl>
    <w:p w14:paraId="2AEA66C0" w14:textId="7B9EDB4C" w:rsidR="00B352C3" w:rsidRPr="00812FFB" w:rsidRDefault="00B352C3" w:rsidP="004E6388">
      <w:pPr>
        <w:jc w:val="center"/>
        <w:rPr>
          <w:i/>
          <w:sz w:val="20"/>
          <w:szCs w:val="20"/>
          <w:u w:val="single"/>
        </w:rPr>
      </w:pPr>
      <w:r w:rsidRPr="00812FFB">
        <w:rPr>
          <w:i/>
          <w:sz w:val="20"/>
          <w:szCs w:val="20"/>
          <w:u w:val="single"/>
        </w:rPr>
        <w:t xml:space="preserve">Table </w:t>
      </w:r>
      <w:r w:rsidR="00405FCE" w:rsidRPr="00812FFB">
        <w:rPr>
          <w:i/>
          <w:sz w:val="20"/>
          <w:szCs w:val="20"/>
          <w:u w:val="single"/>
        </w:rPr>
        <w:t>4</w:t>
      </w:r>
      <w:r w:rsidRPr="00812FFB">
        <w:rPr>
          <w:i/>
          <w:sz w:val="20"/>
          <w:szCs w:val="20"/>
          <w:u w:val="single"/>
        </w:rPr>
        <w:t>:</w:t>
      </w:r>
      <w:r w:rsidR="00E1144E" w:rsidRPr="00812FFB">
        <w:rPr>
          <w:i/>
          <w:sz w:val="20"/>
          <w:szCs w:val="20"/>
          <w:u w:val="single"/>
        </w:rPr>
        <w:t xml:space="preserve"> Key</w:t>
      </w:r>
      <w:r w:rsidRPr="00812FFB">
        <w:rPr>
          <w:i/>
          <w:sz w:val="20"/>
          <w:szCs w:val="20"/>
          <w:u w:val="single"/>
        </w:rPr>
        <w:t xml:space="preserve"> Increased Income</w:t>
      </w:r>
      <w:r w:rsidR="00E1144E" w:rsidRPr="00812FFB">
        <w:rPr>
          <w:i/>
          <w:sz w:val="20"/>
          <w:szCs w:val="20"/>
          <w:u w:val="single"/>
        </w:rPr>
        <w:t xml:space="preserve"> Financial Proxies</w:t>
      </w:r>
      <w:r w:rsidRPr="00812FFB">
        <w:rPr>
          <w:i/>
          <w:sz w:val="20"/>
          <w:szCs w:val="20"/>
          <w:u w:val="single"/>
        </w:rPr>
        <w:t xml:space="preserve"> calculated on a per year basis (SGD)</w:t>
      </w:r>
    </w:p>
    <w:p w14:paraId="405E5350" w14:textId="77777777" w:rsidR="00904897" w:rsidRPr="00812FFB" w:rsidRDefault="00904897" w:rsidP="004E6388">
      <w:pPr>
        <w:jc w:val="center"/>
        <w:rPr>
          <w:i/>
          <w:sz w:val="20"/>
          <w:szCs w:val="20"/>
          <w:u w:val="single"/>
        </w:rPr>
      </w:pPr>
    </w:p>
    <w:p w14:paraId="5890E339" w14:textId="4510C56A" w:rsidR="00BC686B" w:rsidRPr="00812FFB" w:rsidRDefault="00B352C3" w:rsidP="004E6388">
      <w:pPr>
        <w:jc w:val="both"/>
        <w:rPr>
          <w:sz w:val="20"/>
          <w:szCs w:val="20"/>
        </w:rPr>
      </w:pPr>
      <w:r w:rsidRPr="00812FFB">
        <w:rPr>
          <w:sz w:val="20"/>
          <w:szCs w:val="20"/>
        </w:rPr>
        <w:t xml:space="preserve">Across the various categories, Mobility </w:t>
      </w:r>
      <w:r w:rsidR="0037717C" w:rsidRPr="00812FFB">
        <w:rPr>
          <w:sz w:val="20"/>
          <w:szCs w:val="20"/>
        </w:rPr>
        <w:t>category project initiatives</w:t>
      </w:r>
      <w:r w:rsidRPr="00812FFB">
        <w:rPr>
          <w:sz w:val="20"/>
          <w:szCs w:val="20"/>
        </w:rPr>
        <w:t xml:space="preserve"> bring about the highest increase in income</w:t>
      </w:r>
      <w:r w:rsidR="008D3362" w:rsidRPr="00812FFB">
        <w:rPr>
          <w:sz w:val="20"/>
          <w:szCs w:val="20"/>
        </w:rPr>
        <w:t xml:space="preserve">, followed by Public Space and Greenery. </w:t>
      </w:r>
    </w:p>
    <w:p w14:paraId="79EA0B53" w14:textId="77777777" w:rsidR="005E505F" w:rsidRPr="00812FFB" w:rsidRDefault="005E505F" w:rsidP="004E6388">
      <w:pPr>
        <w:jc w:val="both"/>
        <w:rPr>
          <w:sz w:val="20"/>
          <w:szCs w:val="20"/>
        </w:rPr>
      </w:pPr>
    </w:p>
    <w:p w14:paraId="4CCFAA11" w14:textId="4A10CE6F" w:rsidR="00746C9B" w:rsidRPr="00812FFB" w:rsidRDefault="00746C9B" w:rsidP="00904897">
      <w:pPr>
        <w:pStyle w:val="Heading4"/>
        <w:rPr>
          <w:sz w:val="20"/>
          <w:szCs w:val="20"/>
        </w:rPr>
      </w:pPr>
      <w:r w:rsidRPr="00812FFB">
        <w:rPr>
          <w:sz w:val="20"/>
          <w:szCs w:val="20"/>
        </w:rPr>
        <w:t>4.</w:t>
      </w:r>
      <w:r w:rsidR="00EA7313" w:rsidRPr="00812FFB">
        <w:rPr>
          <w:sz w:val="20"/>
          <w:szCs w:val="20"/>
        </w:rPr>
        <w:t>3</w:t>
      </w:r>
      <w:r w:rsidRPr="00812FFB">
        <w:rPr>
          <w:sz w:val="20"/>
          <w:szCs w:val="20"/>
        </w:rPr>
        <w:t>.</w:t>
      </w:r>
      <w:r w:rsidR="00904897" w:rsidRPr="00812FFB">
        <w:rPr>
          <w:sz w:val="20"/>
          <w:szCs w:val="20"/>
        </w:rPr>
        <w:t>2</w:t>
      </w:r>
      <w:r w:rsidRPr="00812FFB">
        <w:rPr>
          <w:sz w:val="20"/>
          <w:szCs w:val="20"/>
        </w:rPr>
        <w:t xml:space="preserve">.1 </w:t>
      </w:r>
      <w:r w:rsidR="00BC686B" w:rsidRPr="00812FFB">
        <w:rPr>
          <w:sz w:val="20"/>
          <w:szCs w:val="20"/>
        </w:rPr>
        <w:t>Mobility</w:t>
      </w:r>
      <w:r w:rsidR="000E0EBD" w:rsidRPr="00812FFB">
        <w:rPr>
          <w:sz w:val="20"/>
          <w:szCs w:val="20"/>
        </w:rPr>
        <w:t xml:space="preserve">: </w:t>
      </w:r>
      <w:r w:rsidR="00623764" w:rsidRPr="00812FFB">
        <w:rPr>
          <w:sz w:val="20"/>
          <w:szCs w:val="20"/>
        </w:rPr>
        <w:t>Multi-modal Transport (YCCN</w:t>
      </w:r>
      <w:r w:rsidR="00D30EFB" w:rsidRPr="00812FFB">
        <w:rPr>
          <w:sz w:val="20"/>
          <w:szCs w:val="20"/>
        </w:rPr>
        <w:t>, Driverless Shuttle</w:t>
      </w:r>
      <w:r w:rsidR="00623764" w:rsidRPr="00812FFB">
        <w:rPr>
          <w:sz w:val="20"/>
          <w:szCs w:val="20"/>
        </w:rPr>
        <w:t xml:space="preserve"> and Monorail)</w:t>
      </w:r>
    </w:p>
    <w:p w14:paraId="396244F5" w14:textId="44B38525" w:rsidR="00473D25" w:rsidRPr="00812FFB" w:rsidRDefault="00BC686B" w:rsidP="004E6388">
      <w:pPr>
        <w:jc w:val="both"/>
        <w:rPr>
          <w:sz w:val="20"/>
          <w:szCs w:val="20"/>
        </w:rPr>
      </w:pPr>
      <w:r w:rsidRPr="00812FFB">
        <w:rPr>
          <w:b/>
          <w:bCs/>
          <w:sz w:val="20"/>
          <w:szCs w:val="20"/>
        </w:rPr>
        <w:t>T</w:t>
      </w:r>
      <w:r w:rsidR="00746C9B" w:rsidRPr="00812FFB">
        <w:rPr>
          <w:b/>
          <w:bCs/>
          <w:sz w:val="20"/>
          <w:szCs w:val="20"/>
        </w:rPr>
        <w:t>he incr</w:t>
      </w:r>
      <w:r w:rsidRPr="00812FFB">
        <w:rPr>
          <w:b/>
          <w:bCs/>
          <w:sz w:val="20"/>
          <w:szCs w:val="20"/>
        </w:rPr>
        <w:t xml:space="preserve">ease in </w:t>
      </w:r>
      <w:r w:rsidR="0002429B" w:rsidRPr="00812FFB">
        <w:rPr>
          <w:b/>
          <w:bCs/>
          <w:sz w:val="20"/>
          <w:szCs w:val="20"/>
        </w:rPr>
        <w:t>P</w:t>
      </w:r>
      <w:r w:rsidRPr="00812FFB">
        <w:rPr>
          <w:b/>
          <w:bCs/>
          <w:sz w:val="20"/>
          <w:szCs w:val="20"/>
        </w:rPr>
        <w:t>roductivity due to a more efficient transport system</w:t>
      </w:r>
      <w:r w:rsidR="005B1873" w:rsidRPr="00812FFB">
        <w:rPr>
          <w:sz w:val="20"/>
          <w:szCs w:val="20"/>
        </w:rPr>
        <w:t xml:space="preserve"> </w:t>
      </w:r>
      <w:r w:rsidR="00BF657C" w:rsidRPr="00812FFB">
        <w:rPr>
          <w:sz w:val="20"/>
          <w:szCs w:val="20"/>
        </w:rPr>
        <w:t>refers</w:t>
      </w:r>
      <w:r w:rsidR="00526C8F" w:rsidRPr="00812FFB">
        <w:rPr>
          <w:sz w:val="20"/>
          <w:szCs w:val="20"/>
        </w:rPr>
        <w:t xml:space="preserve"> to time saved during travel which could be otherwise spent on more productive activities or for relaxation</w:t>
      </w:r>
      <w:r w:rsidR="002E4E4C" w:rsidRPr="00812FFB">
        <w:rPr>
          <w:sz w:val="20"/>
          <w:szCs w:val="20"/>
        </w:rPr>
        <w:t xml:space="preserve">, leading </w:t>
      </w:r>
      <w:r w:rsidR="00526C8F" w:rsidRPr="00812FFB">
        <w:rPr>
          <w:sz w:val="20"/>
          <w:szCs w:val="20"/>
        </w:rPr>
        <w:t>to a</w:t>
      </w:r>
      <w:r w:rsidR="00985A83" w:rsidRPr="00812FFB">
        <w:rPr>
          <w:sz w:val="20"/>
          <w:szCs w:val="20"/>
        </w:rPr>
        <w:t xml:space="preserve">n increased </w:t>
      </w:r>
      <w:r w:rsidR="00526C8F" w:rsidRPr="00812FFB">
        <w:rPr>
          <w:sz w:val="20"/>
          <w:szCs w:val="20"/>
        </w:rPr>
        <w:t xml:space="preserve">ability to focus and be more efficient at work or school. </w:t>
      </w:r>
    </w:p>
    <w:p w14:paraId="25441A49" w14:textId="2A122E6C" w:rsidR="00561316" w:rsidRPr="00812FFB" w:rsidRDefault="00561316" w:rsidP="004E6388">
      <w:pPr>
        <w:pStyle w:val="Subtitle"/>
        <w:jc w:val="both"/>
        <w:rPr>
          <w:b w:val="0"/>
          <w:bCs w:val="0"/>
          <w:sz w:val="20"/>
          <w:szCs w:val="20"/>
        </w:rPr>
      </w:pPr>
      <w:r w:rsidRPr="00812FFB">
        <w:rPr>
          <w:sz w:val="20"/>
          <w:szCs w:val="20"/>
        </w:rPr>
        <w:t>Increase in Productivity</w:t>
      </w:r>
      <w:r w:rsidRPr="00812FFB">
        <w:rPr>
          <w:b w:val="0"/>
          <w:bCs w:val="0"/>
          <w:sz w:val="20"/>
          <w:szCs w:val="20"/>
        </w:rPr>
        <w:t xml:space="preserve"> = </w:t>
      </w:r>
      <w:r w:rsidR="00D37A9F" w:rsidRPr="00812FFB">
        <w:rPr>
          <w:b w:val="0"/>
          <w:bCs w:val="0"/>
          <w:sz w:val="20"/>
          <w:szCs w:val="20"/>
        </w:rPr>
        <w:t>(</w:t>
      </w:r>
      <w:r w:rsidRPr="00812FFB">
        <w:rPr>
          <w:b w:val="0"/>
          <w:bCs w:val="0"/>
          <w:sz w:val="20"/>
          <w:szCs w:val="20"/>
        </w:rPr>
        <w:t xml:space="preserve">Number of NUS Staff and Students </w:t>
      </w:r>
      <w:r w:rsidR="007C7504" w:rsidRPr="00812FFB">
        <w:rPr>
          <w:b w:val="0"/>
          <w:bCs w:val="0"/>
          <w:sz w:val="20"/>
          <w:szCs w:val="20"/>
        </w:rPr>
        <w:t xml:space="preserve">off-campus </w:t>
      </w:r>
      <w:r w:rsidRPr="00812FFB">
        <w:rPr>
          <w:b w:val="0"/>
          <w:bCs w:val="0"/>
          <w:sz w:val="20"/>
          <w:szCs w:val="20"/>
        </w:rPr>
        <w:t xml:space="preserve">* </w:t>
      </w:r>
      <w:r w:rsidR="007C7504" w:rsidRPr="00812FFB">
        <w:rPr>
          <w:b w:val="0"/>
          <w:bCs w:val="0"/>
          <w:sz w:val="20"/>
          <w:szCs w:val="20"/>
        </w:rPr>
        <w:t>Number of trips taken to Campus in a year (off-campus) + Number of NUS Staff and Students on campus * Number of trips taken to Campus in a year (on campus)</w:t>
      </w:r>
      <w:r w:rsidR="00D37A9F" w:rsidRPr="00812FFB">
        <w:rPr>
          <w:b w:val="0"/>
          <w:bCs w:val="0"/>
          <w:sz w:val="20"/>
          <w:szCs w:val="20"/>
        </w:rPr>
        <w:t xml:space="preserve">) * </w:t>
      </w:r>
      <w:r w:rsidR="00E94676" w:rsidRPr="00812FFB">
        <w:rPr>
          <w:b w:val="0"/>
          <w:bCs w:val="0"/>
          <w:sz w:val="20"/>
          <w:szCs w:val="20"/>
        </w:rPr>
        <w:t xml:space="preserve">Reduction in time taken to travel per round trip on Campus </w:t>
      </w:r>
      <w:r w:rsidR="006840A5" w:rsidRPr="00812FFB">
        <w:rPr>
          <w:b w:val="0"/>
          <w:bCs w:val="0"/>
          <w:sz w:val="20"/>
          <w:szCs w:val="20"/>
        </w:rPr>
        <w:t xml:space="preserve">* </w:t>
      </w:r>
      <w:r w:rsidR="0066088A" w:rsidRPr="00812FFB">
        <w:rPr>
          <w:b w:val="0"/>
          <w:bCs w:val="0"/>
          <w:sz w:val="20"/>
          <w:szCs w:val="20"/>
        </w:rPr>
        <w:t xml:space="preserve">Value of </w:t>
      </w:r>
      <w:r w:rsidR="006840A5" w:rsidRPr="00812FFB">
        <w:rPr>
          <w:b w:val="0"/>
          <w:bCs w:val="0"/>
          <w:sz w:val="20"/>
          <w:szCs w:val="20"/>
        </w:rPr>
        <w:t xml:space="preserve">Productivity </w:t>
      </w:r>
      <w:r w:rsidR="0066088A" w:rsidRPr="00812FFB">
        <w:rPr>
          <w:b w:val="0"/>
          <w:bCs w:val="0"/>
          <w:sz w:val="20"/>
          <w:szCs w:val="20"/>
        </w:rPr>
        <w:t>per minute on public transport</w:t>
      </w:r>
      <w:r w:rsidR="00523AE1" w:rsidRPr="00812FFB">
        <w:rPr>
          <w:b w:val="0"/>
          <w:bCs w:val="0"/>
          <w:sz w:val="20"/>
          <w:szCs w:val="20"/>
        </w:rPr>
        <w:t xml:space="preserve"> * Scaling factor</w:t>
      </w:r>
    </w:p>
    <w:p w14:paraId="1C535DBC" w14:textId="5A59063A" w:rsidR="009D149A" w:rsidRPr="00812FFB" w:rsidRDefault="009D149A" w:rsidP="004E6388">
      <w:pPr>
        <w:jc w:val="both"/>
        <w:rPr>
          <w:sz w:val="20"/>
          <w:szCs w:val="20"/>
        </w:rPr>
      </w:pPr>
      <w:r w:rsidRPr="00812FFB">
        <w:rPr>
          <w:sz w:val="20"/>
          <w:szCs w:val="20"/>
        </w:rPr>
        <w:t>The Value of productivity per minute spent on Public Transport is taken to be the Value of Time for Seated bus and train passengers in New Zealand</w:t>
      </w:r>
      <w:r w:rsidR="00331742" w:rsidRPr="00812FFB">
        <w:rPr>
          <w:sz w:val="20"/>
          <w:szCs w:val="20"/>
        </w:rPr>
        <w:t xml:space="preserve"> (New Zealand Transport Agency, 2002)</w:t>
      </w:r>
      <w:r w:rsidRPr="00812FFB">
        <w:rPr>
          <w:sz w:val="20"/>
          <w:szCs w:val="20"/>
        </w:rPr>
        <w:t>, adjusted for inflation of 72% from the time the study was conducted</w:t>
      </w:r>
      <w:r w:rsidR="00331742" w:rsidRPr="00812FFB">
        <w:rPr>
          <w:sz w:val="20"/>
          <w:szCs w:val="20"/>
        </w:rPr>
        <w:t xml:space="preserve"> (Reserve Bank of </w:t>
      </w:r>
      <w:r w:rsidR="00904897" w:rsidRPr="00812FFB">
        <w:rPr>
          <w:sz w:val="20"/>
          <w:szCs w:val="20"/>
        </w:rPr>
        <w:t>N</w:t>
      </w:r>
      <w:r w:rsidR="00331742" w:rsidRPr="00812FFB">
        <w:rPr>
          <w:sz w:val="20"/>
          <w:szCs w:val="20"/>
        </w:rPr>
        <w:t>ew Zealand, n.d.)</w:t>
      </w:r>
      <w:r w:rsidRPr="00812FFB">
        <w:rPr>
          <w:sz w:val="20"/>
          <w:szCs w:val="20"/>
        </w:rPr>
        <w:t xml:space="preserve">. </w:t>
      </w:r>
      <w:r w:rsidR="00B722F9">
        <w:rPr>
          <w:sz w:val="20"/>
          <w:szCs w:val="20"/>
        </w:rPr>
        <w:t xml:space="preserve">This value of time was the amount passengers were willing to pay for </w:t>
      </w:r>
      <w:r w:rsidR="004B1790">
        <w:rPr>
          <w:sz w:val="20"/>
          <w:szCs w:val="20"/>
        </w:rPr>
        <w:t>each minute of shorter commute.</w:t>
      </w:r>
    </w:p>
    <w:p w14:paraId="5A2852E1" w14:textId="77777777" w:rsidR="00EC06E5" w:rsidRPr="00812FFB" w:rsidRDefault="00EC06E5" w:rsidP="004E6388">
      <w:pPr>
        <w:jc w:val="both"/>
        <w:rPr>
          <w:sz w:val="20"/>
          <w:szCs w:val="20"/>
        </w:rPr>
      </w:pPr>
    </w:p>
    <w:p w14:paraId="55BC62AE" w14:textId="61BDAA2C" w:rsidR="000E0EBD" w:rsidRPr="00812FFB" w:rsidRDefault="00A809FD" w:rsidP="004E6388">
      <w:pPr>
        <w:jc w:val="both"/>
        <w:rPr>
          <w:sz w:val="20"/>
          <w:szCs w:val="20"/>
        </w:rPr>
      </w:pPr>
      <w:r w:rsidRPr="00812FFB">
        <w:rPr>
          <w:sz w:val="20"/>
          <w:szCs w:val="20"/>
        </w:rPr>
        <w:t xml:space="preserve">The </w:t>
      </w:r>
      <w:r w:rsidRPr="00812FFB">
        <w:rPr>
          <w:b/>
          <w:bCs/>
          <w:sz w:val="20"/>
          <w:szCs w:val="20"/>
        </w:rPr>
        <w:t>increase in Social participation due to increased connectivity</w:t>
      </w:r>
      <w:r w:rsidRPr="00812FFB">
        <w:rPr>
          <w:sz w:val="20"/>
          <w:szCs w:val="20"/>
        </w:rPr>
        <w:t xml:space="preserve"> </w:t>
      </w:r>
      <w:r w:rsidR="00593BFC" w:rsidRPr="00812FFB">
        <w:rPr>
          <w:sz w:val="20"/>
          <w:szCs w:val="20"/>
        </w:rPr>
        <w:t xml:space="preserve">refers to </w:t>
      </w:r>
      <w:r w:rsidR="002E4E4C" w:rsidRPr="00812FFB">
        <w:rPr>
          <w:sz w:val="20"/>
          <w:szCs w:val="20"/>
        </w:rPr>
        <w:t xml:space="preserve">the increase in </w:t>
      </w:r>
      <w:r w:rsidR="006034D6" w:rsidRPr="00812FFB">
        <w:rPr>
          <w:sz w:val="20"/>
          <w:szCs w:val="20"/>
        </w:rPr>
        <w:t xml:space="preserve">Social support as the increased in connectivity allows more people to navigate to common areas to participate in </w:t>
      </w:r>
      <w:r w:rsidR="005921E1" w:rsidRPr="00812FFB">
        <w:rPr>
          <w:sz w:val="20"/>
          <w:szCs w:val="20"/>
        </w:rPr>
        <w:t>communal activities</w:t>
      </w:r>
      <w:r w:rsidR="004A6CE5" w:rsidRPr="00812FFB">
        <w:rPr>
          <w:sz w:val="20"/>
          <w:szCs w:val="20"/>
        </w:rPr>
        <w:t xml:space="preserve">, therefore increasing their level of happiness. </w:t>
      </w:r>
      <w:r w:rsidR="000D0A7E" w:rsidRPr="00812FFB">
        <w:rPr>
          <w:sz w:val="20"/>
          <w:szCs w:val="20"/>
        </w:rPr>
        <w:t>The value of the increase in happiness to society is estimated to be the increase in productivity.</w:t>
      </w:r>
    </w:p>
    <w:p w14:paraId="3DFCAA03" w14:textId="293BEA75" w:rsidR="00614C0B" w:rsidRPr="00812FFB" w:rsidRDefault="00E30661" w:rsidP="004E6388">
      <w:pPr>
        <w:pStyle w:val="Subtitle"/>
        <w:jc w:val="both"/>
        <w:rPr>
          <w:b w:val="0"/>
          <w:bCs w:val="0"/>
          <w:sz w:val="20"/>
          <w:szCs w:val="20"/>
        </w:rPr>
      </w:pPr>
      <w:r w:rsidRPr="00812FFB">
        <w:rPr>
          <w:sz w:val="20"/>
          <w:szCs w:val="20"/>
        </w:rPr>
        <w:t xml:space="preserve">Increase in Social participation </w:t>
      </w:r>
      <w:r w:rsidRPr="00812FFB">
        <w:rPr>
          <w:b w:val="0"/>
          <w:bCs w:val="0"/>
          <w:sz w:val="20"/>
          <w:szCs w:val="20"/>
        </w:rPr>
        <w:t xml:space="preserve">= </w:t>
      </w:r>
      <w:r w:rsidR="001F2DCE" w:rsidRPr="00812FFB">
        <w:rPr>
          <w:b w:val="0"/>
          <w:bCs w:val="0"/>
          <w:sz w:val="20"/>
          <w:szCs w:val="20"/>
        </w:rPr>
        <w:t xml:space="preserve">Number of NUS Staff and Students </w:t>
      </w:r>
      <w:r w:rsidR="00B40009" w:rsidRPr="00812FFB">
        <w:rPr>
          <w:b w:val="0"/>
          <w:bCs w:val="0"/>
          <w:sz w:val="20"/>
          <w:szCs w:val="20"/>
        </w:rPr>
        <w:t>*</w:t>
      </w:r>
      <w:r w:rsidR="00145DDE" w:rsidRPr="00812FFB">
        <w:rPr>
          <w:b w:val="0"/>
          <w:bCs w:val="0"/>
          <w:sz w:val="20"/>
          <w:szCs w:val="20"/>
        </w:rPr>
        <w:t xml:space="preserve"> </w:t>
      </w:r>
      <w:r w:rsidR="00003E1C" w:rsidRPr="00812FFB">
        <w:rPr>
          <w:b w:val="0"/>
          <w:bCs w:val="0"/>
          <w:sz w:val="20"/>
          <w:szCs w:val="20"/>
        </w:rPr>
        <w:t>Percentage</w:t>
      </w:r>
      <w:r w:rsidR="00C51CF9" w:rsidRPr="00812FFB">
        <w:rPr>
          <w:b w:val="0"/>
          <w:bCs w:val="0"/>
          <w:sz w:val="20"/>
          <w:szCs w:val="20"/>
        </w:rPr>
        <w:t xml:space="preserve"> Increase of social participation due to increased connectivity (via public transport</w:t>
      </w:r>
      <w:r w:rsidR="009B6FB6" w:rsidRPr="00812FFB">
        <w:rPr>
          <w:b w:val="0"/>
          <w:bCs w:val="0"/>
          <w:sz w:val="20"/>
          <w:szCs w:val="20"/>
        </w:rPr>
        <w:t xml:space="preserve"> and bicycle</w:t>
      </w:r>
      <w:r w:rsidR="00C51CF9" w:rsidRPr="00812FFB">
        <w:rPr>
          <w:b w:val="0"/>
          <w:bCs w:val="0"/>
          <w:sz w:val="20"/>
          <w:szCs w:val="20"/>
        </w:rPr>
        <w:t>) *</w:t>
      </w:r>
      <w:r w:rsidR="005D12B0" w:rsidRPr="00812FFB">
        <w:rPr>
          <w:b w:val="0"/>
          <w:bCs w:val="0"/>
          <w:sz w:val="20"/>
          <w:szCs w:val="20"/>
        </w:rPr>
        <w:t xml:space="preserve"> Percentage</w:t>
      </w:r>
      <w:r w:rsidR="00993CC0" w:rsidRPr="00812FFB">
        <w:rPr>
          <w:b w:val="0"/>
          <w:bCs w:val="0"/>
          <w:sz w:val="20"/>
          <w:szCs w:val="20"/>
        </w:rPr>
        <w:t xml:space="preserve"> Increase in Happiness due to </w:t>
      </w:r>
      <w:r w:rsidR="00F75B99" w:rsidRPr="00812FFB">
        <w:rPr>
          <w:b w:val="0"/>
          <w:bCs w:val="0"/>
          <w:sz w:val="20"/>
          <w:szCs w:val="20"/>
        </w:rPr>
        <w:t xml:space="preserve">increased social participation (in common areas) </w:t>
      </w:r>
      <w:r w:rsidR="00614C0B" w:rsidRPr="00812FFB">
        <w:rPr>
          <w:b w:val="0"/>
          <w:bCs w:val="0"/>
          <w:sz w:val="20"/>
          <w:szCs w:val="20"/>
        </w:rPr>
        <w:t xml:space="preserve">* Increase in </w:t>
      </w:r>
      <w:r w:rsidR="00124735" w:rsidRPr="00812FFB">
        <w:rPr>
          <w:b w:val="0"/>
          <w:bCs w:val="0"/>
          <w:sz w:val="20"/>
          <w:szCs w:val="20"/>
        </w:rPr>
        <w:t>connectivity</w:t>
      </w:r>
      <w:r w:rsidR="002060CD" w:rsidRPr="00812FFB">
        <w:rPr>
          <w:b w:val="0"/>
          <w:bCs w:val="0"/>
          <w:sz w:val="20"/>
          <w:szCs w:val="20"/>
        </w:rPr>
        <w:t xml:space="preserve"> *</w:t>
      </w:r>
      <w:r w:rsidR="00124735" w:rsidRPr="00812FFB">
        <w:rPr>
          <w:b w:val="0"/>
          <w:bCs w:val="0"/>
          <w:sz w:val="20"/>
          <w:szCs w:val="20"/>
        </w:rPr>
        <w:t xml:space="preserve"> </w:t>
      </w:r>
      <w:r w:rsidR="005D12B0" w:rsidRPr="00812FFB">
        <w:rPr>
          <w:b w:val="0"/>
          <w:bCs w:val="0"/>
          <w:sz w:val="20"/>
          <w:szCs w:val="20"/>
        </w:rPr>
        <w:t xml:space="preserve">Percentage </w:t>
      </w:r>
      <w:r w:rsidR="00A84462" w:rsidRPr="00812FFB">
        <w:rPr>
          <w:b w:val="0"/>
          <w:bCs w:val="0"/>
          <w:sz w:val="20"/>
          <w:szCs w:val="20"/>
        </w:rPr>
        <w:t xml:space="preserve">Increase in productivity due to increased happiness </w:t>
      </w:r>
      <w:r w:rsidR="00B71B2C" w:rsidRPr="00812FFB">
        <w:rPr>
          <w:b w:val="0"/>
          <w:bCs w:val="0"/>
          <w:sz w:val="20"/>
          <w:szCs w:val="20"/>
        </w:rPr>
        <w:t xml:space="preserve">* </w:t>
      </w:r>
      <w:r w:rsidR="008C7716" w:rsidRPr="00812FFB">
        <w:rPr>
          <w:b w:val="0"/>
          <w:bCs w:val="0"/>
          <w:sz w:val="20"/>
          <w:szCs w:val="20"/>
        </w:rPr>
        <w:t xml:space="preserve">Productivity per person </w:t>
      </w:r>
    </w:p>
    <w:p w14:paraId="22E6577F" w14:textId="7A01FCCF" w:rsidR="00FD4149" w:rsidRPr="00812FFB" w:rsidRDefault="00003E1C" w:rsidP="004E6388">
      <w:pPr>
        <w:jc w:val="both"/>
        <w:rPr>
          <w:iCs/>
          <w:sz w:val="20"/>
          <w:szCs w:val="20"/>
        </w:rPr>
      </w:pPr>
      <w:r w:rsidRPr="00812FFB">
        <w:rPr>
          <w:iCs/>
          <w:sz w:val="20"/>
          <w:szCs w:val="20"/>
        </w:rPr>
        <w:t xml:space="preserve">The increase in </w:t>
      </w:r>
      <w:r w:rsidR="003909ED" w:rsidRPr="00812FFB">
        <w:rPr>
          <w:iCs/>
          <w:sz w:val="20"/>
          <w:szCs w:val="20"/>
        </w:rPr>
        <w:t>social participation due to increased connectivity is taken to be</w:t>
      </w:r>
      <w:r w:rsidR="00232212" w:rsidRPr="00812FFB">
        <w:rPr>
          <w:iCs/>
          <w:sz w:val="20"/>
          <w:szCs w:val="20"/>
        </w:rPr>
        <w:t xml:space="preserve"> </w:t>
      </w:r>
      <w:r w:rsidR="00B747F1" w:rsidRPr="00812FFB">
        <w:rPr>
          <w:iCs/>
          <w:sz w:val="20"/>
          <w:szCs w:val="20"/>
        </w:rPr>
        <w:t>37.</w:t>
      </w:r>
      <w:r w:rsidR="00C320B1" w:rsidRPr="00812FFB">
        <w:rPr>
          <w:iCs/>
          <w:sz w:val="20"/>
          <w:szCs w:val="20"/>
        </w:rPr>
        <w:t>8</w:t>
      </w:r>
      <w:r w:rsidR="00B747F1" w:rsidRPr="00812FFB">
        <w:rPr>
          <w:iCs/>
          <w:sz w:val="20"/>
          <w:szCs w:val="20"/>
        </w:rPr>
        <w:t>%</w:t>
      </w:r>
      <w:r w:rsidR="000A7A5B" w:rsidRPr="00812FFB">
        <w:rPr>
          <w:iCs/>
          <w:sz w:val="20"/>
          <w:szCs w:val="20"/>
        </w:rPr>
        <w:t xml:space="preserve"> </w:t>
      </w:r>
      <w:r w:rsidR="00C320B1" w:rsidRPr="00812FFB">
        <w:rPr>
          <w:iCs/>
          <w:sz w:val="20"/>
          <w:szCs w:val="20"/>
        </w:rPr>
        <w:t>(Giles-Corti et al., 2005</w:t>
      </w:r>
      <w:r w:rsidR="000A7A5B" w:rsidRPr="00812FFB">
        <w:rPr>
          <w:iCs/>
          <w:sz w:val="20"/>
          <w:szCs w:val="20"/>
        </w:rPr>
        <w:t>)</w:t>
      </w:r>
      <w:r w:rsidR="006F3E6A" w:rsidRPr="00812FFB">
        <w:rPr>
          <w:iCs/>
          <w:sz w:val="20"/>
          <w:szCs w:val="20"/>
        </w:rPr>
        <w:t>. T</w:t>
      </w:r>
      <w:r w:rsidR="00232212" w:rsidRPr="00812FFB">
        <w:rPr>
          <w:iCs/>
          <w:sz w:val="20"/>
          <w:szCs w:val="20"/>
        </w:rPr>
        <w:t xml:space="preserve">he </w:t>
      </w:r>
      <w:r w:rsidR="0003432F" w:rsidRPr="00812FFB">
        <w:rPr>
          <w:iCs/>
          <w:sz w:val="20"/>
          <w:szCs w:val="20"/>
        </w:rPr>
        <w:t>percentage</w:t>
      </w:r>
      <w:r w:rsidR="00B269A9" w:rsidRPr="00812FFB">
        <w:rPr>
          <w:iCs/>
          <w:sz w:val="20"/>
          <w:szCs w:val="20"/>
        </w:rPr>
        <w:t xml:space="preserve"> of NUS Staff and students that will benefit from increased convenience to </w:t>
      </w:r>
      <w:r w:rsidR="000A7A5B" w:rsidRPr="00812FFB">
        <w:rPr>
          <w:iCs/>
          <w:sz w:val="20"/>
          <w:szCs w:val="20"/>
        </w:rPr>
        <w:t xml:space="preserve">Communal areas due to the YCCN bicycle tracks, the Monorail and driverless shuttle, is taken to be the percentage that will travel to </w:t>
      </w:r>
      <w:r w:rsidR="00C320B1" w:rsidRPr="00812FFB">
        <w:rPr>
          <w:iCs/>
          <w:sz w:val="20"/>
          <w:szCs w:val="20"/>
        </w:rPr>
        <w:t xml:space="preserve">nearby </w:t>
      </w:r>
      <w:r w:rsidR="000A7A5B" w:rsidRPr="00812FFB">
        <w:rPr>
          <w:iCs/>
          <w:sz w:val="20"/>
          <w:szCs w:val="20"/>
        </w:rPr>
        <w:t xml:space="preserve">Communal areas </w:t>
      </w:r>
      <w:r w:rsidR="00C320B1" w:rsidRPr="00812FFB">
        <w:rPr>
          <w:iCs/>
          <w:sz w:val="20"/>
          <w:szCs w:val="20"/>
        </w:rPr>
        <w:t xml:space="preserve">due to increased accessibility and </w:t>
      </w:r>
      <w:r w:rsidR="00F73CF6" w:rsidRPr="00812FFB">
        <w:rPr>
          <w:iCs/>
          <w:sz w:val="20"/>
          <w:szCs w:val="20"/>
        </w:rPr>
        <w:t>partake in social activities</w:t>
      </w:r>
      <w:r w:rsidR="000A7A5B" w:rsidRPr="00812FFB">
        <w:rPr>
          <w:iCs/>
          <w:sz w:val="20"/>
          <w:szCs w:val="20"/>
        </w:rPr>
        <w:t xml:space="preserve">. </w:t>
      </w:r>
    </w:p>
    <w:p w14:paraId="3E1691F2" w14:textId="77777777" w:rsidR="00904897" w:rsidRPr="00812FFB" w:rsidRDefault="00904897" w:rsidP="004E6388">
      <w:pPr>
        <w:jc w:val="both"/>
        <w:rPr>
          <w:iCs/>
          <w:sz w:val="20"/>
          <w:szCs w:val="20"/>
        </w:rPr>
      </w:pPr>
    </w:p>
    <w:p w14:paraId="020EA4FB" w14:textId="77777777" w:rsidR="00904897" w:rsidRPr="00812FFB" w:rsidRDefault="005D12B0" w:rsidP="004E6388">
      <w:pPr>
        <w:jc w:val="both"/>
        <w:rPr>
          <w:iCs/>
          <w:sz w:val="20"/>
          <w:szCs w:val="20"/>
        </w:rPr>
      </w:pPr>
      <w:r w:rsidRPr="00812FFB">
        <w:rPr>
          <w:iCs/>
          <w:sz w:val="20"/>
          <w:szCs w:val="20"/>
        </w:rPr>
        <w:t xml:space="preserve">The </w:t>
      </w:r>
      <w:r w:rsidR="005E505F" w:rsidRPr="00812FFB">
        <w:rPr>
          <w:iCs/>
          <w:sz w:val="20"/>
          <w:szCs w:val="20"/>
        </w:rPr>
        <w:t>i</w:t>
      </w:r>
      <w:r w:rsidRPr="00812FFB">
        <w:rPr>
          <w:iCs/>
          <w:sz w:val="20"/>
          <w:szCs w:val="20"/>
        </w:rPr>
        <w:t xml:space="preserve">ncrease in Happiness due to increased social participation is taken to be </w:t>
      </w:r>
      <w:r w:rsidR="00A67E86" w:rsidRPr="00812FFB">
        <w:rPr>
          <w:iCs/>
          <w:sz w:val="20"/>
          <w:szCs w:val="20"/>
        </w:rPr>
        <w:t>23.1%</w:t>
      </w:r>
      <w:r w:rsidR="00AE27AB" w:rsidRPr="00812FFB">
        <w:rPr>
          <w:iCs/>
          <w:sz w:val="20"/>
          <w:szCs w:val="20"/>
        </w:rPr>
        <w:t xml:space="preserve">, </w:t>
      </w:r>
      <w:r w:rsidR="00445A1C" w:rsidRPr="00812FFB">
        <w:rPr>
          <w:iCs/>
          <w:sz w:val="20"/>
          <w:szCs w:val="20"/>
        </w:rPr>
        <w:t>the average increase in happiness due to increased recreational activity in common areas (</w:t>
      </w:r>
      <w:r w:rsidR="00FD4149" w:rsidRPr="00812FFB">
        <w:rPr>
          <w:iCs/>
          <w:sz w:val="20"/>
          <w:szCs w:val="20"/>
        </w:rPr>
        <w:t>White, 2023).</w:t>
      </w:r>
      <w:r w:rsidR="00904897" w:rsidRPr="00812FFB">
        <w:rPr>
          <w:iCs/>
          <w:sz w:val="20"/>
          <w:szCs w:val="20"/>
        </w:rPr>
        <w:t xml:space="preserve"> </w:t>
      </w:r>
    </w:p>
    <w:p w14:paraId="3A05D9EB" w14:textId="77777777" w:rsidR="00904897" w:rsidRPr="00812FFB" w:rsidRDefault="00904897" w:rsidP="004E6388">
      <w:pPr>
        <w:jc w:val="both"/>
        <w:rPr>
          <w:iCs/>
          <w:sz w:val="20"/>
          <w:szCs w:val="20"/>
        </w:rPr>
      </w:pPr>
    </w:p>
    <w:p w14:paraId="22C0CA70" w14:textId="06DBD1A2" w:rsidR="00C46E78" w:rsidRPr="00812FFB" w:rsidRDefault="005B09C6" w:rsidP="004E6388">
      <w:pPr>
        <w:jc w:val="both"/>
        <w:rPr>
          <w:iCs/>
          <w:sz w:val="20"/>
          <w:szCs w:val="20"/>
        </w:rPr>
      </w:pPr>
      <w:r w:rsidRPr="00812FFB">
        <w:rPr>
          <w:sz w:val="20"/>
          <w:szCs w:val="20"/>
        </w:rPr>
        <w:t xml:space="preserve">The increase in connectivity is measured </w:t>
      </w:r>
      <w:r w:rsidR="00E63E39" w:rsidRPr="00812FFB">
        <w:rPr>
          <w:sz w:val="20"/>
          <w:szCs w:val="20"/>
        </w:rPr>
        <w:t xml:space="preserve">as the </w:t>
      </w:r>
      <w:r w:rsidR="00C74FFD" w:rsidRPr="00812FFB">
        <w:rPr>
          <w:sz w:val="20"/>
          <w:szCs w:val="20"/>
        </w:rPr>
        <w:t xml:space="preserve">percentage </w:t>
      </w:r>
      <w:r w:rsidR="00E63E39" w:rsidRPr="00812FFB">
        <w:rPr>
          <w:sz w:val="20"/>
          <w:szCs w:val="20"/>
        </w:rPr>
        <w:t>decrease in time taken to travel the 2 main routes on Campus</w:t>
      </w:r>
      <w:r w:rsidR="003C00EC" w:rsidRPr="00812FFB">
        <w:rPr>
          <w:sz w:val="20"/>
          <w:szCs w:val="20"/>
        </w:rPr>
        <w:t xml:space="preserve">. </w:t>
      </w:r>
      <w:r w:rsidR="00C46E78" w:rsidRPr="00812FFB">
        <w:rPr>
          <w:sz w:val="20"/>
          <w:szCs w:val="20"/>
        </w:rPr>
        <w:t xml:space="preserve">The percentage increase in productivity due to increased happiness is </w:t>
      </w:r>
      <w:r w:rsidR="002D567B" w:rsidRPr="00812FFB">
        <w:rPr>
          <w:sz w:val="20"/>
          <w:szCs w:val="20"/>
        </w:rPr>
        <w:t xml:space="preserve">taken </w:t>
      </w:r>
      <w:r w:rsidR="009C700B" w:rsidRPr="00812FFB">
        <w:rPr>
          <w:sz w:val="20"/>
          <w:szCs w:val="20"/>
        </w:rPr>
        <w:t xml:space="preserve">to be 12% (White, </w:t>
      </w:r>
      <w:r w:rsidR="005215C0" w:rsidRPr="00812FFB">
        <w:rPr>
          <w:sz w:val="20"/>
          <w:szCs w:val="20"/>
        </w:rPr>
        <w:t>2023).</w:t>
      </w:r>
      <w:r w:rsidR="00904897" w:rsidRPr="00812FFB">
        <w:rPr>
          <w:sz w:val="20"/>
          <w:szCs w:val="20"/>
        </w:rPr>
        <w:t xml:space="preserve"> </w:t>
      </w:r>
      <w:r w:rsidR="008C7716" w:rsidRPr="00812FFB">
        <w:rPr>
          <w:sz w:val="20"/>
          <w:szCs w:val="20"/>
        </w:rPr>
        <w:t xml:space="preserve">The productivity per person is taken to be </w:t>
      </w:r>
      <w:r w:rsidR="00A72EE8" w:rsidRPr="00812FFB">
        <w:rPr>
          <w:sz w:val="20"/>
          <w:szCs w:val="20"/>
        </w:rPr>
        <w:t>Singapore’s GDP per capita in 2022</w:t>
      </w:r>
      <w:r w:rsidR="00331742" w:rsidRPr="00812FFB">
        <w:rPr>
          <w:sz w:val="20"/>
          <w:szCs w:val="20"/>
        </w:rPr>
        <w:t xml:space="preserve"> (</w:t>
      </w:r>
      <w:proofErr w:type="spellStart"/>
      <w:r w:rsidR="00331742" w:rsidRPr="00812FFB">
        <w:rPr>
          <w:sz w:val="20"/>
          <w:szCs w:val="20"/>
        </w:rPr>
        <w:t>Singstat</w:t>
      </w:r>
      <w:proofErr w:type="spellEnd"/>
      <w:r w:rsidR="00331742" w:rsidRPr="00812FFB">
        <w:rPr>
          <w:sz w:val="20"/>
          <w:szCs w:val="20"/>
        </w:rPr>
        <w:t>, 2023)</w:t>
      </w:r>
      <w:r w:rsidR="00C46E78" w:rsidRPr="00812FFB">
        <w:rPr>
          <w:sz w:val="20"/>
          <w:szCs w:val="20"/>
        </w:rPr>
        <w:t xml:space="preserve">. </w:t>
      </w:r>
    </w:p>
    <w:p w14:paraId="12F11F83" w14:textId="77777777" w:rsidR="004E6388" w:rsidRPr="00812FFB" w:rsidRDefault="004E6388" w:rsidP="004E6388">
      <w:pPr>
        <w:jc w:val="both"/>
        <w:rPr>
          <w:sz w:val="20"/>
          <w:szCs w:val="20"/>
        </w:rPr>
      </w:pPr>
    </w:p>
    <w:p w14:paraId="4384054F" w14:textId="17F735BB" w:rsidR="000E0EBD" w:rsidRPr="00812FFB" w:rsidRDefault="00746C9B" w:rsidP="00904897">
      <w:pPr>
        <w:pStyle w:val="Heading4"/>
        <w:rPr>
          <w:i/>
          <w:sz w:val="20"/>
          <w:szCs w:val="20"/>
        </w:rPr>
      </w:pPr>
      <w:r w:rsidRPr="00812FFB">
        <w:rPr>
          <w:sz w:val="20"/>
          <w:szCs w:val="20"/>
        </w:rPr>
        <w:t>4.</w:t>
      </w:r>
      <w:r w:rsidR="00EA7313" w:rsidRPr="00812FFB">
        <w:rPr>
          <w:sz w:val="20"/>
          <w:szCs w:val="20"/>
        </w:rPr>
        <w:t>3</w:t>
      </w:r>
      <w:r w:rsidRPr="00812FFB">
        <w:rPr>
          <w:sz w:val="20"/>
          <w:szCs w:val="20"/>
        </w:rPr>
        <w:t>.</w:t>
      </w:r>
      <w:r w:rsidR="00904897" w:rsidRPr="00812FFB">
        <w:rPr>
          <w:sz w:val="20"/>
          <w:szCs w:val="20"/>
        </w:rPr>
        <w:t>2</w:t>
      </w:r>
      <w:r w:rsidRPr="00812FFB">
        <w:rPr>
          <w:sz w:val="20"/>
          <w:szCs w:val="20"/>
        </w:rPr>
        <w:t xml:space="preserve">.2 </w:t>
      </w:r>
      <w:r w:rsidR="00D30EFB" w:rsidRPr="00812FFB">
        <w:rPr>
          <w:sz w:val="20"/>
          <w:szCs w:val="20"/>
        </w:rPr>
        <w:t xml:space="preserve">Public Space: </w:t>
      </w:r>
      <w:r w:rsidR="000E0EBD" w:rsidRPr="00812FFB">
        <w:rPr>
          <w:sz w:val="20"/>
          <w:szCs w:val="20"/>
        </w:rPr>
        <w:t xml:space="preserve">Creation of </w:t>
      </w:r>
      <w:r w:rsidR="00E60F5A" w:rsidRPr="00812FFB">
        <w:rPr>
          <w:sz w:val="20"/>
          <w:szCs w:val="20"/>
        </w:rPr>
        <w:t>Common Areas</w:t>
      </w:r>
    </w:p>
    <w:p w14:paraId="2301382E" w14:textId="73E3A19F" w:rsidR="000B58D8" w:rsidRPr="00812FFB" w:rsidRDefault="002801A3" w:rsidP="004E6388">
      <w:pPr>
        <w:jc w:val="both"/>
        <w:rPr>
          <w:sz w:val="20"/>
          <w:szCs w:val="20"/>
        </w:rPr>
      </w:pPr>
      <w:r w:rsidRPr="00812FFB">
        <w:rPr>
          <w:sz w:val="20"/>
          <w:szCs w:val="20"/>
        </w:rPr>
        <w:t xml:space="preserve">The </w:t>
      </w:r>
      <w:r w:rsidRPr="00812FFB">
        <w:rPr>
          <w:b/>
          <w:bCs/>
          <w:sz w:val="20"/>
          <w:szCs w:val="20"/>
        </w:rPr>
        <w:t xml:space="preserve">increase in health due to more active lifestyles </w:t>
      </w:r>
      <w:r w:rsidR="003B12C7" w:rsidRPr="00812FFB">
        <w:rPr>
          <w:b/>
          <w:bCs/>
          <w:sz w:val="20"/>
          <w:szCs w:val="20"/>
        </w:rPr>
        <w:t>in the public areas</w:t>
      </w:r>
      <w:r w:rsidR="003B12C7" w:rsidRPr="00812FFB">
        <w:rPr>
          <w:sz w:val="20"/>
          <w:szCs w:val="20"/>
        </w:rPr>
        <w:t xml:space="preserve"> refers to the increased physical activity </w:t>
      </w:r>
      <w:r w:rsidR="00071925" w:rsidRPr="00812FFB">
        <w:rPr>
          <w:sz w:val="20"/>
          <w:szCs w:val="20"/>
        </w:rPr>
        <w:t xml:space="preserve">engaged in </w:t>
      </w:r>
      <w:r w:rsidR="005802A4" w:rsidRPr="00812FFB">
        <w:rPr>
          <w:sz w:val="20"/>
          <w:szCs w:val="20"/>
        </w:rPr>
        <w:t>when residents live closer to public areas, therefore increasing their health in the long run</w:t>
      </w:r>
      <w:r w:rsidR="00BB58F9" w:rsidRPr="00812FFB">
        <w:rPr>
          <w:sz w:val="20"/>
          <w:szCs w:val="20"/>
        </w:rPr>
        <w:t>.</w:t>
      </w:r>
      <w:r w:rsidR="00616F51" w:rsidRPr="00812FFB">
        <w:rPr>
          <w:sz w:val="20"/>
          <w:szCs w:val="20"/>
        </w:rPr>
        <w:t xml:space="preserve"> The value of health improvement is estimated using the increase in productivity</w:t>
      </w:r>
      <w:r w:rsidR="0041071C" w:rsidRPr="00812FFB">
        <w:rPr>
          <w:sz w:val="20"/>
          <w:szCs w:val="20"/>
        </w:rPr>
        <w:t>.</w:t>
      </w:r>
    </w:p>
    <w:p w14:paraId="0490AC5C" w14:textId="42AFD944" w:rsidR="00632FA8" w:rsidRPr="00812FFB" w:rsidRDefault="00632FA8" w:rsidP="004E6388">
      <w:pPr>
        <w:pStyle w:val="Subtitle"/>
        <w:jc w:val="both"/>
        <w:rPr>
          <w:b w:val="0"/>
          <w:bCs w:val="0"/>
          <w:sz w:val="20"/>
          <w:szCs w:val="20"/>
        </w:rPr>
      </w:pPr>
      <w:r w:rsidRPr="00812FFB">
        <w:rPr>
          <w:sz w:val="20"/>
          <w:szCs w:val="20"/>
        </w:rPr>
        <w:t>Increase in health</w:t>
      </w:r>
      <w:r w:rsidRPr="00812FFB">
        <w:rPr>
          <w:b w:val="0"/>
          <w:bCs w:val="0"/>
          <w:sz w:val="20"/>
          <w:szCs w:val="20"/>
        </w:rPr>
        <w:t xml:space="preserve"> = </w:t>
      </w:r>
      <w:r w:rsidR="00B07507" w:rsidRPr="00812FFB">
        <w:rPr>
          <w:b w:val="0"/>
          <w:bCs w:val="0"/>
          <w:sz w:val="20"/>
          <w:szCs w:val="20"/>
        </w:rPr>
        <w:t xml:space="preserve">Number of NUS Staff and students * </w:t>
      </w:r>
      <w:r w:rsidR="00066E6C" w:rsidRPr="00812FFB">
        <w:rPr>
          <w:b w:val="0"/>
          <w:bCs w:val="0"/>
          <w:sz w:val="20"/>
          <w:szCs w:val="20"/>
        </w:rPr>
        <w:t xml:space="preserve">Increase in </w:t>
      </w:r>
      <w:r w:rsidR="005933F8" w:rsidRPr="00812FFB">
        <w:rPr>
          <w:b w:val="0"/>
          <w:bCs w:val="0"/>
          <w:sz w:val="20"/>
          <w:szCs w:val="20"/>
        </w:rPr>
        <w:t>exercise</w:t>
      </w:r>
      <w:r w:rsidR="00066E6C" w:rsidRPr="00812FFB">
        <w:rPr>
          <w:b w:val="0"/>
          <w:bCs w:val="0"/>
          <w:sz w:val="20"/>
          <w:szCs w:val="20"/>
        </w:rPr>
        <w:t xml:space="preserve"> conducted per metre distance reduction between the </w:t>
      </w:r>
      <w:r w:rsidR="00842A80" w:rsidRPr="00812FFB">
        <w:rPr>
          <w:b w:val="0"/>
          <w:bCs w:val="0"/>
          <w:sz w:val="20"/>
          <w:szCs w:val="20"/>
        </w:rPr>
        <w:t>common area and residential estate *</w:t>
      </w:r>
      <w:r w:rsidR="00FB2C7F" w:rsidRPr="00812FFB">
        <w:rPr>
          <w:b w:val="0"/>
          <w:bCs w:val="0"/>
          <w:sz w:val="20"/>
          <w:szCs w:val="20"/>
        </w:rPr>
        <w:t xml:space="preserve"> </w:t>
      </w:r>
      <w:r w:rsidR="00D319DA" w:rsidRPr="00812FFB">
        <w:rPr>
          <w:b w:val="0"/>
          <w:bCs w:val="0"/>
          <w:sz w:val="20"/>
          <w:szCs w:val="20"/>
        </w:rPr>
        <w:t>Reduction in distance away from Public Space</w:t>
      </w:r>
      <w:r w:rsidR="00FB2C7F" w:rsidRPr="00812FFB">
        <w:rPr>
          <w:b w:val="0"/>
          <w:bCs w:val="0"/>
          <w:sz w:val="20"/>
          <w:szCs w:val="20"/>
        </w:rPr>
        <w:t xml:space="preserve"> * </w:t>
      </w:r>
      <w:r w:rsidR="00074A43" w:rsidRPr="00812FFB">
        <w:rPr>
          <w:b w:val="0"/>
          <w:bCs w:val="0"/>
          <w:sz w:val="20"/>
          <w:szCs w:val="20"/>
        </w:rPr>
        <w:t xml:space="preserve">Singapore GDP per capita </w:t>
      </w:r>
      <w:r w:rsidR="006C4FF5" w:rsidRPr="00812FFB">
        <w:rPr>
          <w:b w:val="0"/>
          <w:bCs w:val="0"/>
          <w:sz w:val="20"/>
          <w:szCs w:val="20"/>
        </w:rPr>
        <w:t>* Decrease in mortality rate due to increased exercise</w:t>
      </w:r>
    </w:p>
    <w:p w14:paraId="4F43494C" w14:textId="2F10B0CF" w:rsidR="00842A80" w:rsidRPr="00812FFB" w:rsidRDefault="00842A80" w:rsidP="004E6388">
      <w:pPr>
        <w:jc w:val="both"/>
        <w:rPr>
          <w:sz w:val="20"/>
          <w:szCs w:val="20"/>
        </w:rPr>
      </w:pPr>
      <w:r w:rsidRPr="00812FFB">
        <w:rPr>
          <w:bCs/>
          <w:sz w:val="20"/>
          <w:szCs w:val="20"/>
        </w:rPr>
        <w:t xml:space="preserve">The increase in exercise per metre distance reduction between the common area and residential estate is </w:t>
      </w:r>
      <w:r w:rsidR="005933F8" w:rsidRPr="00812FFB">
        <w:rPr>
          <w:bCs/>
          <w:sz w:val="20"/>
          <w:szCs w:val="20"/>
        </w:rPr>
        <w:t>taken</w:t>
      </w:r>
      <w:r w:rsidRPr="00812FFB">
        <w:rPr>
          <w:bCs/>
          <w:sz w:val="20"/>
          <w:szCs w:val="20"/>
        </w:rPr>
        <w:t xml:space="preserve"> to be the </w:t>
      </w:r>
      <w:r w:rsidR="009054FD" w:rsidRPr="00812FFB">
        <w:rPr>
          <w:bCs/>
          <w:sz w:val="20"/>
          <w:szCs w:val="20"/>
        </w:rPr>
        <w:t xml:space="preserve">increase in exercise </w:t>
      </w:r>
      <w:r w:rsidR="000C2C78" w:rsidRPr="00812FFB">
        <w:rPr>
          <w:bCs/>
          <w:sz w:val="20"/>
          <w:szCs w:val="20"/>
        </w:rPr>
        <w:t>done at least 5 times a week at the nearby common area</w:t>
      </w:r>
      <w:r w:rsidR="00C03DBB" w:rsidRPr="00812FFB">
        <w:rPr>
          <w:bCs/>
          <w:sz w:val="20"/>
          <w:szCs w:val="20"/>
        </w:rPr>
        <w:t xml:space="preserve">, </w:t>
      </w:r>
      <w:r w:rsidR="007444D5" w:rsidRPr="00812FFB">
        <w:rPr>
          <w:bCs/>
          <w:sz w:val="20"/>
          <w:szCs w:val="20"/>
        </w:rPr>
        <w:t>0.00017%/m</w:t>
      </w:r>
      <w:r w:rsidR="00BD4840" w:rsidRPr="00812FFB">
        <w:rPr>
          <w:bCs/>
          <w:sz w:val="20"/>
          <w:szCs w:val="20"/>
        </w:rPr>
        <w:t xml:space="preserve"> </w:t>
      </w:r>
      <w:r w:rsidR="005933F8" w:rsidRPr="00812FFB">
        <w:rPr>
          <w:bCs/>
          <w:sz w:val="20"/>
          <w:szCs w:val="20"/>
        </w:rPr>
        <w:t>(</w:t>
      </w:r>
      <w:r w:rsidR="005933F8" w:rsidRPr="00812FFB">
        <w:rPr>
          <w:sz w:val="20"/>
          <w:szCs w:val="20"/>
        </w:rPr>
        <w:t>Cohen et al., 2007).</w:t>
      </w:r>
    </w:p>
    <w:p w14:paraId="3DCDD2E6" w14:textId="77777777" w:rsidR="00904897" w:rsidRPr="00812FFB" w:rsidRDefault="00904897" w:rsidP="004E6388">
      <w:pPr>
        <w:jc w:val="both"/>
        <w:rPr>
          <w:sz w:val="20"/>
          <w:szCs w:val="20"/>
        </w:rPr>
      </w:pPr>
    </w:p>
    <w:p w14:paraId="32931FCA" w14:textId="5F26E875" w:rsidR="00D319DA" w:rsidRPr="00812FFB" w:rsidRDefault="00D319DA" w:rsidP="004E6388">
      <w:pPr>
        <w:jc w:val="both"/>
        <w:rPr>
          <w:sz w:val="20"/>
          <w:szCs w:val="20"/>
        </w:rPr>
      </w:pPr>
      <w:r w:rsidRPr="00812FFB">
        <w:rPr>
          <w:sz w:val="20"/>
          <w:szCs w:val="20"/>
        </w:rPr>
        <w:t>The reduction in distance away from public space is taken to be the</w:t>
      </w:r>
      <w:r w:rsidR="006A7A45" w:rsidRPr="00812FFB">
        <w:rPr>
          <w:sz w:val="20"/>
          <w:szCs w:val="20"/>
        </w:rPr>
        <w:t xml:space="preserve"> maximum</w:t>
      </w:r>
      <w:r w:rsidRPr="00812FFB">
        <w:rPr>
          <w:sz w:val="20"/>
          <w:szCs w:val="20"/>
        </w:rPr>
        <w:t xml:space="preserve"> </w:t>
      </w:r>
      <w:r w:rsidR="007D2C12" w:rsidRPr="00812FFB">
        <w:rPr>
          <w:sz w:val="20"/>
          <w:szCs w:val="20"/>
        </w:rPr>
        <w:t xml:space="preserve">difference in radius of the </w:t>
      </w:r>
      <w:r w:rsidR="006A7A45" w:rsidRPr="00812FFB">
        <w:rPr>
          <w:sz w:val="20"/>
          <w:szCs w:val="20"/>
        </w:rPr>
        <w:t xml:space="preserve">Campus compound and the radius of the </w:t>
      </w:r>
      <w:r w:rsidR="008561E8" w:rsidRPr="00812FFB">
        <w:rPr>
          <w:sz w:val="20"/>
          <w:szCs w:val="20"/>
        </w:rPr>
        <w:t>Public space</w:t>
      </w:r>
      <w:r w:rsidR="006A7A45" w:rsidRPr="00812FFB">
        <w:rPr>
          <w:sz w:val="20"/>
          <w:szCs w:val="20"/>
        </w:rPr>
        <w:t xml:space="preserve"> area</w:t>
      </w:r>
      <w:r w:rsidRPr="00812FFB">
        <w:rPr>
          <w:sz w:val="20"/>
          <w:szCs w:val="20"/>
        </w:rPr>
        <w:t xml:space="preserve"> </w:t>
      </w:r>
      <w:r w:rsidR="008561E8" w:rsidRPr="00812FFB">
        <w:rPr>
          <w:sz w:val="20"/>
          <w:szCs w:val="20"/>
        </w:rPr>
        <w:t xml:space="preserve">before and after the increase in Public space area. </w:t>
      </w:r>
    </w:p>
    <w:p w14:paraId="642243AE" w14:textId="77777777" w:rsidR="00904897" w:rsidRPr="00812FFB" w:rsidRDefault="00904897" w:rsidP="004E6388">
      <w:pPr>
        <w:jc w:val="both"/>
        <w:rPr>
          <w:sz w:val="20"/>
          <w:szCs w:val="20"/>
        </w:rPr>
      </w:pPr>
    </w:p>
    <w:p w14:paraId="24D02459" w14:textId="3895A6F4" w:rsidR="00B4352D" w:rsidRPr="00812FFB" w:rsidRDefault="006C4FF5" w:rsidP="004E6388">
      <w:pPr>
        <w:jc w:val="both"/>
        <w:rPr>
          <w:bCs/>
          <w:sz w:val="20"/>
          <w:szCs w:val="20"/>
        </w:rPr>
      </w:pPr>
      <w:r w:rsidRPr="00812FFB">
        <w:rPr>
          <w:bCs/>
          <w:sz w:val="20"/>
          <w:szCs w:val="20"/>
        </w:rPr>
        <w:lastRenderedPageBreak/>
        <w:t>Decrease in mortality rate due to increased exercise is taken to be 26%</w:t>
      </w:r>
      <w:r w:rsidR="004B5AFE" w:rsidRPr="00812FFB">
        <w:rPr>
          <w:bCs/>
          <w:sz w:val="20"/>
          <w:szCs w:val="20"/>
        </w:rPr>
        <w:t xml:space="preserve"> (Onque, 2022)</w:t>
      </w:r>
      <w:r w:rsidR="006802D8" w:rsidRPr="00812FFB">
        <w:rPr>
          <w:bCs/>
          <w:sz w:val="20"/>
          <w:szCs w:val="20"/>
        </w:rPr>
        <w:t>.</w:t>
      </w:r>
      <w:r w:rsidR="00904897" w:rsidRPr="00812FFB">
        <w:rPr>
          <w:bCs/>
          <w:sz w:val="20"/>
          <w:szCs w:val="20"/>
        </w:rPr>
        <w:t xml:space="preserve"> </w:t>
      </w:r>
      <w:r w:rsidR="00B4352D" w:rsidRPr="00812FFB">
        <w:rPr>
          <w:bCs/>
          <w:sz w:val="20"/>
          <w:szCs w:val="20"/>
        </w:rPr>
        <w:t>The increase in productivity due to increased physical activity is taken to be 30.5%</w:t>
      </w:r>
      <w:r w:rsidR="007E28E0" w:rsidRPr="00812FFB">
        <w:rPr>
          <w:bCs/>
          <w:sz w:val="20"/>
          <w:szCs w:val="20"/>
        </w:rPr>
        <w:t xml:space="preserve">, an average </w:t>
      </w:r>
      <w:r w:rsidR="00A847D3" w:rsidRPr="00812FFB">
        <w:rPr>
          <w:bCs/>
          <w:sz w:val="20"/>
          <w:szCs w:val="20"/>
        </w:rPr>
        <w:t xml:space="preserve">increase in productivity given </w:t>
      </w:r>
      <w:r w:rsidR="00155D96" w:rsidRPr="00812FFB">
        <w:rPr>
          <w:bCs/>
          <w:sz w:val="20"/>
          <w:szCs w:val="20"/>
        </w:rPr>
        <w:t>that everyone in the adult population</w:t>
      </w:r>
      <w:r w:rsidR="00117099" w:rsidRPr="00812FFB">
        <w:rPr>
          <w:bCs/>
          <w:sz w:val="20"/>
          <w:szCs w:val="20"/>
        </w:rPr>
        <w:t xml:space="preserve"> increases their physical activity level</w:t>
      </w:r>
      <w:r w:rsidR="006A3EBB" w:rsidRPr="00812FFB">
        <w:rPr>
          <w:bCs/>
          <w:sz w:val="20"/>
          <w:szCs w:val="20"/>
        </w:rPr>
        <w:t xml:space="preserve"> regardless of their current level of physical activity (Hafner et al., 2019).</w:t>
      </w:r>
    </w:p>
    <w:p w14:paraId="46307AE4" w14:textId="77777777" w:rsidR="004E6388" w:rsidRPr="00812FFB" w:rsidRDefault="004E6388" w:rsidP="004E6388">
      <w:pPr>
        <w:jc w:val="both"/>
        <w:rPr>
          <w:sz w:val="20"/>
          <w:szCs w:val="20"/>
        </w:rPr>
      </w:pPr>
    </w:p>
    <w:p w14:paraId="2F26A08E" w14:textId="6F911E06" w:rsidR="005802A4" w:rsidRPr="00812FFB" w:rsidRDefault="005802A4" w:rsidP="004E6388">
      <w:pPr>
        <w:jc w:val="both"/>
        <w:rPr>
          <w:sz w:val="20"/>
          <w:szCs w:val="20"/>
        </w:rPr>
      </w:pPr>
      <w:r w:rsidRPr="00812FFB">
        <w:rPr>
          <w:sz w:val="20"/>
          <w:szCs w:val="20"/>
        </w:rPr>
        <w:t xml:space="preserve">The </w:t>
      </w:r>
      <w:r w:rsidRPr="00812FFB">
        <w:rPr>
          <w:b/>
          <w:bCs/>
          <w:sz w:val="20"/>
          <w:szCs w:val="20"/>
        </w:rPr>
        <w:t>increase in health due to cycling</w:t>
      </w:r>
      <w:r w:rsidRPr="00812FFB">
        <w:rPr>
          <w:sz w:val="20"/>
          <w:szCs w:val="20"/>
        </w:rPr>
        <w:t xml:space="preserve"> </w:t>
      </w:r>
      <w:r w:rsidR="00FF4C55" w:rsidRPr="00812FFB">
        <w:rPr>
          <w:sz w:val="20"/>
          <w:szCs w:val="20"/>
        </w:rPr>
        <w:t xml:space="preserve">refers to the </w:t>
      </w:r>
      <w:r w:rsidR="00FA6351" w:rsidRPr="00812FFB">
        <w:rPr>
          <w:sz w:val="20"/>
          <w:szCs w:val="20"/>
        </w:rPr>
        <w:t xml:space="preserve">increase of cycling for travel on Campus with the creation of the </w:t>
      </w:r>
      <w:r w:rsidR="005D01A2" w:rsidRPr="00812FFB">
        <w:rPr>
          <w:sz w:val="20"/>
          <w:szCs w:val="20"/>
        </w:rPr>
        <w:t>YCCN</w:t>
      </w:r>
      <w:r w:rsidR="00BB58F9" w:rsidRPr="00812FFB">
        <w:rPr>
          <w:sz w:val="20"/>
          <w:szCs w:val="20"/>
        </w:rPr>
        <w:t>, therefore increasing their health in the long run and reducing t</w:t>
      </w:r>
      <w:r w:rsidR="00836FB2" w:rsidRPr="00812FFB">
        <w:rPr>
          <w:sz w:val="20"/>
          <w:szCs w:val="20"/>
        </w:rPr>
        <w:t xml:space="preserve">he costs </w:t>
      </w:r>
      <w:r w:rsidR="00EF6882" w:rsidRPr="00812FFB">
        <w:rPr>
          <w:sz w:val="20"/>
          <w:szCs w:val="20"/>
        </w:rPr>
        <w:t xml:space="preserve">paid </w:t>
      </w:r>
      <w:r w:rsidR="0051376C" w:rsidRPr="00812FFB">
        <w:rPr>
          <w:sz w:val="20"/>
          <w:szCs w:val="20"/>
        </w:rPr>
        <w:t xml:space="preserve">for potential </w:t>
      </w:r>
      <w:r w:rsidR="003C67D2" w:rsidRPr="00812FFB">
        <w:rPr>
          <w:sz w:val="20"/>
          <w:szCs w:val="20"/>
        </w:rPr>
        <w:t>ailments</w:t>
      </w:r>
      <w:r w:rsidR="0051376C" w:rsidRPr="00812FFB">
        <w:rPr>
          <w:sz w:val="20"/>
          <w:szCs w:val="20"/>
        </w:rPr>
        <w:t>.</w:t>
      </w:r>
    </w:p>
    <w:p w14:paraId="5EA01D6B" w14:textId="0A6651ED" w:rsidR="00632FA8" w:rsidRPr="00812FFB" w:rsidRDefault="00632FA8" w:rsidP="004E6388">
      <w:pPr>
        <w:pStyle w:val="Subtitle"/>
        <w:jc w:val="both"/>
        <w:rPr>
          <w:b w:val="0"/>
          <w:bCs w:val="0"/>
          <w:sz w:val="20"/>
          <w:szCs w:val="20"/>
        </w:rPr>
      </w:pPr>
      <w:r w:rsidRPr="00812FFB">
        <w:rPr>
          <w:sz w:val="20"/>
          <w:szCs w:val="20"/>
        </w:rPr>
        <w:t>Increase in health</w:t>
      </w:r>
      <w:r w:rsidRPr="00812FFB">
        <w:rPr>
          <w:b w:val="0"/>
          <w:bCs w:val="0"/>
          <w:sz w:val="20"/>
          <w:szCs w:val="20"/>
        </w:rPr>
        <w:t xml:space="preserve"> = </w:t>
      </w:r>
      <w:r w:rsidR="00E92229" w:rsidRPr="00812FFB">
        <w:rPr>
          <w:b w:val="0"/>
          <w:bCs w:val="0"/>
          <w:sz w:val="20"/>
          <w:szCs w:val="20"/>
        </w:rPr>
        <w:t xml:space="preserve">Number of NUS Students and Staff * </w:t>
      </w:r>
      <w:r w:rsidR="00A13A87" w:rsidRPr="00812FFB">
        <w:rPr>
          <w:b w:val="0"/>
          <w:bCs w:val="0"/>
          <w:sz w:val="20"/>
          <w:szCs w:val="20"/>
        </w:rPr>
        <w:t>Health benefits due to cycling</w:t>
      </w:r>
      <w:r w:rsidR="00212D6C" w:rsidRPr="00812FFB">
        <w:rPr>
          <w:b w:val="0"/>
          <w:bCs w:val="0"/>
          <w:sz w:val="20"/>
          <w:szCs w:val="20"/>
        </w:rPr>
        <w:t xml:space="preserve"> *</w:t>
      </w:r>
      <w:r w:rsidR="002F6093" w:rsidRPr="00812FFB">
        <w:rPr>
          <w:b w:val="0"/>
          <w:bCs w:val="0"/>
          <w:sz w:val="20"/>
          <w:szCs w:val="20"/>
        </w:rPr>
        <w:t xml:space="preserve"> Number of trips made to Campus in a year</w:t>
      </w:r>
      <w:r w:rsidR="007478DD" w:rsidRPr="00812FFB">
        <w:rPr>
          <w:b w:val="0"/>
          <w:bCs w:val="0"/>
          <w:sz w:val="20"/>
          <w:szCs w:val="20"/>
        </w:rPr>
        <w:t xml:space="preserve"> * Distance of each cycling round trip on campus</w:t>
      </w:r>
      <w:r w:rsidR="008C248E" w:rsidRPr="00812FFB">
        <w:rPr>
          <w:b w:val="0"/>
          <w:bCs w:val="0"/>
          <w:sz w:val="20"/>
          <w:szCs w:val="20"/>
        </w:rPr>
        <w:t xml:space="preserve"> * Percentage willing to cycle to school</w:t>
      </w:r>
    </w:p>
    <w:p w14:paraId="42D904C7" w14:textId="166CB6F4" w:rsidR="00905245" w:rsidRPr="00812FFB" w:rsidRDefault="003030A7" w:rsidP="00904897">
      <w:pPr>
        <w:jc w:val="both"/>
        <w:rPr>
          <w:sz w:val="20"/>
          <w:szCs w:val="20"/>
        </w:rPr>
      </w:pPr>
      <w:r w:rsidRPr="00812FFB">
        <w:rPr>
          <w:sz w:val="20"/>
          <w:szCs w:val="20"/>
        </w:rPr>
        <w:t xml:space="preserve">The health benefits due to cycling are taken to be the </w:t>
      </w:r>
      <w:r w:rsidR="00E64ABC" w:rsidRPr="00812FFB">
        <w:rPr>
          <w:sz w:val="20"/>
          <w:szCs w:val="20"/>
        </w:rPr>
        <w:t xml:space="preserve">saved medical costs and added value at work, taken to be </w:t>
      </w:r>
      <w:r w:rsidR="00212D6C" w:rsidRPr="00812FFB">
        <w:rPr>
          <w:sz w:val="20"/>
          <w:szCs w:val="20"/>
        </w:rPr>
        <w:t>0.93 SGD/km (Garrett, 2022).</w:t>
      </w:r>
      <w:r w:rsidR="00904897" w:rsidRPr="00812FFB">
        <w:rPr>
          <w:sz w:val="20"/>
          <w:szCs w:val="20"/>
        </w:rPr>
        <w:t xml:space="preserve"> </w:t>
      </w:r>
      <w:r w:rsidR="007478DD" w:rsidRPr="00812FFB">
        <w:rPr>
          <w:sz w:val="20"/>
          <w:szCs w:val="20"/>
        </w:rPr>
        <w:t xml:space="preserve">The distance of each cycling round trip on campus is taken to be </w:t>
      </w:r>
      <w:r w:rsidR="003018E4" w:rsidRPr="00812FFB">
        <w:rPr>
          <w:sz w:val="20"/>
          <w:szCs w:val="20"/>
        </w:rPr>
        <w:t xml:space="preserve">6.5km, the average distance of the 2 proposed </w:t>
      </w:r>
      <w:r w:rsidR="00C324FB" w:rsidRPr="00812FFB">
        <w:rPr>
          <w:sz w:val="20"/>
          <w:szCs w:val="20"/>
        </w:rPr>
        <w:t xml:space="preserve">main traffic </w:t>
      </w:r>
      <w:r w:rsidR="003018E4" w:rsidRPr="00812FFB">
        <w:rPr>
          <w:sz w:val="20"/>
          <w:szCs w:val="20"/>
        </w:rPr>
        <w:t xml:space="preserve">routes in the project </w:t>
      </w:r>
      <w:r w:rsidR="00F03E6D" w:rsidRPr="00812FFB">
        <w:rPr>
          <w:sz w:val="20"/>
          <w:szCs w:val="20"/>
        </w:rPr>
        <w:t>multiplied by 2.</w:t>
      </w:r>
      <w:r w:rsidR="00904897" w:rsidRPr="00812FFB">
        <w:rPr>
          <w:sz w:val="20"/>
          <w:szCs w:val="20"/>
        </w:rPr>
        <w:t xml:space="preserve"> </w:t>
      </w:r>
      <w:r w:rsidR="00905245" w:rsidRPr="00812FFB">
        <w:rPr>
          <w:sz w:val="20"/>
          <w:szCs w:val="20"/>
        </w:rPr>
        <w:t>The percentage willing to cycle to campus is taken to be the percentage of Singaporeans willing to cycl</w:t>
      </w:r>
      <w:r w:rsidR="0043406E" w:rsidRPr="00812FFB">
        <w:rPr>
          <w:sz w:val="20"/>
          <w:szCs w:val="20"/>
        </w:rPr>
        <w:t>e to work</w:t>
      </w:r>
      <w:r w:rsidR="00B970BD" w:rsidRPr="00812FFB">
        <w:rPr>
          <w:sz w:val="20"/>
          <w:szCs w:val="20"/>
        </w:rPr>
        <w:t xml:space="preserve"> </w:t>
      </w:r>
      <w:r w:rsidR="00B970BD" w:rsidRPr="00812FFB">
        <w:rPr>
          <w:color w:val="000000"/>
          <w:sz w:val="20"/>
          <w:szCs w:val="20"/>
        </w:rPr>
        <w:t>(Chua, 2022)</w:t>
      </w:r>
      <w:r w:rsidR="00B970BD" w:rsidRPr="00812FFB">
        <w:rPr>
          <w:sz w:val="20"/>
          <w:szCs w:val="20"/>
        </w:rPr>
        <w:t xml:space="preserve">. We also assume that no NUS Staff and Students currently cycle to and on Campus. </w:t>
      </w:r>
    </w:p>
    <w:p w14:paraId="0253A9A7" w14:textId="77777777" w:rsidR="00632FA8" w:rsidRPr="00812FFB" w:rsidRDefault="00632FA8" w:rsidP="004E6388">
      <w:pPr>
        <w:jc w:val="both"/>
        <w:rPr>
          <w:sz w:val="20"/>
          <w:szCs w:val="20"/>
        </w:rPr>
      </w:pPr>
    </w:p>
    <w:p w14:paraId="48523D1A" w14:textId="3B3CF17D" w:rsidR="00831A4C" w:rsidRPr="00812FFB" w:rsidRDefault="003E4A75" w:rsidP="004E6388">
      <w:pPr>
        <w:jc w:val="both"/>
        <w:rPr>
          <w:sz w:val="20"/>
          <w:szCs w:val="20"/>
        </w:rPr>
      </w:pPr>
      <w:r w:rsidRPr="00812FFB">
        <w:rPr>
          <w:sz w:val="20"/>
          <w:szCs w:val="20"/>
        </w:rPr>
        <w:t>The</w:t>
      </w:r>
      <w:r w:rsidRPr="00812FFB">
        <w:rPr>
          <w:b/>
          <w:bCs/>
          <w:sz w:val="20"/>
          <w:szCs w:val="20"/>
        </w:rPr>
        <w:t xml:space="preserve"> increase in social participation due to increased public spaces</w:t>
      </w:r>
      <w:r w:rsidRPr="00812FFB">
        <w:rPr>
          <w:sz w:val="20"/>
          <w:szCs w:val="20"/>
        </w:rPr>
        <w:t xml:space="preserve"> refers to the increase</w:t>
      </w:r>
      <w:r w:rsidR="00AF4488" w:rsidRPr="00812FFB">
        <w:rPr>
          <w:sz w:val="20"/>
          <w:szCs w:val="20"/>
        </w:rPr>
        <w:t xml:space="preserve"> in </w:t>
      </w:r>
      <w:r w:rsidR="00B57A61" w:rsidRPr="00812FFB">
        <w:rPr>
          <w:sz w:val="20"/>
          <w:szCs w:val="20"/>
        </w:rPr>
        <w:t xml:space="preserve">NUS Staff and Students that will engage in </w:t>
      </w:r>
      <w:r w:rsidR="00E60937" w:rsidRPr="00812FFB">
        <w:rPr>
          <w:sz w:val="20"/>
          <w:szCs w:val="20"/>
        </w:rPr>
        <w:t xml:space="preserve">communal activities in </w:t>
      </w:r>
      <w:r w:rsidR="00701088" w:rsidRPr="00812FFB">
        <w:rPr>
          <w:sz w:val="20"/>
          <w:szCs w:val="20"/>
        </w:rPr>
        <w:t xml:space="preserve">public areas, </w:t>
      </w:r>
      <w:r w:rsidR="001A0010" w:rsidRPr="00812FFB">
        <w:rPr>
          <w:sz w:val="20"/>
          <w:szCs w:val="20"/>
        </w:rPr>
        <w:t xml:space="preserve">resulting in </w:t>
      </w:r>
      <w:r w:rsidR="00FA066C" w:rsidRPr="00812FFB">
        <w:rPr>
          <w:sz w:val="20"/>
          <w:szCs w:val="20"/>
        </w:rPr>
        <w:t xml:space="preserve">increased happiness. </w:t>
      </w:r>
      <w:r w:rsidR="000D0A7E" w:rsidRPr="00812FFB">
        <w:rPr>
          <w:sz w:val="20"/>
          <w:szCs w:val="20"/>
        </w:rPr>
        <w:t>The</w:t>
      </w:r>
      <w:r w:rsidR="00D10547" w:rsidRPr="00812FFB">
        <w:rPr>
          <w:sz w:val="20"/>
          <w:szCs w:val="20"/>
        </w:rPr>
        <w:t xml:space="preserve"> value of</w:t>
      </w:r>
      <w:r w:rsidR="000D0A7E" w:rsidRPr="00812FFB">
        <w:rPr>
          <w:sz w:val="20"/>
          <w:szCs w:val="20"/>
        </w:rPr>
        <w:t xml:space="preserve"> happiness is estimated to be </w:t>
      </w:r>
      <w:r w:rsidR="00D10547" w:rsidRPr="00812FFB">
        <w:rPr>
          <w:sz w:val="20"/>
          <w:szCs w:val="20"/>
        </w:rPr>
        <w:t xml:space="preserve">the increased productivity and GDP per capita generated due to higher levels of relaxation. </w:t>
      </w:r>
    </w:p>
    <w:p w14:paraId="62B341DA" w14:textId="767C8044" w:rsidR="00632FA8" w:rsidRPr="00812FFB" w:rsidRDefault="00632FA8" w:rsidP="004E6388">
      <w:pPr>
        <w:pStyle w:val="Subtitle"/>
        <w:jc w:val="both"/>
        <w:rPr>
          <w:b w:val="0"/>
          <w:bCs w:val="0"/>
          <w:sz w:val="20"/>
          <w:szCs w:val="20"/>
        </w:rPr>
      </w:pPr>
      <w:r w:rsidRPr="00812FFB">
        <w:rPr>
          <w:sz w:val="20"/>
          <w:szCs w:val="20"/>
        </w:rPr>
        <w:t>Increase in social participation</w:t>
      </w:r>
      <w:r w:rsidRPr="00812FFB">
        <w:rPr>
          <w:b w:val="0"/>
          <w:bCs w:val="0"/>
          <w:sz w:val="20"/>
          <w:szCs w:val="20"/>
        </w:rPr>
        <w:t xml:space="preserve"> = </w:t>
      </w:r>
      <w:r w:rsidR="009A7306" w:rsidRPr="00812FFB">
        <w:rPr>
          <w:b w:val="0"/>
          <w:bCs w:val="0"/>
          <w:sz w:val="20"/>
          <w:szCs w:val="20"/>
        </w:rPr>
        <w:t>Number of NUS Students and Staff *</w:t>
      </w:r>
      <w:r w:rsidR="001D79C1" w:rsidRPr="00812FFB">
        <w:rPr>
          <w:b w:val="0"/>
          <w:bCs w:val="0"/>
          <w:sz w:val="20"/>
          <w:szCs w:val="20"/>
        </w:rPr>
        <w:t xml:space="preserve"> Percentage increase in social participation in common spaces due to increased public spaces</w:t>
      </w:r>
      <w:r w:rsidR="004B13C7" w:rsidRPr="00812FFB">
        <w:rPr>
          <w:b w:val="0"/>
          <w:bCs w:val="0"/>
          <w:sz w:val="20"/>
          <w:szCs w:val="20"/>
        </w:rPr>
        <w:t xml:space="preserve"> * </w:t>
      </w:r>
      <w:r w:rsidR="000B7F76" w:rsidRPr="00812FFB">
        <w:rPr>
          <w:b w:val="0"/>
          <w:bCs w:val="0"/>
          <w:sz w:val="20"/>
          <w:szCs w:val="20"/>
        </w:rPr>
        <w:t xml:space="preserve">Percentage </w:t>
      </w:r>
      <w:r w:rsidR="004B13C7" w:rsidRPr="00812FFB">
        <w:rPr>
          <w:b w:val="0"/>
          <w:bCs w:val="0"/>
          <w:sz w:val="20"/>
          <w:szCs w:val="20"/>
        </w:rPr>
        <w:t xml:space="preserve">Increase in happiness due to more participation in social activities </w:t>
      </w:r>
      <w:r w:rsidR="000161AB" w:rsidRPr="00812FFB">
        <w:rPr>
          <w:b w:val="0"/>
          <w:bCs w:val="0"/>
          <w:sz w:val="20"/>
          <w:szCs w:val="20"/>
        </w:rPr>
        <w:t xml:space="preserve">* Increase in Public Space on Campus * </w:t>
      </w:r>
      <w:r w:rsidR="000B7F76" w:rsidRPr="00812FFB">
        <w:rPr>
          <w:b w:val="0"/>
          <w:bCs w:val="0"/>
          <w:sz w:val="20"/>
          <w:szCs w:val="20"/>
        </w:rPr>
        <w:t>Percentage Increase in Productivity due to higher level of happiness</w:t>
      </w:r>
      <w:r w:rsidR="00F97663" w:rsidRPr="00812FFB">
        <w:rPr>
          <w:b w:val="0"/>
          <w:bCs w:val="0"/>
          <w:sz w:val="20"/>
          <w:szCs w:val="20"/>
        </w:rPr>
        <w:t xml:space="preserve"> * Singapore’s GDP per capita</w:t>
      </w:r>
    </w:p>
    <w:p w14:paraId="6261E8ED" w14:textId="3AD2A014" w:rsidR="000B7F76" w:rsidRPr="00812FFB" w:rsidRDefault="001D79C1" w:rsidP="004E6388">
      <w:pPr>
        <w:jc w:val="both"/>
        <w:rPr>
          <w:sz w:val="20"/>
          <w:szCs w:val="20"/>
        </w:rPr>
      </w:pPr>
      <w:r w:rsidRPr="00812FFB">
        <w:rPr>
          <w:sz w:val="20"/>
          <w:szCs w:val="20"/>
        </w:rPr>
        <w:t xml:space="preserve">The Percentage increase in social participation in common spaces due to increased public spaces is taken to be </w:t>
      </w:r>
      <w:r w:rsidR="00994C3B" w:rsidRPr="00812FFB">
        <w:rPr>
          <w:sz w:val="20"/>
          <w:szCs w:val="20"/>
        </w:rPr>
        <w:t>9.7%, the</w:t>
      </w:r>
      <w:r w:rsidR="00D41AE0" w:rsidRPr="00812FFB">
        <w:rPr>
          <w:sz w:val="20"/>
          <w:szCs w:val="20"/>
        </w:rPr>
        <w:t xml:space="preserve"> change in activity levels before there were</w:t>
      </w:r>
      <w:r w:rsidR="00DB64EF" w:rsidRPr="00812FFB">
        <w:rPr>
          <w:sz w:val="20"/>
          <w:szCs w:val="20"/>
        </w:rPr>
        <w:t xml:space="preserve"> common areas for </w:t>
      </w:r>
      <w:r w:rsidR="004E6388" w:rsidRPr="00812FFB">
        <w:rPr>
          <w:sz w:val="20"/>
          <w:szCs w:val="20"/>
        </w:rPr>
        <w:t>activities</w:t>
      </w:r>
      <w:r w:rsidR="00DB64EF" w:rsidRPr="00812FFB">
        <w:rPr>
          <w:sz w:val="20"/>
          <w:szCs w:val="20"/>
        </w:rPr>
        <w:t xml:space="preserve"> and after the creation of public spaces for social events</w:t>
      </w:r>
      <w:r w:rsidR="008B5A05" w:rsidRPr="00812FFB">
        <w:rPr>
          <w:sz w:val="20"/>
          <w:szCs w:val="20"/>
        </w:rPr>
        <w:t xml:space="preserve"> </w:t>
      </w:r>
      <w:r w:rsidR="00D72839" w:rsidRPr="00812FFB">
        <w:rPr>
          <w:sz w:val="20"/>
          <w:szCs w:val="20"/>
        </w:rPr>
        <w:t xml:space="preserve"> </w:t>
      </w:r>
      <w:r w:rsidR="00D10547" w:rsidRPr="00812FFB">
        <w:rPr>
          <w:sz w:val="20"/>
          <w:szCs w:val="20"/>
        </w:rPr>
        <w:t>(Yilmaz, 2022).</w:t>
      </w:r>
      <w:r w:rsidR="00904897" w:rsidRPr="00812FFB">
        <w:rPr>
          <w:sz w:val="20"/>
          <w:szCs w:val="20"/>
        </w:rPr>
        <w:t xml:space="preserve"> </w:t>
      </w:r>
      <w:r w:rsidR="004B13C7" w:rsidRPr="00812FFB">
        <w:rPr>
          <w:sz w:val="20"/>
          <w:szCs w:val="20"/>
        </w:rPr>
        <w:t xml:space="preserve">The increase in happiness due to more participation in social activities is taken to be 23.1%, </w:t>
      </w:r>
      <w:r w:rsidR="00D10547" w:rsidRPr="00812FFB">
        <w:rPr>
          <w:sz w:val="20"/>
          <w:szCs w:val="20"/>
        </w:rPr>
        <w:t>(Yilmaz, 2022).</w:t>
      </w:r>
      <w:r w:rsidR="00904897" w:rsidRPr="00812FFB">
        <w:rPr>
          <w:sz w:val="20"/>
          <w:szCs w:val="20"/>
        </w:rPr>
        <w:t xml:space="preserve"> </w:t>
      </w:r>
      <w:r w:rsidR="000B7F76" w:rsidRPr="00812FFB">
        <w:rPr>
          <w:sz w:val="20"/>
          <w:szCs w:val="20"/>
        </w:rPr>
        <w:t>The Percentage Increase in Productivity due to higher level of happiness is taken to be 12% (White, 2023)</w:t>
      </w:r>
      <w:r w:rsidR="008E6F79" w:rsidRPr="00812FFB">
        <w:rPr>
          <w:sz w:val="20"/>
          <w:szCs w:val="20"/>
        </w:rPr>
        <w:t>.</w:t>
      </w:r>
    </w:p>
    <w:p w14:paraId="66B902F4" w14:textId="77777777" w:rsidR="00632FA8" w:rsidRPr="00812FFB" w:rsidRDefault="00632FA8" w:rsidP="004E6388">
      <w:pPr>
        <w:jc w:val="both"/>
        <w:rPr>
          <w:sz w:val="20"/>
          <w:szCs w:val="20"/>
        </w:rPr>
      </w:pPr>
    </w:p>
    <w:p w14:paraId="058D81EA" w14:textId="4138DFC1" w:rsidR="000B58D8" w:rsidRPr="00812FFB" w:rsidRDefault="00746C9B" w:rsidP="00904897">
      <w:pPr>
        <w:pStyle w:val="Heading4"/>
        <w:rPr>
          <w:sz w:val="20"/>
          <w:szCs w:val="20"/>
        </w:rPr>
      </w:pPr>
      <w:r w:rsidRPr="00812FFB">
        <w:rPr>
          <w:sz w:val="20"/>
          <w:szCs w:val="20"/>
        </w:rPr>
        <w:t xml:space="preserve">4.3.2.3 </w:t>
      </w:r>
      <w:r w:rsidR="000B58D8" w:rsidRPr="00812FFB">
        <w:rPr>
          <w:sz w:val="20"/>
          <w:szCs w:val="20"/>
        </w:rPr>
        <w:t xml:space="preserve">Greenery: </w:t>
      </w:r>
      <w:r w:rsidR="00F75DE0" w:rsidRPr="00812FFB">
        <w:rPr>
          <w:sz w:val="20"/>
          <w:szCs w:val="20"/>
        </w:rPr>
        <w:t>Greenery, Vertical Green and Rooftop Green and Planting of 100,000 Trees</w:t>
      </w:r>
    </w:p>
    <w:p w14:paraId="281A79B1" w14:textId="346EF488" w:rsidR="005708DF" w:rsidRPr="00812FFB" w:rsidRDefault="00D63113" w:rsidP="004E6388">
      <w:pPr>
        <w:jc w:val="both"/>
        <w:rPr>
          <w:sz w:val="20"/>
          <w:szCs w:val="20"/>
        </w:rPr>
      </w:pPr>
      <w:r w:rsidRPr="00812FFB">
        <w:rPr>
          <w:sz w:val="20"/>
          <w:szCs w:val="20"/>
        </w:rPr>
        <w:t xml:space="preserve">The </w:t>
      </w:r>
      <w:r w:rsidRPr="00812FFB">
        <w:rPr>
          <w:b/>
          <w:bCs/>
          <w:sz w:val="20"/>
          <w:szCs w:val="20"/>
        </w:rPr>
        <w:t>increase in health due to Greenery</w:t>
      </w:r>
      <w:r w:rsidR="00572175" w:rsidRPr="00812FFB">
        <w:rPr>
          <w:b/>
          <w:bCs/>
          <w:sz w:val="20"/>
          <w:szCs w:val="20"/>
        </w:rPr>
        <w:t xml:space="preserve"> </w:t>
      </w:r>
      <w:r w:rsidR="00572175" w:rsidRPr="00812FFB">
        <w:rPr>
          <w:sz w:val="20"/>
          <w:szCs w:val="20"/>
        </w:rPr>
        <w:t xml:space="preserve">refers to the </w:t>
      </w:r>
      <w:r w:rsidR="009040ED" w:rsidRPr="00812FFB">
        <w:rPr>
          <w:sz w:val="20"/>
          <w:szCs w:val="20"/>
        </w:rPr>
        <w:t>better air quality resulting from more Greenery</w:t>
      </w:r>
      <w:r w:rsidR="009A57A0" w:rsidRPr="00812FFB">
        <w:rPr>
          <w:sz w:val="20"/>
          <w:szCs w:val="20"/>
        </w:rPr>
        <w:t xml:space="preserve">, </w:t>
      </w:r>
      <w:r w:rsidR="000E3039" w:rsidRPr="00812FFB">
        <w:rPr>
          <w:sz w:val="20"/>
          <w:szCs w:val="20"/>
        </w:rPr>
        <w:t xml:space="preserve">therefore </w:t>
      </w:r>
      <w:r w:rsidR="00A42BE6" w:rsidRPr="00812FFB">
        <w:rPr>
          <w:sz w:val="20"/>
          <w:szCs w:val="20"/>
        </w:rPr>
        <w:t xml:space="preserve">improving </w:t>
      </w:r>
      <w:r w:rsidR="000A7829" w:rsidRPr="00812FFB">
        <w:rPr>
          <w:sz w:val="20"/>
          <w:szCs w:val="20"/>
        </w:rPr>
        <w:t>the</w:t>
      </w:r>
      <w:r w:rsidR="00A42BE6" w:rsidRPr="00812FFB">
        <w:rPr>
          <w:sz w:val="20"/>
          <w:szCs w:val="20"/>
        </w:rPr>
        <w:t xml:space="preserve"> health of residents and NUS Staff and Students that frequent the area. This increase in health is taken to be the reduction in costs paid for </w:t>
      </w:r>
      <w:r w:rsidR="00AD6995" w:rsidRPr="00812FFB">
        <w:rPr>
          <w:sz w:val="20"/>
          <w:szCs w:val="20"/>
        </w:rPr>
        <w:t xml:space="preserve">potential </w:t>
      </w:r>
      <w:r w:rsidR="000A7829" w:rsidRPr="00812FFB">
        <w:rPr>
          <w:sz w:val="20"/>
          <w:szCs w:val="20"/>
        </w:rPr>
        <w:t xml:space="preserve">ailments. </w:t>
      </w:r>
    </w:p>
    <w:p w14:paraId="3EE51EA5" w14:textId="50F8362C" w:rsidR="00632FA8" w:rsidRPr="00812FFB" w:rsidRDefault="00632FA8" w:rsidP="004E6388">
      <w:pPr>
        <w:pStyle w:val="Subtitle"/>
        <w:jc w:val="both"/>
        <w:rPr>
          <w:b w:val="0"/>
          <w:bCs w:val="0"/>
          <w:sz w:val="20"/>
          <w:szCs w:val="20"/>
        </w:rPr>
      </w:pPr>
      <w:r w:rsidRPr="00812FFB">
        <w:rPr>
          <w:sz w:val="20"/>
          <w:szCs w:val="20"/>
        </w:rPr>
        <w:t>Increase in health =</w:t>
      </w:r>
      <w:r w:rsidRPr="00812FFB">
        <w:rPr>
          <w:b w:val="0"/>
          <w:bCs w:val="0"/>
          <w:sz w:val="20"/>
          <w:szCs w:val="20"/>
        </w:rPr>
        <w:t xml:space="preserve"> </w:t>
      </w:r>
      <w:r w:rsidR="003B443F" w:rsidRPr="00812FFB">
        <w:rPr>
          <w:b w:val="0"/>
          <w:bCs w:val="0"/>
          <w:sz w:val="20"/>
          <w:szCs w:val="20"/>
        </w:rPr>
        <w:t>Number of NUS Staff and students</w:t>
      </w:r>
      <w:r w:rsidR="00250918" w:rsidRPr="00812FFB">
        <w:rPr>
          <w:b w:val="0"/>
          <w:bCs w:val="0"/>
          <w:sz w:val="20"/>
          <w:szCs w:val="20"/>
        </w:rPr>
        <w:t xml:space="preserve"> * Participation Rate</w:t>
      </w:r>
      <w:r w:rsidR="001904C0" w:rsidRPr="00812FFB">
        <w:rPr>
          <w:b w:val="0"/>
          <w:bCs w:val="0"/>
          <w:sz w:val="20"/>
          <w:szCs w:val="20"/>
        </w:rPr>
        <w:t xml:space="preserve"> </w:t>
      </w:r>
      <w:r w:rsidR="003B443F" w:rsidRPr="00812FFB">
        <w:rPr>
          <w:b w:val="0"/>
          <w:bCs w:val="0"/>
          <w:sz w:val="20"/>
          <w:szCs w:val="20"/>
        </w:rPr>
        <w:t xml:space="preserve">* </w:t>
      </w:r>
      <w:r w:rsidR="00ED18B0" w:rsidRPr="00812FFB">
        <w:rPr>
          <w:b w:val="0"/>
          <w:bCs w:val="0"/>
          <w:sz w:val="20"/>
          <w:szCs w:val="20"/>
        </w:rPr>
        <w:t xml:space="preserve">Percentage improvement in PM 2.5 due to CO2 sequestration * Amount of CO2 sequestrated </w:t>
      </w:r>
    </w:p>
    <w:p w14:paraId="4CDF4C75" w14:textId="74A5BBD7" w:rsidR="00D02D28" w:rsidRPr="00812FFB" w:rsidRDefault="00CB07DC" w:rsidP="004E6388">
      <w:pPr>
        <w:jc w:val="both"/>
        <w:rPr>
          <w:sz w:val="20"/>
          <w:szCs w:val="20"/>
        </w:rPr>
      </w:pPr>
      <w:r w:rsidRPr="00812FFB">
        <w:rPr>
          <w:sz w:val="20"/>
          <w:szCs w:val="20"/>
        </w:rPr>
        <w:t>The participation rate is a scaling factor as not all NUS Students and Staff will be beneficiaries</w:t>
      </w:r>
      <w:r w:rsidR="00C5294A" w:rsidRPr="00812FFB">
        <w:rPr>
          <w:sz w:val="20"/>
          <w:szCs w:val="20"/>
        </w:rPr>
        <w:t xml:space="preserve">. </w:t>
      </w:r>
      <w:r w:rsidR="00D02D28" w:rsidRPr="00812FFB">
        <w:rPr>
          <w:sz w:val="20"/>
          <w:szCs w:val="20"/>
        </w:rPr>
        <w:t xml:space="preserve">The </w:t>
      </w:r>
      <w:r w:rsidR="004C078D" w:rsidRPr="00812FFB">
        <w:rPr>
          <w:sz w:val="20"/>
          <w:szCs w:val="20"/>
        </w:rPr>
        <w:t xml:space="preserve">percentage improvement in health due to CO2 sequestration is taken to be the healthcare savings from </w:t>
      </w:r>
      <w:r w:rsidR="00F92C4B" w:rsidRPr="00812FFB">
        <w:rPr>
          <w:sz w:val="20"/>
          <w:szCs w:val="20"/>
        </w:rPr>
        <w:t>pm 2.5 reductions</w:t>
      </w:r>
      <w:r w:rsidR="00C7724D" w:rsidRPr="00812FFB">
        <w:rPr>
          <w:sz w:val="20"/>
          <w:szCs w:val="20"/>
        </w:rPr>
        <w:t xml:space="preserve">, calculated to be </w:t>
      </w:r>
      <w:r w:rsidR="001E1430" w:rsidRPr="00812FFB">
        <w:rPr>
          <w:sz w:val="20"/>
          <w:szCs w:val="20"/>
        </w:rPr>
        <w:t>0.01 Trillion SGD per kg of PM 2.5</w:t>
      </w:r>
      <w:r w:rsidR="00D45BEF" w:rsidRPr="00812FFB">
        <w:rPr>
          <w:sz w:val="20"/>
          <w:szCs w:val="20"/>
        </w:rPr>
        <w:t xml:space="preserve"> (</w:t>
      </w:r>
      <w:r w:rsidR="006A1D75" w:rsidRPr="00812FFB">
        <w:rPr>
          <w:sz w:val="20"/>
          <w:szCs w:val="20"/>
        </w:rPr>
        <w:t>Yang et al</w:t>
      </w:r>
      <w:r w:rsidR="0070604C" w:rsidRPr="00812FFB">
        <w:rPr>
          <w:sz w:val="20"/>
          <w:szCs w:val="20"/>
        </w:rPr>
        <w:t>.</w:t>
      </w:r>
      <w:r w:rsidR="006A1D75" w:rsidRPr="00812FFB">
        <w:rPr>
          <w:sz w:val="20"/>
          <w:szCs w:val="20"/>
        </w:rPr>
        <w:t>, 2019).</w:t>
      </w:r>
      <w:r w:rsidR="00D02D28" w:rsidRPr="00812FFB">
        <w:rPr>
          <w:sz w:val="20"/>
          <w:szCs w:val="20"/>
        </w:rPr>
        <w:t xml:space="preserve"> </w:t>
      </w:r>
    </w:p>
    <w:p w14:paraId="2B4CDDC8" w14:textId="77777777" w:rsidR="00632FA8" w:rsidRPr="00812FFB" w:rsidRDefault="00632FA8" w:rsidP="004E6388">
      <w:pPr>
        <w:jc w:val="both"/>
        <w:rPr>
          <w:sz w:val="20"/>
          <w:szCs w:val="20"/>
        </w:rPr>
      </w:pPr>
    </w:p>
    <w:p w14:paraId="694A9C3E" w14:textId="71A779B2" w:rsidR="000A7829" w:rsidRPr="00812FFB" w:rsidRDefault="000A7829" w:rsidP="004E6388">
      <w:pPr>
        <w:jc w:val="both"/>
        <w:rPr>
          <w:sz w:val="20"/>
          <w:szCs w:val="20"/>
        </w:rPr>
      </w:pPr>
      <w:r w:rsidRPr="00812FFB">
        <w:rPr>
          <w:sz w:val="20"/>
          <w:szCs w:val="20"/>
        </w:rPr>
        <w:t xml:space="preserve">The </w:t>
      </w:r>
      <w:r w:rsidRPr="00812FFB">
        <w:rPr>
          <w:b/>
          <w:bCs/>
          <w:sz w:val="20"/>
          <w:szCs w:val="20"/>
        </w:rPr>
        <w:t xml:space="preserve">increase in mental health due to Greenery </w:t>
      </w:r>
      <w:r w:rsidRPr="00812FFB">
        <w:rPr>
          <w:sz w:val="20"/>
          <w:szCs w:val="20"/>
        </w:rPr>
        <w:t xml:space="preserve">refers to the improved quality of life and </w:t>
      </w:r>
      <w:r w:rsidR="009C1A24" w:rsidRPr="00812FFB">
        <w:rPr>
          <w:sz w:val="20"/>
          <w:szCs w:val="20"/>
        </w:rPr>
        <w:t>relaxation benefits</w:t>
      </w:r>
      <w:r w:rsidR="005D7C00" w:rsidRPr="00812FFB">
        <w:rPr>
          <w:sz w:val="20"/>
          <w:szCs w:val="20"/>
        </w:rPr>
        <w:t xml:space="preserve">, therefore improving their </w:t>
      </w:r>
      <w:r w:rsidR="00E356A2" w:rsidRPr="00812FFB">
        <w:rPr>
          <w:sz w:val="20"/>
          <w:szCs w:val="20"/>
        </w:rPr>
        <w:t xml:space="preserve">mental health. The value of increased mental health is taken to be cost savings </w:t>
      </w:r>
      <w:r w:rsidR="00BB1010" w:rsidRPr="00812FFB">
        <w:rPr>
          <w:sz w:val="20"/>
          <w:szCs w:val="20"/>
        </w:rPr>
        <w:t xml:space="preserve">on trips to </w:t>
      </w:r>
      <w:r w:rsidR="00632FA8" w:rsidRPr="00812FFB">
        <w:rPr>
          <w:sz w:val="20"/>
          <w:szCs w:val="20"/>
        </w:rPr>
        <w:t>mental Healthcare professionals.</w:t>
      </w:r>
    </w:p>
    <w:p w14:paraId="735245FE" w14:textId="1BC8EC9D" w:rsidR="00632FA8" w:rsidRPr="00812FFB" w:rsidRDefault="00632FA8" w:rsidP="004E6388">
      <w:pPr>
        <w:pStyle w:val="Subtitle"/>
        <w:jc w:val="both"/>
        <w:rPr>
          <w:b w:val="0"/>
          <w:bCs w:val="0"/>
          <w:sz w:val="20"/>
          <w:szCs w:val="20"/>
        </w:rPr>
      </w:pPr>
      <w:r w:rsidRPr="00812FFB">
        <w:rPr>
          <w:sz w:val="20"/>
          <w:szCs w:val="20"/>
        </w:rPr>
        <w:t>Increase in mental health</w:t>
      </w:r>
      <w:r w:rsidRPr="00812FFB">
        <w:rPr>
          <w:b w:val="0"/>
          <w:bCs w:val="0"/>
          <w:sz w:val="20"/>
          <w:szCs w:val="20"/>
        </w:rPr>
        <w:t xml:space="preserve"> = </w:t>
      </w:r>
      <w:r w:rsidR="00C12F3F" w:rsidRPr="00812FFB">
        <w:rPr>
          <w:b w:val="0"/>
          <w:bCs w:val="0"/>
          <w:sz w:val="20"/>
          <w:szCs w:val="20"/>
        </w:rPr>
        <w:t xml:space="preserve">Number of NUS Staff and students * </w:t>
      </w:r>
      <w:r w:rsidR="00ED6CB1" w:rsidRPr="00812FFB">
        <w:rPr>
          <w:b w:val="0"/>
          <w:bCs w:val="0"/>
          <w:sz w:val="20"/>
          <w:szCs w:val="20"/>
        </w:rPr>
        <w:t xml:space="preserve">Change in Green Space Area * </w:t>
      </w:r>
      <w:r w:rsidR="00B274BE" w:rsidRPr="00812FFB">
        <w:rPr>
          <w:b w:val="0"/>
          <w:bCs w:val="0"/>
          <w:sz w:val="20"/>
          <w:szCs w:val="20"/>
        </w:rPr>
        <w:t>Percentage decrease in unhappiness due to increase in Greenery</w:t>
      </w:r>
      <w:r w:rsidR="00353B8C" w:rsidRPr="00812FFB">
        <w:rPr>
          <w:b w:val="0"/>
          <w:bCs w:val="0"/>
          <w:sz w:val="20"/>
          <w:szCs w:val="20"/>
        </w:rPr>
        <w:t xml:space="preserve"> * Cost savings due to improved mental health yearly</w:t>
      </w:r>
    </w:p>
    <w:p w14:paraId="2B93FF0B" w14:textId="3A6ECC6C" w:rsidR="00473D25" w:rsidRPr="00812FFB" w:rsidRDefault="00B274BE" w:rsidP="004E6388">
      <w:pPr>
        <w:jc w:val="both"/>
        <w:rPr>
          <w:sz w:val="20"/>
          <w:szCs w:val="20"/>
        </w:rPr>
      </w:pPr>
      <w:r w:rsidRPr="00812FFB">
        <w:rPr>
          <w:sz w:val="20"/>
          <w:szCs w:val="20"/>
        </w:rPr>
        <w:t xml:space="preserve">The Percentage decrease in unhappiness due to increase in Greenery is taken to be 0.07% (Maas, 2006). </w:t>
      </w:r>
      <w:r w:rsidR="00353B8C" w:rsidRPr="00812FFB">
        <w:rPr>
          <w:iCs/>
          <w:sz w:val="20"/>
          <w:szCs w:val="20"/>
        </w:rPr>
        <w:t xml:space="preserve">The Cost savings due to improved mental health yearly is taken to be </w:t>
      </w:r>
      <w:r w:rsidR="005D1305" w:rsidRPr="00812FFB">
        <w:rPr>
          <w:iCs/>
          <w:sz w:val="20"/>
          <w:szCs w:val="20"/>
        </w:rPr>
        <w:t xml:space="preserve">SGD </w:t>
      </w:r>
      <w:r w:rsidR="00C76E50" w:rsidRPr="00812FFB">
        <w:rPr>
          <w:iCs/>
          <w:sz w:val="20"/>
          <w:szCs w:val="20"/>
        </w:rPr>
        <w:t>2834.9</w:t>
      </w:r>
      <w:r w:rsidR="005D1305" w:rsidRPr="00812FFB">
        <w:rPr>
          <w:iCs/>
          <w:sz w:val="20"/>
          <w:szCs w:val="20"/>
        </w:rPr>
        <w:t xml:space="preserve">, </w:t>
      </w:r>
      <w:r w:rsidR="00AB59AD" w:rsidRPr="00812FFB">
        <w:rPr>
          <w:iCs/>
          <w:sz w:val="20"/>
          <w:szCs w:val="20"/>
        </w:rPr>
        <w:t>this cost includes visits to mental health professionals and productivity losses (Abdin, 2021).</w:t>
      </w:r>
    </w:p>
    <w:p w14:paraId="11359A85" w14:textId="77777777" w:rsidR="007648CE" w:rsidRPr="00812FFB" w:rsidRDefault="007648CE" w:rsidP="004E6388">
      <w:pPr>
        <w:jc w:val="both"/>
        <w:rPr>
          <w:sz w:val="20"/>
          <w:szCs w:val="20"/>
        </w:rPr>
      </w:pPr>
    </w:p>
    <w:p w14:paraId="432F2BA6" w14:textId="0B269638" w:rsidR="007B52BB" w:rsidRPr="00812FFB" w:rsidRDefault="007A61E3" w:rsidP="004E6388">
      <w:pPr>
        <w:pStyle w:val="Heading2"/>
        <w:rPr>
          <w:sz w:val="20"/>
          <w:szCs w:val="20"/>
        </w:rPr>
      </w:pPr>
      <w:bookmarkStart w:id="17" w:name="_Toc150204551"/>
      <w:r w:rsidRPr="00812FFB">
        <w:rPr>
          <w:sz w:val="20"/>
          <w:szCs w:val="20"/>
        </w:rPr>
        <w:t>SROI analysis</w:t>
      </w:r>
      <w:bookmarkEnd w:id="17"/>
      <w:r w:rsidRPr="00812FFB">
        <w:rPr>
          <w:sz w:val="20"/>
          <w:szCs w:val="20"/>
        </w:rPr>
        <w:t xml:space="preserve"> </w:t>
      </w:r>
    </w:p>
    <w:p w14:paraId="63B879B1" w14:textId="576D1BA6" w:rsidR="00904897" w:rsidRPr="00812FFB" w:rsidRDefault="007B52BB" w:rsidP="004E6388">
      <w:pPr>
        <w:jc w:val="both"/>
        <w:rPr>
          <w:sz w:val="20"/>
          <w:szCs w:val="20"/>
        </w:rPr>
      </w:pPr>
      <w:r w:rsidRPr="00812FFB">
        <w:rPr>
          <w:sz w:val="20"/>
          <w:szCs w:val="20"/>
        </w:rPr>
        <w:t xml:space="preserve">Using our estimates of </w:t>
      </w:r>
      <w:r w:rsidR="00A44690" w:rsidRPr="00812FFB">
        <w:rPr>
          <w:sz w:val="20"/>
          <w:szCs w:val="20"/>
        </w:rPr>
        <w:t>social</w:t>
      </w:r>
      <w:r w:rsidRPr="00812FFB">
        <w:rPr>
          <w:sz w:val="20"/>
          <w:szCs w:val="20"/>
        </w:rPr>
        <w:t xml:space="preserve"> benefits, operating costs, and investments required, we reach a </w:t>
      </w:r>
      <w:r w:rsidR="00E1798B" w:rsidRPr="00812FFB">
        <w:rPr>
          <w:sz w:val="20"/>
          <w:szCs w:val="20"/>
        </w:rPr>
        <w:t xml:space="preserve">base case </w:t>
      </w:r>
      <w:r w:rsidRPr="00812FFB">
        <w:rPr>
          <w:sz w:val="20"/>
          <w:szCs w:val="20"/>
        </w:rPr>
        <w:t>total SROI of 2.65</w:t>
      </w:r>
      <w:r w:rsidR="00E1798B" w:rsidRPr="00812FFB">
        <w:rPr>
          <w:sz w:val="20"/>
          <w:szCs w:val="20"/>
        </w:rPr>
        <w:t>.</w:t>
      </w:r>
    </w:p>
    <w:tbl>
      <w:tblPr>
        <w:tblW w:w="9015" w:type="dxa"/>
        <w:tblInd w:w="884" w:type="dxa"/>
        <w:tblBorders>
          <w:top w:val="nil"/>
          <w:left w:val="nil"/>
          <w:bottom w:val="nil"/>
          <w:right w:val="nil"/>
          <w:insideH w:val="nil"/>
          <w:insideV w:val="nil"/>
        </w:tblBorders>
        <w:tblLayout w:type="fixed"/>
        <w:tblLook w:val="0600" w:firstRow="0" w:lastRow="0" w:firstColumn="0" w:lastColumn="0" w:noHBand="1" w:noVBand="1"/>
      </w:tblPr>
      <w:tblGrid>
        <w:gridCol w:w="4665"/>
        <w:gridCol w:w="4350"/>
      </w:tblGrid>
      <w:tr w:rsidR="00EB7AF5" w:rsidRPr="00812FFB" w14:paraId="18C8F66C" w14:textId="77777777" w:rsidTr="00E61C2B">
        <w:trPr>
          <w:trHeight w:val="400"/>
        </w:trPr>
        <w:tc>
          <w:tcPr>
            <w:tcW w:w="4665" w:type="dxa"/>
            <w:tcBorders>
              <w:top w:val="single" w:sz="6" w:space="0" w:color="000000"/>
              <w:left w:val="single" w:sz="6" w:space="0" w:color="000000"/>
              <w:bottom w:val="single" w:sz="6" w:space="0" w:color="000000"/>
              <w:right w:val="single" w:sz="6" w:space="0" w:color="000000"/>
            </w:tcBorders>
            <w:shd w:val="clear" w:color="auto" w:fill="E2EFDA"/>
            <w:tcMar>
              <w:top w:w="20" w:type="dxa"/>
              <w:left w:w="20" w:type="dxa"/>
              <w:bottom w:w="100" w:type="dxa"/>
              <w:right w:w="20" w:type="dxa"/>
            </w:tcMar>
            <w:vAlign w:val="center"/>
          </w:tcPr>
          <w:p w14:paraId="77F09A9E" w14:textId="2326B0E4" w:rsidR="00EB7AF5" w:rsidRPr="00812FFB" w:rsidRDefault="00EB7AF5" w:rsidP="00E61C2B">
            <w:pPr>
              <w:jc w:val="center"/>
              <w:rPr>
                <w:sz w:val="20"/>
                <w:szCs w:val="20"/>
              </w:rPr>
            </w:pPr>
            <w:r w:rsidRPr="00812FFB">
              <w:rPr>
                <w:b/>
                <w:sz w:val="20"/>
                <w:szCs w:val="20"/>
              </w:rPr>
              <w:t>Total PV of Social Benefit</w:t>
            </w:r>
          </w:p>
        </w:tc>
        <w:tc>
          <w:tcPr>
            <w:tcW w:w="4350" w:type="dxa"/>
            <w:tcBorders>
              <w:top w:val="single" w:sz="6" w:space="0" w:color="000000"/>
              <w:left w:val="single" w:sz="6" w:space="0" w:color="000000"/>
              <w:bottom w:val="single" w:sz="6" w:space="0" w:color="000000"/>
              <w:right w:val="single" w:sz="6" w:space="0" w:color="000000"/>
            </w:tcBorders>
            <w:shd w:val="clear" w:color="auto" w:fill="FFF2CC"/>
            <w:tcMar>
              <w:top w:w="20" w:type="dxa"/>
              <w:left w:w="20" w:type="dxa"/>
              <w:bottom w:w="100" w:type="dxa"/>
              <w:right w:w="20" w:type="dxa"/>
            </w:tcMar>
            <w:vAlign w:val="center"/>
          </w:tcPr>
          <w:p w14:paraId="64688526" w14:textId="463A0882" w:rsidR="00EB7AF5" w:rsidRPr="00812FFB" w:rsidRDefault="00EB7AF5" w:rsidP="00E61C2B">
            <w:pPr>
              <w:jc w:val="center"/>
              <w:rPr>
                <w:sz w:val="20"/>
                <w:szCs w:val="20"/>
              </w:rPr>
            </w:pPr>
            <w:r w:rsidRPr="00812FFB">
              <w:rPr>
                <w:sz w:val="20"/>
                <w:szCs w:val="20"/>
              </w:rPr>
              <w:t>$3,513,239,621.79</w:t>
            </w:r>
          </w:p>
        </w:tc>
      </w:tr>
      <w:tr w:rsidR="00EB7AF5" w:rsidRPr="00812FFB" w14:paraId="450538A6" w14:textId="77777777" w:rsidTr="00E61C2B">
        <w:trPr>
          <w:trHeight w:val="400"/>
        </w:trPr>
        <w:tc>
          <w:tcPr>
            <w:tcW w:w="4665" w:type="dxa"/>
            <w:tcBorders>
              <w:top w:val="single" w:sz="6" w:space="0" w:color="000000"/>
              <w:left w:val="single" w:sz="6" w:space="0" w:color="000000"/>
              <w:bottom w:val="single" w:sz="6" w:space="0" w:color="000000"/>
              <w:right w:val="single" w:sz="6" w:space="0" w:color="000000"/>
            </w:tcBorders>
            <w:shd w:val="clear" w:color="auto" w:fill="E2EFDA"/>
            <w:tcMar>
              <w:top w:w="20" w:type="dxa"/>
              <w:left w:w="20" w:type="dxa"/>
              <w:bottom w:w="100" w:type="dxa"/>
              <w:right w:w="20" w:type="dxa"/>
            </w:tcMar>
            <w:vAlign w:val="center"/>
          </w:tcPr>
          <w:p w14:paraId="70A24B1F" w14:textId="6D9DA791" w:rsidR="00EB7AF5" w:rsidRPr="00812FFB" w:rsidRDefault="00EB7AF5" w:rsidP="00E61C2B">
            <w:pPr>
              <w:jc w:val="center"/>
              <w:rPr>
                <w:sz w:val="20"/>
                <w:szCs w:val="20"/>
              </w:rPr>
            </w:pPr>
            <w:r w:rsidRPr="00812FFB">
              <w:rPr>
                <w:b/>
                <w:sz w:val="20"/>
                <w:szCs w:val="20"/>
              </w:rPr>
              <w:t>Total PV of Social Cost</w:t>
            </w:r>
          </w:p>
        </w:tc>
        <w:tc>
          <w:tcPr>
            <w:tcW w:w="4350" w:type="dxa"/>
            <w:tcBorders>
              <w:top w:val="single" w:sz="6" w:space="0" w:color="000000"/>
              <w:left w:val="single" w:sz="6" w:space="0" w:color="000000"/>
              <w:bottom w:val="single" w:sz="6" w:space="0" w:color="000000"/>
              <w:right w:val="single" w:sz="6" w:space="0" w:color="000000"/>
            </w:tcBorders>
            <w:shd w:val="clear" w:color="auto" w:fill="FFF2CC"/>
            <w:tcMar>
              <w:top w:w="20" w:type="dxa"/>
              <w:left w:w="20" w:type="dxa"/>
              <w:bottom w:w="100" w:type="dxa"/>
              <w:right w:w="20" w:type="dxa"/>
            </w:tcMar>
            <w:vAlign w:val="center"/>
          </w:tcPr>
          <w:p w14:paraId="1D28E5D1" w14:textId="7834B049" w:rsidR="00EB7AF5" w:rsidRPr="00812FFB" w:rsidRDefault="00947AC2" w:rsidP="00E61C2B">
            <w:pPr>
              <w:jc w:val="center"/>
              <w:rPr>
                <w:sz w:val="20"/>
                <w:szCs w:val="20"/>
              </w:rPr>
            </w:pPr>
            <w:r w:rsidRPr="00812FFB">
              <w:rPr>
                <w:sz w:val="20"/>
                <w:szCs w:val="20"/>
              </w:rPr>
              <w:t>$1,273,062,260.87</w:t>
            </w:r>
          </w:p>
        </w:tc>
      </w:tr>
      <w:tr w:rsidR="00EB7AF5" w:rsidRPr="00812FFB" w14:paraId="4F9E29C5" w14:textId="77777777" w:rsidTr="00E61C2B">
        <w:trPr>
          <w:trHeight w:val="400"/>
        </w:trPr>
        <w:tc>
          <w:tcPr>
            <w:tcW w:w="4665" w:type="dxa"/>
            <w:tcBorders>
              <w:top w:val="single" w:sz="6" w:space="0" w:color="000000"/>
              <w:left w:val="single" w:sz="6" w:space="0" w:color="000000"/>
              <w:bottom w:val="single" w:sz="6" w:space="0" w:color="000000"/>
              <w:right w:val="single" w:sz="6" w:space="0" w:color="000000"/>
            </w:tcBorders>
            <w:shd w:val="clear" w:color="auto" w:fill="E2EFDA"/>
            <w:tcMar>
              <w:top w:w="20" w:type="dxa"/>
              <w:left w:w="20" w:type="dxa"/>
              <w:bottom w:w="100" w:type="dxa"/>
              <w:right w:w="20" w:type="dxa"/>
            </w:tcMar>
            <w:vAlign w:val="center"/>
          </w:tcPr>
          <w:p w14:paraId="745B1B35" w14:textId="5949862B" w:rsidR="00EB7AF5" w:rsidRPr="00812FFB" w:rsidRDefault="00EB7AF5" w:rsidP="00E61C2B">
            <w:pPr>
              <w:jc w:val="center"/>
              <w:rPr>
                <w:b/>
                <w:bCs/>
                <w:sz w:val="20"/>
                <w:szCs w:val="20"/>
              </w:rPr>
            </w:pPr>
            <w:r w:rsidRPr="00812FFB">
              <w:rPr>
                <w:b/>
                <w:bCs/>
                <w:sz w:val="20"/>
                <w:szCs w:val="20"/>
              </w:rPr>
              <w:t>Total investment Required</w:t>
            </w:r>
          </w:p>
        </w:tc>
        <w:tc>
          <w:tcPr>
            <w:tcW w:w="4350" w:type="dxa"/>
            <w:tcBorders>
              <w:top w:val="single" w:sz="6" w:space="0" w:color="000000"/>
              <w:left w:val="single" w:sz="6" w:space="0" w:color="000000"/>
              <w:bottom w:val="single" w:sz="6" w:space="0" w:color="000000"/>
              <w:right w:val="single" w:sz="6" w:space="0" w:color="000000"/>
            </w:tcBorders>
            <w:shd w:val="clear" w:color="auto" w:fill="FFF2CC"/>
            <w:tcMar>
              <w:top w:w="20" w:type="dxa"/>
              <w:left w:w="20" w:type="dxa"/>
              <w:bottom w:w="100" w:type="dxa"/>
              <w:right w:w="20" w:type="dxa"/>
            </w:tcMar>
            <w:vAlign w:val="center"/>
          </w:tcPr>
          <w:p w14:paraId="662FB776" w14:textId="6423DFF7" w:rsidR="00EB7AF5" w:rsidRPr="00812FFB" w:rsidRDefault="00EB7AF5" w:rsidP="00E61C2B">
            <w:pPr>
              <w:jc w:val="center"/>
              <w:rPr>
                <w:sz w:val="20"/>
                <w:szCs w:val="20"/>
              </w:rPr>
            </w:pPr>
            <w:r w:rsidRPr="00812FFB">
              <w:rPr>
                <w:sz w:val="20"/>
                <w:szCs w:val="20"/>
              </w:rPr>
              <w:t>$</w:t>
            </w:r>
            <w:r w:rsidR="00947AC2" w:rsidRPr="00812FFB">
              <w:rPr>
                <w:sz w:val="20"/>
                <w:szCs w:val="20"/>
              </w:rPr>
              <w:t>846,406,138.39</w:t>
            </w:r>
          </w:p>
        </w:tc>
      </w:tr>
      <w:tr w:rsidR="00EB7AF5" w:rsidRPr="00812FFB" w14:paraId="7452B335" w14:textId="77777777" w:rsidTr="00655795">
        <w:trPr>
          <w:trHeight w:val="613"/>
        </w:trPr>
        <w:tc>
          <w:tcPr>
            <w:tcW w:w="4665" w:type="dxa"/>
            <w:tcBorders>
              <w:top w:val="single" w:sz="6" w:space="0" w:color="000000"/>
              <w:left w:val="single" w:sz="6" w:space="0" w:color="000000"/>
              <w:bottom w:val="single" w:sz="6" w:space="0" w:color="000000"/>
              <w:right w:val="single" w:sz="6" w:space="0" w:color="000000"/>
            </w:tcBorders>
            <w:shd w:val="clear" w:color="auto" w:fill="E2EFDA"/>
            <w:tcMar>
              <w:top w:w="20" w:type="dxa"/>
              <w:left w:w="20" w:type="dxa"/>
              <w:bottom w:w="100" w:type="dxa"/>
              <w:right w:w="20" w:type="dxa"/>
            </w:tcMar>
            <w:vAlign w:val="center"/>
          </w:tcPr>
          <w:p w14:paraId="28DEB346" w14:textId="3016FCF5" w:rsidR="00EB7AF5" w:rsidRPr="00812FFB" w:rsidRDefault="00EB7AF5" w:rsidP="00E61C2B">
            <w:pPr>
              <w:jc w:val="center"/>
              <w:rPr>
                <w:b/>
                <w:sz w:val="20"/>
                <w:szCs w:val="20"/>
              </w:rPr>
            </w:pPr>
            <w:r w:rsidRPr="00812FFB">
              <w:rPr>
                <w:b/>
                <w:sz w:val="20"/>
                <w:szCs w:val="20"/>
              </w:rPr>
              <w:lastRenderedPageBreak/>
              <w:t>SROI (= Net Social Benefit / Total Investment Cost)</w:t>
            </w:r>
          </w:p>
        </w:tc>
        <w:tc>
          <w:tcPr>
            <w:tcW w:w="4350" w:type="dxa"/>
            <w:tcBorders>
              <w:top w:val="single" w:sz="6" w:space="0" w:color="000000"/>
              <w:left w:val="single" w:sz="6" w:space="0" w:color="000000"/>
              <w:bottom w:val="single" w:sz="6" w:space="0" w:color="000000"/>
              <w:right w:val="single" w:sz="6" w:space="0" w:color="000000"/>
            </w:tcBorders>
            <w:shd w:val="clear" w:color="auto" w:fill="FFF2CC"/>
            <w:tcMar>
              <w:top w:w="20" w:type="dxa"/>
              <w:left w:w="20" w:type="dxa"/>
              <w:bottom w:w="100" w:type="dxa"/>
              <w:right w:w="20" w:type="dxa"/>
            </w:tcMar>
            <w:vAlign w:val="center"/>
          </w:tcPr>
          <w:p w14:paraId="02904925" w14:textId="10D2DD58" w:rsidR="00EB7AF5" w:rsidRPr="00812FFB" w:rsidRDefault="00EB7AF5" w:rsidP="00E61C2B">
            <w:pPr>
              <w:jc w:val="center"/>
              <w:rPr>
                <w:b/>
                <w:sz w:val="20"/>
                <w:szCs w:val="20"/>
              </w:rPr>
            </w:pPr>
            <w:r w:rsidRPr="00812FFB">
              <w:rPr>
                <w:b/>
                <w:sz w:val="20"/>
                <w:szCs w:val="20"/>
              </w:rPr>
              <w:t>2.</w:t>
            </w:r>
            <w:r w:rsidR="00947AC2" w:rsidRPr="00812FFB">
              <w:rPr>
                <w:b/>
                <w:sz w:val="20"/>
                <w:szCs w:val="20"/>
              </w:rPr>
              <w:t>65</w:t>
            </w:r>
          </w:p>
        </w:tc>
      </w:tr>
    </w:tbl>
    <w:p w14:paraId="22673772" w14:textId="47620D09" w:rsidR="00B25CD3" w:rsidRPr="00812FFB" w:rsidRDefault="00B25CD3" w:rsidP="00E61C2B">
      <w:pPr>
        <w:jc w:val="center"/>
        <w:rPr>
          <w:i/>
          <w:sz w:val="20"/>
          <w:szCs w:val="20"/>
          <w:u w:val="single"/>
        </w:rPr>
      </w:pPr>
      <w:r w:rsidRPr="00812FFB">
        <w:rPr>
          <w:i/>
          <w:sz w:val="20"/>
          <w:szCs w:val="20"/>
          <w:u w:val="single"/>
        </w:rPr>
        <w:t xml:space="preserve">Figure </w:t>
      </w:r>
      <w:r w:rsidR="00D803B1" w:rsidRPr="00812FFB">
        <w:rPr>
          <w:i/>
          <w:sz w:val="20"/>
          <w:szCs w:val="20"/>
          <w:u w:val="single"/>
        </w:rPr>
        <w:t>5</w:t>
      </w:r>
      <w:r w:rsidRPr="00812FFB">
        <w:rPr>
          <w:i/>
          <w:sz w:val="20"/>
          <w:szCs w:val="20"/>
          <w:u w:val="single"/>
        </w:rPr>
        <w:t>: Overall benefits, costs and SROI of the project</w:t>
      </w:r>
    </w:p>
    <w:p w14:paraId="3A91733D" w14:textId="52279496" w:rsidR="00904897" w:rsidRPr="008E58D8" w:rsidRDefault="00B54CE3" w:rsidP="00E61C2B">
      <w:pPr>
        <w:jc w:val="center"/>
        <w:rPr>
          <w:i/>
          <w:u w:val="single"/>
        </w:rPr>
      </w:pPr>
      <w:r w:rsidRPr="00812FFB">
        <w:rPr>
          <w:b/>
          <w:bCs/>
          <w:noProof/>
          <w:sz w:val="20"/>
          <w:szCs w:val="20"/>
        </w:rPr>
        <w:drawing>
          <wp:anchor distT="0" distB="0" distL="114300" distR="114300" simplePos="0" relativeHeight="251658242" behindDoc="0" locked="0" layoutInCell="1" allowOverlap="1" wp14:anchorId="3F4AAE58" wp14:editId="1813C344">
            <wp:simplePos x="0" y="0"/>
            <wp:positionH relativeFrom="margin">
              <wp:posOffset>124460</wp:posOffset>
            </wp:positionH>
            <wp:positionV relativeFrom="paragraph">
              <wp:posOffset>179705</wp:posOffset>
            </wp:positionV>
            <wp:extent cx="2961005" cy="2150745"/>
            <wp:effectExtent l="0" t="0" r="0" b="0"/>
            <wp:wrapSquare wrapText="bothSides"/>
            <wp:docPr id="663861909" name="Chart 1">
              <a:extLst xmlns:a="http://schemas.openxmlformats.org/drawingml/2006/main">
                <a:ext uri="{FF2B5EF4-FFF2-40B4-BE49-F238E27FC236}">
                  <a16:creationId xmlns:a16="http://schemas.microsoft.com/office/drawing/2014/main" id="{F301E740-18B0-6C56-9358-C07D512374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04FA54AE" w14:textId="57577B71" w:rsidR="00B05CC0" w:rsidRPr="00812FFB" w:rsidRDefault="00B05CC0" w:rsidP="002937D2">
      <w:pPr>
        <w:jc w:val="both"/>
        <w:rPr>
          <w:sz w:val="20"/>
          <w:szCs w:val="20"/>
        </w:rPr>
      </w:pPr>
      <w:r w:rsidRPr="00812FFB">
        <w:rPr>
          <w:b/>
          <w:sz w:val="20"/>
          <w:szCs w:val="20"/>
        </w:rPr>
        <w:t>Energy</w:t>
      </w:r>
      <w:r w:rsidR="0092548D" w:rsidRPr="00812FFB">
        <w:rPr>
          <w:b/>
          <w:bCs/>
          <w:sz w:val="20"/>
          <w:szCs w:val="20"/>
        </w:rPr>
        <w:t>:</w:t>
      </w:r>
      <w:r w:rsidR="0092548D" w:rsidRPr="00812FFB">
        <w:rPr>
          <w:sz w:val="20"/>
          <w:szCs w:val="20"/>
        </w:rPr>
        <w:t xml:space="preserve"> </w:t>
      </w:r>
      <w:r w:rsidR="005C00FD" w:rsidRPr="00812FFB">
        <w:rPr>
          <w:sz w:val="20"/>
          <w:szCs w:val="20"/>
        </w:rPr>
        <w:t>Energy p</w:t>
      </w:r>
      <w:r w:rsidRPr="00812FFB">
        <w:rPr>
          <w:sz w:val="20"/>
          <w:szCs w:val="20"/>
        </w:rPr>
        <w:t xml:space="preserve">roduces the most social benefit due to the significant savings in </w:t>
      </w:r>
      <w:r w:rsidR="00FF460B" w:rsidRPr="00812FFB">
        <w:rPr>
          <w:sz w:val="20"/>
          <w:szCs w:val="20"/>
        </w:rPr>
        <w:t xml:space="preserve">electricity costs. </w:t>
      </w:r>
      <w:r w:rsidR="0092548D" w:rsidRPr="00812FFB">
        <w:rPr>
          <w:sz w:val="20"/>
          <w:szCs w:val="20"/>
        </w:rPr>
        <w:t xml:space="preserve">However, the SROI from energy is only </w:t>
      </w:r>
      <w:r w:rsidR="008E17B1" w:rsidRPr="00812FFB">
        <w:rPr>
          <w:sz w:val="20"/>
          <w:szCs w:val="20"/>
        </w:rPr>
        <w:t>1.22</w:t>
      </w:r>
      <w:r w:rsidR="006A7FAC" w:rsidRPr="00812FFB">
        <w:rPr>
          <w:sz w:val="20"/>
          <w:szCs w:val="20"/>
        </w:rPr>
        <w:t>, the 2</w:t>
      </w:r>
      <w:r w:rsidR="006A7FAC" w:rsidRPr="00812FFB">
        <w:rPr>
          <w:sz w:val="20"/>
          <w:szCs w:val="20"/>
          <w:vertAlign w:val="superscript"/>
        </w:rPr>
        <w:t>nd</w:t>
      </w:r>
      <w:r w:rsidR="006A7FAC" w:rsidRPr="00812FFB">
        <w:rPr>
          <w:sz w:val="20"/>
          <w:szCs w:val="20"/>
        </w:rPr>
        <w:t xml:space="preserve"> lowest SROI among all the</w:t>
      </w:r>
      <w:r w:rsidR="0092548D" w:rsidRPr="00812FFB">
        <w:rPr>
          <w:sz w:val="20"/>
          <w:szCs w:val="20"/>
        </w:rPr>
        <w:t xml:space="preserve"> </w:t>
      </w:r>
      <w:r w:rsidR="00064ABA" w:rsidRPr="00812FFB">
        <w:rPr>
          <w:sz w:val="20"/>
          <w:szCs w:val="20"/>
        </w:rPr>
        <w:t xml:space="preserve">project key elements. This is due to the </w:t>
      </w:r>
      <w:r w:rsidR="003B7FF6" w:rsidRPr="00812FFB">
        <w:rPr>
          <w:sz w:val="20"/>
          <w:szCs w:val="20"/>
        </w:rPr>
        <w:t xml:space="preserve">large construction costs required to </w:t>
      </w:r>
      <w:r w:rsidR="002D390D" w:rsidRPr="00812FFB">
        <w:rPr>
          <w:sz w:val="20"/>
          <w:szCs w:val="20"/>
        </w:rPr>
        <w:t xml:space="preserve">meet the project goals ($589,610,771.47). </w:t>
      </w:r>
    </w:p>
    <w:p w14:paraId="5CC3C630" w14:textId="77777777" w:rsidR="00904897" w:rsidRPr="00A37DD2" w:rsidRDefault="00904897" w:rsidP="002937D2">
      <w:pPr>
        <w:jc w:val="both"/>
      </w:pPr>
    </w:p>
    <w:p w14:paraId="7CEB614D" w14:textId="060C9847" w:rsidR="00904897" w:rsidRPr="00812FFB" w:rsidRDefault="00CF7A64" w:rsidP="002937D2">
      <w:pPr>
        <w:jc w:val="both"/>
        <w:rPr>
          <w:sz w:val="20"/>
          <w:szCs w:val="20"/>
        </w:rPr>
      </w:pPr>
      <w:r w:rsidRPr="00812FFB">
        <w:rPr>
          <w:b/>
          <w:sz w:val="20"/>
          <w:szCs w:val="20"/>
        </w:rPr>
        <w:t xml:space="preserve">Public Spaces </w:t>
      </w:r>
      <w:r w:rsidR="005C00FD" w:rsidRPr="00812FFB">
        <w:rPr>
          <w:b/>
          <w:sz w:val="20"/>
          <w:szCs w:val="20"/>
        </w:rPr>
        <w:t>and Greenery:</w:t>
      </w:r>
      <w:r w:rsidR="005C00FD" w:rsidRPr="00812FFB">
        <w:rPr>
          <w:sz w:val="20"/>
          <w:szCs w:val="20"/>
        </w:rPr>
        <w:t xml:space="preserve"> Public Spaces</w:t>
      </w:r>
      <w:r w:rsidR="00E84266" w:rsidRPr="00812FFB">
        <w:rPr>
          <w:sz w:val="20"/>
          <w:szCs w:val="20"/>
        </w:rPr>
        <w:t xml:space="preserve"> and Greenery are significant contributors to the project SROI of </w:t>
      </w:r>
      <w:r w:rsidR="00272B14" w:rsidRPr="00812FFB">
        <w:rPr>
          <w:sz w:val="20"/>
          <w:szCs w:val="20"/>
        </w:rPr>
        <w:t xml:space="preserve">2.65. Together, they </w:t>
      </w:r>
      <w:r w:rsidR="004225B0" w:rsidRPr="00812FFB">
        <w:rPr>
          <w:sz w:val="20"/>
          <w:szCs w:val="20"/>
        </w:rPr>
        <w:t xml:space="preserve">contribute 41% of the project’s net benefit, but </w:t>
      </w:r>
      <w:r w:rsidR="001F4509" w:rsidRPr="00812FFB">
        <w:rPr>
          <w:sz w:val="20"/>
          <w:szCs w:val="20"/>
        </w:rPr>
        <w:t>both obtain very large SROI of 5.56 and 8.58</w:t>
      </w:r>
      <w:r w:rsidR="00B5760A" w:rsidRPr="00812FFB">
        <w:rPr>
          <w:sz w:val="20"/>
          <w:szCs w:val="20"/>
        </w:rPr>
        <w:t xml:space="preserve"> respectively.</w:t>
      </w:r>
      <w:r w:rsidR="00D9424F" w:rsidRPr="00812FFB">
        <w:rPr>
          <w:sz w:val="20"/>
          <w:szCs w:val="20"/>
        </w:rPr>
        <w:t xml:space="preserve"> From our analysis, </w:t>
      </w:r>
      <w:r w:rsidR="00106FD2" w:rsidRPr="00812FFB">
        <w:rPr>
          <w:sz w:val="20"/>
          <w:szCs w:val="20"/>
        </w:rPr>
        <w:t xml:space="preserve">public spaces and greenery contribute greatly to the mental and physical health of the </w:t>
      </w:r>
      <w:r w:rsidR="0079244F" w:rsidRPr="00812FFB">
        <w:rPr>
          <w:sz w:val="20"/>
          <w:szCs w:val="20"/>
        </w:rPr>
        <w:t xml:space="preserve">NUS </w:t>
      </w:r>
      <w:r w:rsidR="00106FD2" w:rsidRPr="00812FFB">
        <w:rPr>
          <w:sz w:val="20"/>
          <w:szCs w:val="20"/>
        </w:rPr>
        <w:t>population, and the</w:t>
      </w:r>
      <w:r w:rsidR="00967955" w:rsidRPr="00812FFB">
        <w:rPr>
          <w:sz w:val="20"/>
          <w:szCs w:val="20"/>
        </w:rPr>
        <w:t xml:space="preserve">se benefits greatly outweigh the </w:t>
      </w:r>
      <w:r w:rsidR="00160BC2" w:rsidRPr="00812FFB">
        <w:rPr>
          <w:sz w:val="20"/>
          <w:szCs w:val="20"/>
        </w:rPr>
        <w:t xml:space="preserve">low investment </w:t>
      </w:r>
      <w:r w:rsidR="00117776" w:rsidRPr="00812FFB">
        <w:rPr>
          <w:sz w:val="20"/>
          <w:szCs w:val="20"/>
        </w:rPr>
        <w:t>and maintenance costs required</w:t>
      </w:r>
      <w:r w:rsidR="00DC1811" w:rsidRPr="00812FFB">
        <w:rPr>
          <w:sz w:val="20"/>
          <w:szCs w:val="20"/>
        </w:rPr>
        <w:t>.</w:t>
      </w:r>
    </w:p>
    <w:p w14:paraId="6C297200" w14:textId="3949E233" w:rsidR="00904897" w:rsidRPr="00812FFB" w:rsidRDefault="00B54CE3" w:rsidP="002937D2">
      <w:pPr>
        <w:jc w:val="both"/>
        <w:rPr>
          <w:sz w:val="20"/>
          <w:szCs w:val="20"/>
        </w:rPr>
      </w:pPr>
      <w:r w:rsidRPr="00812FFB">
        <w:rPr>
          <w:noProof/>
          <w:sz w:val="20"/>
          <w:szCs w:val="20"/>
        </w:rPr>
        <mc:AlternateContent>
          <mc:Choice Requires="wps">
            <w:drawing>
              <wp:anchor distT="0" distB="0" distL="114300" distR="114300" simplePos="0" relativeHeight="251658244" behindDoc="0" locked="0" layoutInCell="1" allowOverlap="1" wp14:anchorId="016EA70A" wp14:editId="71E12345">
                <wp:simplePos x="0" y="0"/>
                <wp:positionH relativeFrom="margin">
                  <wp:posOffset>-103909</wp:posOffset>
                </wp:positionH>
                <wp:positionV relativeFrom="paragraph">
                  <wp:posOffset>62288</wp:posOffset>
                </wp:positionV>
                <wp:extent cx="3429000" cy="635"/>
                <wp:effectExtent l="0" t="0" r="0" b="0"/>
                <wp:wrapSquare wrapText="bothSides"/>
                <wp:docPr id="1380066073" name="Text Box 1380066073"/>
                <wp:cNvGraphicFramePr/>
                <a:graphic xmlns:a="http://schemas.openxmlformats.org/drawingml/2006/main">
                  <a:graphicData uri="http://schemas.microsoft.com/office/word/2010/wordprocessingShape">
                    <wps:wsp>
                      <wps:cNvSpPr txBox="1"/>
                      <wps:spPr>
                        <a:xfrm>
                          <a:off x="0" y="0"/>
                          <a:ext cx="3429000" cy="635"/>
                        </a:xfrm>
                        <a:prstGeom prst="rect">
                          <a:avLst/>
                        </a:prstGeom>
                        <a:solidFill>
                          <a:prstClr val="white"/>
                        </a:solidFill>
                        <a:ln>
                          <a:noFill/>
                        </a:ln>
                      </wps:spPr>
                      <wps:txbx>
                        <w:txbxContent>
                          <w:p w14:paraId="741D9833" w14:textId="0321F596" w:rsidR="004964AC" w:rsidRPr="00BD6BB6" w:rsidRDefault="004964AC" w:rsidP="004964AC">
                            <w:pPr>
                              <w:pStyle w:val="Caption"/>
                              <w:jc w:val="center"/>
                              <w:rPr>
                                <w:b/>
                                <w:bCs/>
                                <w:noProof/>
                                <w:color w:val="auto"/>
                                <w:sz w:val="20"/>
                                <w:szCs w:val="20"/>
                                <w:u w:val="single"/>
                              </w:rPr>
                            </w:pPr>
                            <w:r w:rsidRPr="00BD6BB6">
                              <w:rPr>
                                <w:color w:val="auto"/>
                                <w:sz w:val="20"/>
                                <w:szCs w:val="20"/>
                                <w:u w:val="single"/>
                              </w:rPr>
                              <w:t xml:space="preserve">Figure </w:t>
                            </w:r>
                            <w:r w:rsidR="00D803B1" w:rsidRPr="00BD6BB6">
                              <w:rPr>
                                <w:color w:val="auto"/>
                                <w:sz w:val="20"/>
                                <w:szCs w:val="20"/>
                                <w:u w:val="single"/>
                              </w:rPr>
                              <w:t>6</w:t>
                            </w:r>
                            <w:r w:rsidRPr="00BD6BB6">
                              <w:rPr>
                                <w:color w:val="auto"/>
                                <w:sz w:val="20"/>
                                <w:szCs w:val="20"/>
                                <w:u w:val="single"/>
                              </w:rPr>
                              <w:t>: Net Benefit by Key 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6EA70A" id="_x0000_t202" coordsize="21600,21600" o:spt="202" path="m,l,21600r21600,l21600,xe">
                <v:stroke joinstyle="miter"/>
                <v:path gradientshapeok="t" o:connecttype="rect"/>
              </v:shapetype>
              <v:shape id="Text Box 1380066073" o:spid="_x0000_s1026" type="#_x0000_t202" style="position:absolute;left:0;text-align:left;margin-left:-8.2pt;margin-top:4.9pt;width:270pt;height:.05pt;z-index:2516582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" stroked="f">
                <v:textbox style="mso-fit-shape-to-text:t" inset="0,0,0,0">
                  <w:txbxContent>
                    <w:p w14:paraId="741D9833" w14:textId="0321F596" w:rsidR="004964AC" w:rsidRPr="00BD6BB6" w:rsidRDefault="004964AC" w:rsidP="004964AC">
                      <w:pPr>
                        <w:pStyle w:val="Caption"/>
                        <w:jc w:val="center"/>
                        <w:rPr>
                          <w:b/>
                          <w:bCs/>
                          <w:noProof/>
                          <w:color w:val="auto"/>
                          <w:sz w:val="20"/>
                          <w:szCs w:val="20"/>
                          <w:u w:val="single"/>
                        </w:rPr>
                      </w:pPr>
                      <w:r w:rsidRPr="00BD6BB6">
                        <w:rPr>
                          <w:color w:val="auto"/>
                          <w:sz w:val="20"/>
                          <w:szCs w:val="20"/>
                          <w:u w:val="single"/>
                        </w:rPr>
                        <w:t xml:space="preserve">Figure </w:t>
                      </w:r>
                      <w:r w:rsidR="00D803B1" w:rsidRPr="00BD6BB6">
                        <w:rPr>
                          <w:color w:val="auto"/>
                          <w:sz w:val="20"/>
                          <w:szCs w:val="20"/>
                          <w:u w:val="single"/>
                        </w:rPr>
                        <w:t>6</w:t>
                      </w:r>
                      <w:r w:rsidRPr="00BD6BB6">
                        <w:rPr>
                          <w:color w:val="auto"/>
                          <w:sz w:val="20"/>
                          <w:szCs w:val="20"/>
                          <w:u w:val="single"/>
                        </w:rPr>
                        <w:t>: Net Benefit by Key Element</w:t>
                      </w:r>
                    </w:p>
                  </w:txbxContent>
                </v:textbox>
                <w10:wrap type="square" anchorx="margin"/>
              </v:shape>
            </w:pict>
          </mc:Fallback>
        </mc:AlternateContent>
      </w:r>
    </w:p>
    <w:p w14:paraId="29939C8F" w14:textId="37EBB76D" w:rsidR="006E645C" w:rsidRPr="00812FFB" w:rsidRDefault="0079244F" w:rsidP="004E6388">
      <w:pPr>
        <w:jc w:val="both"/>
        <w:rPr>
          <w:sz w:val="20"/>
          <w:szCs w:val="20"/>
        </w:rPr>
      </w:pPr>
      <w:r w:rsidRPr="00812FFB">
        <w:rPr>
          <w:noProof/>
          <w:sz w:val="20"/>
          <w:szCs w:val="20"/>
        </w:rPr>
        <w:drawing>
          <wp:anchor distT="0" distB="0" distL="114300" distR="114300" simplePos="0" relativeHeight="251658243" behindDoc="0" locked="0" layoutInCell="1" allowOverlap="1" wp14:anchorId="39A078F3" wp14:editId="3F7AEC65">
            <wp:simplePos x="0" y="0"/>
            <wp:positionH relativeFrom="margin">
              <wp:posOffset>20089</wp:posOffset>
            </wp:positionH>
            <wp:positionV relativeFrom="paragraph">
              <wp:posOffset>80934</wp:posOffset>
            </wp:positionV>
            <wp:extent cx="3065145" cy="2237740"/>
            <wp:effectExtent l="0" t="0" r="0" b="0"/>
            <wp:wrapSquare wrapText="bothSides"/>
            <wp:docPr id="2023438618" name="Chart 1">
              <a:extLst xmlns:a="http://schemas.openxmlformats.org/drawingml/2006/main">
                <a:ext uri="{FF2B5EF4-FFF2-40B4-BE49-F238E27FC236}">
                  <a16:creationId xmlns:a16="http://schemas.microsoft.com/office/drawing/2014/main" id="{2F152A38-F876-4F29-BC16-210EC7BB13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FE6922" w:rsidRPr="00812FFB">
        <w:rPr>
          <w:b/>
          <w:bCs/>
          <w:sz w:val="20"/>
          <w:szCs w:val="20"/>
        </w:rPr>
        <w:t>Water:</w:t>
      </w:r>
      <w:r w:rsidR="008E58D8" w:rsidRPr="00812FFB">
        <w:rPr>
          <w:sz w:val="20"/>
          <w:szCs w:val="20"/>
        </w:rPr>
        <w:t xml:space="preserve"> </w:t>
      </w:r>
      <w:r w:rsidR="00FD2F70" w:rsidRPr="00812FFB">
        <w:rPr>
          <w:sz w:val="20"/>
          <w:szCs w:val="20"/>
        </w:rPr>
        <w:t xml:space="preserve">While the SROI </w:t>
      </w:r>
      <w:r w:rsidR="00354A4F" w:rsidRPr="00812FFB">
        <w:rPr>
          <w:sz w:val="20"/>
          <w:szCs w:val="20"/>
        </w:rPr>
        <w:t xml:space="preserve">of water investments is high at 2.43, the </w:t>
      </w:r>
      <w:r w:rsidR="008D2D99" w:rsidRPr="00812FFB">
        <w:rPr>
          <w:sz w:val="20"/>
          <w:szCs w:val="20"/>
        </w:rPr>
        <w:t xml:space="preserve">percentage contribution to net benefits from water is still rather low. This is despite our team forecasting </w:t>
      </w:r>
      <w:r w:rsidR="003C26AF" w:rsidRPr="00812FFB">
        <w:rPr>
          <w:sz w:val="20"/>
          <w:szCs w:val="20"/>
        </w:rPr>
        <w:t xml:space="preserve">a higher average </w:t>
      </w:r>
      <w:r w:rsidR="008D2D99" w:rsidRPr="00812FFB">
        <w:rPr>
          <w:sz w:val="20"/>
          <w:szCs w:val="20"/>
        </w:rPr>
        <w:t xml:space="preserve">cost of </w:t>
      </w:r>
      <w:r w:rsidR="003C26AF" w:rsidRPr="00812FFB">
        <w:rPr>
          <w:sz w:val="20"/>
          <w:szCs w:val="20"/>
        </w:rPr>
        <w:t xml:space="preserve">per </w:t>
      </w:r>
      <w:proofErr w:type="spellStart"/>
      <w:r w:rsidR="003C26AF" w:rsidRPr="00812FFB">
        <w:rPr>
          <w:sz w:val="20"/>
          <w:szCs w:val="20"/>
        </w:rPr>
        <w:t>liter</w:t>
      </w:r>
      <w:proofErr w:type="spellEnd"/>
      <w:r w:rsidR="003C26AF" w:rsidRPr="00812FFB">
        <w:rPr>
          <w:sz w:val="20"/>
          <w:szCs w:val="20"/>
        </w:rPr>
        <w:t xml:space="preserve"> of </w:t>
      </w:r>
      <w:r w:rsidR="008D2D99" w:rsidRPr="00812FFB">
        <w:rPr>
          <w:sz w:val="20"/>
          <w:szCs w:val="20"/>
        </w:rPr>
        <w:t xml:space="preserve">water </w:t>
      </w:r>
      <w:r w:rsidR="00A46D68" w:rsidRPr="00812FFB">
        <w:rPr>
          <w:sz w:val="20"/>
          <w:szCs w:val="20"/>
        </w:rPr>
        <w:t>due to water scar</w:t>
      </w:r>
      <w:r w:rsidR="0034723E" w:rsidRPr="00812FFB">
        <w:rPr>
          <w:sz w:val="20"/>
          <w:szCs w:val="20"/>
        </w:rPr>
        <w:t xml:space="preserve">city in Singapore as well as </w:t>
      </w:r>
      <w:r w:rsidR="00CC38CD" w:rsidRPr="00812FFB">
        <w:rPr>
          <w:sz w:val="20"/>
          <w:szCs w:val="20"/>
        </w:rPr>
        <w:t xml:space="preserve">announcements from PUB </w:t>
      </w:r>
      <w:r w:rsidR="00700BDB" w:rsidRPr="00812FFB">
        <w:rPr>
          <w:sz w:val="20"/>
          <w:szCs w:val="20"/>
        </w:rPr>
        <w:t>stating that water prices will be subject to increases in the near future.</w:t>
      </w:r>
      <w:r w:rsidR="008A4F24" w:rsidRPr="00812FFB">
        <w:rPr>
          <w:sz w:val="20"/>
          <w:szCs w:val="20"/>
        </w:rPr>
        <w:t xml:space="preserve"> (</w:t>
      </w:r>
      <w:r w:rsidR="0049695B" w:rsidRPr="00812FFB">
        <w:rPr>
          <w:sz w:val="20"/>
          <w:szCs w:val="20"/>
        </w:rPr>
        <w:t xml:space="preserve">MSE, </w:t>
      </w:r>
      <w:r w:rsidR="003A284E" w:rsidRPr="00812FFB">
        <w:rPr>
          <w:sz w:val="20"/>
          <w:szCs w:val="20"/>
        </w:rPr>
        <w:t>2023)</w:t>
      </w:r>
    </w:p>
    <w:p w14:paraId="0453258E" w14:textId="77777777" w:rsidR="00904897" w:rsidRPr="00A37DD2" w:rsidRDefault="00904897" w:rsidP="004E6388">
      <w:pPr>
        <w:jc w:val="both"/>
      </w:pPr>
    </w:p>
    <w:p w14:paraId="04D4FF42" w14:textId="13968EEE" w:rsidR="001B5403" w:rsidRPr="00A37DD2" w:rsidRDefault="00B54CE3" w:rsidP="004E6388">
      <w:pPr>
        <w:jc w:val="both"/>
      </w:pPr>
      <w:r>
        <w:rPr>
          <w:sz w:val="20"/>
          <w:szCs w:val="20"/>
        </w:rPr>
        <w:t>Mobility: D</w:t>
      </w:r>
      <w:r w:rsidR="00C407AF" w:rsidRPr="00B54CE3">
        <w:rPr>
          <w:sz w:val="20"/>
          <w:szCs w:val="20"/>
        </w:rPr>
        <w:t>espite forecasting numerous social</w:t>
      </w:r>
      <w:r w:rsidR="00C407AF">
        <w:t xml:space="preserve"> </w:t>
      </w:r>
      <w:r w:rsidR="00C407AF" w:rsidRPr="00B54CE3">
        <w:rPr>
          <w:sz w:val="20"/>
          <w:szCs w:val="20"/>
        </w:rPr>
        <w:t xml:space="preserve">benefits </w:t>
      </w:r>
      <w:r w:rsidR="00E7580B" w:rsidRPr="00B54CE3">
        <w:rPr>
          <w:sz w:val="20"/>
          <w:szCs w:val="20"/>
        </w:rPr>
        <w:t xml:space="preserve">obtained from increases in connectivity from the construction of the monorail, we find that </w:t>
      </w:r>
      <w:r w:rsidR="009C3AC5" w:rsidRPr="00B54CE3">
        <w:rPr>
          <w:sz w:val="20"/>
          <w:szCs w:val="20"/>
        </w:rPr>
        <w:t xml:space="preserve">it is not high enough to offset the </w:t>
      </w:r>
      <w:r w:rsidR="0049556E" w:rsidRPr="00B54CE3">
        <w:rPr>
          <w:sz w:val="20"/>
          <w:szCs w:val="20"/>
        </w:rPr>
        <w:t xml:space="preserve">maintenance costs from operating the monorail. In </w:t>
      </w:r>
      <w:r w:rsidR="00B97826" w:rsidRPr="00B54CE3">
        <w:rPr>
          <w:sz w:val="20"/>
          <w:szCs w:val="20"/>
        </w:rPr>
        <w:t xml:space="preserve">our breakdown of </w:t>
      </w:r>
      <w:r w:rsidR="00664038" w:rsidRPr="00B54CE3">
        <w:rPr>
          <w:sz w:val="20"/>
          <w:szCs w:val="20"/>
        </w:rPr>
        <w:t>maintenance costs, we observed that the cost</w:t>
      </w:r>
      <w:r w:rsidR="009E6499" w:rsidRPr="00B54CE3">
        <w:rPr>
          <w:sz w:val="20"/>
          <w:szCs w:val="20"/>
        </w:rPr>
        <w:t>s</w:t>
      </w:r>
      <w:r w:rsidR="00664038" w:rsidRPr="00B54CE3">
        <w:rPr>
          <w:sz w:val="20"/>
          <w:szCs w:val="20"/>
        </w:rPr>
        <w:t xml:space="preserve"> attributed to the monorail far exceed any other cost</w:t>
      </w:r>
      <w:r w:rsidR="00107F97" w:rsidRPr="00B54CE3">
        <w:rPr>
          <w:sz w:val="20"/>
          <w:szCs w:val="20"/>
        </w:rPr>
        <w:t xml:space="preserve">. </w:t>
      </w:r>
      <w:r w:rsidR="00ED6800" w:rsidRPr="00B54CE3">
        <w:rPr>
          <w:sz w:val="20"/>
          <w:szCs w:val="20"/>
        </w:rPr>
        <w:t xml:space="preserve">Despite this fact, the </w:t>
      </w:r>
      <w:r w:rsidR="00F8430C" w:rsidRPr="00B54CE3">
        <w:rPr>
          <w:sz w:val="20"/>
          <w:szCs w:val="20"/>
        </w:rPr>
        <w:t xml:space="preserve">SROI is only at -0.5. </w:t>
      </w:r>
      <w:r w:rsidR="008344A9" w:rsidRPr="00B54CE3">
        <w:rPr>
          <w:sz w:val="20"/>
          <w:szCs w:val="20"/>
        </w:rPr>
        <w:t xml:space="preserve">Furthermore, the net benefit reduction is less than 10%. It is not an exceedingly large loss that would warrant recommending </w:t>
      </w:r>
      <w:r w:rsidR="000005C6" w:rsidRPr="00B54CE3">
        <w:rPr>
          <w:sz w:val="20"/>
          <w:szCs w:val="20"/>
        </w:rPr>
        <w:t>its exclusion from the project.</w:t>
      </w:r>
    </w:p>
    <w:p w14:paraId="507FDCF9" w14:textId="49648AAF" w:rsidR="007A35B1" w:rsidRDefault="00BD6BB6" w:rsidP="007A35B1">
      <w:pPr>
        <w:spacing w:after="160" w:line="259" w:lineRule="auto"/>
      </w:pPr>
      <w:r w:rsidRPr="00812FFB">
        <w:rPr>
          <w:noProof/>
          <w:sz w:val="20"/>
          <w:szCs w:val="20"/>
        </w:rPr>
        <mc:AlternateContent>
          <mc:Choice Requires="wps">
            <w:drawing>
              <wp:anchor distT="0" distB="0" distL="114300" distR="114300" simplePos="0" relativeHeight="251658245" behindDoc="0" locked="0" layoutInCell="1" allowOverlap="1" wp14:anchorId="65933863" wp14:editId="09CF362F">
                <wp:simplePos x="0" y="0"/>
                <wp:positionH relativeFrom="margin">
                  <wp:posOffset>-101369</wp:posOffset>
                </wp:positionH>
                <wp:positionV relativeFrom="paragraph">
                  <wp:posOffset>-100965</wp:posOffset>
                </wp:positionV>
                <wp:extent cx="3429000" cy="635"/>
                <wp:effectExtent l="0" t="0" r="0" b="6350"/>
                <wp:wrapSquare wrapText="bothSides"/>
                <wp:docPr id="514698891" name="Text Box 514698891"/>
                <wp:cNvGraphicFramePr/>
                <a:graphic xmlns:a="http://schemas.openxmlformats.org/drawingml/2006/main">
                  <a:graphicData uri="http://schemas.microsoft.com/office/word/2010/wordprocessingShape">
                    <wps:wsp>
                      <wps:cNvSpPr txBox="1"/>
                      <wps:spPr>
                        <a:xfrm>
                          <a:off x="0" y="0"/>
                          <a:ext cx="3429000" cy="635"/>
                        </a:xfrm>
                        <a:prstGeom prst="rect">
                          <a:avLst/>
                        </a:prstGeom>
                        <a:solidFill>
                          <a:prstClr val="white"/>
                        </a:solidFill>
                        <a:ln>
                          <a:noFill/>
                        </a:ln>
                      </wps:spPr>
                      <wps:txbx>
                        <w:txbxContent>
                          <w:p w14:paraId="7B479B82" w14:textId="46EF33B3" w:rsidR="00BD6BB6" w:rsidRPr="00945AE3" w:rsidRDefault="00945AE3" w:rsidP="00BD6BB6">
                            <w:pPr>
                              <w:pStyle w:val="Caption"/>
                              <w:jc w:val="center"/>
                              <w:rPr>
                                <w:b/>
                                <w:bCs/>
                                <w:noProof/>
                                <w:color w:val="auto"/>
                                <w:sz w:val="20"/>
                                <w:szCs w:val="20"/>
                                <w:u w:val="single"/>
                                <w:lang w:val="en-US"/>
                              </w:rPr>
                            </w:pPr>
                            <w:r>
                              <w:rPr>
                                <w:color w:val="auto"/>
                                <w:sz w:val="20"/>
                                <w:szCs w:val="20"/>
                                <w:u w:val="single"/>
                                <w:lang w:val="en-US"/>
                              </w:rPr>
                              <w:t>Figure 7: SROI by Key 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33863" id="Text Box 514698891" o:spid="_x0000_s1027" type="#_x0000_t202" style="position:absolute;margin-left:-8pt;margin-top:-7.95pt;width:270pt;height:.05pt;z-index:251658245;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" stroked="f">
                <v:textbox style="mso-fit-shape-to-text:t" inset="0,0,0,0">
                  <w:txbxContent>
                    <w:p w14:paraId="7B479B82" w14:textId="46EF33B3" w:rsidR="00BD6BB6" w:rsidRPr="00945AE3" w:rsidRDefault="00945AE3" w:rsidP="00BD6BB6">
                      <w:pPr>
                        <w:pStyle w:val="Caption"/>
                        <w:jc w:val="center"/>
                        <w:rPr>
                          <w:b/>
                          <w:bCs/>
                          <w:noProof/>
                          <w:color w:val="auto"/>
                          <w:sz w:val="20"/>
                          <w:szCs w:val="20"/>
                          <w:u w:val="single"/>
                          <w:lang w:val="en-US"/>
                        </w:rPr>
                      </w:pPr>
                      <w:r>
                        <w:rPr>
                          <w:color w:val="auto"/>
                          <w:sz w:val="20"/>
                          <w:szCs w:val="20"/>
                          <w:u w:val="single"/>
                          <w:lang w:val="en-US"/>
                        </w:rPr>
                        <w:t>Figure 7: SROI by Key Element</w:t>
                      </w:r>
                    </w:p>
                  </w:txbxContent>
                </v:textbox>
                <w10:wrap type="square" anchorx="margin"/>
              </v:shape>
            </w:pict>
          </mc:Fallback>
        </mc:AlternateContent>
      </w:r>
    </w:p>
    <w:p w14:paraId="010FA25E" w14:textId="4F6E2B4C" w:rsidR="006E645C" w:rsidRPr="007A35B1" w:rsidRDefault="0011292D" w:rsidP="007A35B1">
      <w:pPr>
        <w:pStyle w:val="Heading1"/>
      </w:pPr>
      <w:bookmarkStart w:id="18" w:name="_Toc150204552"/>
      <w:r w:rsidRPr="007A35B1">
        <w:t>5.</w:t>
      </w:r>
      <w:r w:rsidR="2A1B9C23" w:rsidRPr="007A35B1">
        <w:t xml:space="preserve"> S</w:t>
      </w:r>
      <w:r w:rsidRPr="007A35B1">
        <w:t xml:space="preserve">ensitivity and </w:t>
      </w:r>
      <w:r w:rsidR="2F258BE5" w:rsidRPr="007A35B1">
        <w:t>S</w:t>
      </w:r>
      <w:r w:rsidRPr="007A35B1">
        <w:t xml:space="preserve">cenario </w:t>
      </w:r>
      <w:r w:rsidR="65D05B85" w:rsidRPr="007A35B1">
        <w:t>A</w:t>
      </w:r>
      <w:r w:rsidRPr="007A35B1">
        <w:t>nalysis</w:t>
      </w:r>
      <w:bookmarkEnd w:id="18"/>
    </w:p>
    <w:p w14:paraId="5320B43F" w14:textId="4F5B3664" w:rsidR="006E645C" w:rsidRPr="00812FFB" w:rsidRDefault="00B15482" w:rsidP="004E6388">
      <w:pPr>
        <w:jc w:val="both"/>
        <w:rPr>
          <w:sz w:val="20"/>
          <w:szCs w:val="20"/>
        </w:rPr>
      </w:pPr>
      <w:r w:rsidRPr="00812FFB">
        <w:rPr>
          <w:sz w:val="20"/>
          <w:szCs w:val="20"/>
        </w:rPr>
        <w:t xml:space="preserve">To ensure the robustness of the SROI analysis, sensitivity </w:t>
      </w:r>
      <w:r w:rsidR="00C14D59" w:rsidRPr="00812FFB">
        <w:rPr>
          <w:sz w:val="20"/>
          <w:szCs w:val="20"/>
        </w:rPr>
        <w:t xml:space="preserve">analysis </w:t>
      </w:r>
      <w:r w:rsidRPr="00812FFB">
        <w:rPr>
          <w:sz w:val="20"/>
          <w:szCs w:val="20"/>
        </w:rPr>
        <w:t xml:space="preserve">and scenario analysis were performed. </w:t>
      </w:r>
    </w:p>
    <w:p w14:paraId="0D70E15F" w14:textId="77777777" w:rsidR="00904897" w:rsidRPr="00812FFB" w:rsidRDefault="00904897" w:rsidP="004E6388">
      <w:pPr>
        <w:jc w:val="both"/>
        <w:rPr>
          <w:sz w:val="20"/>
          <w:szCs w:val="20"/>
        </w:rPr>
      </w:pPr>
    </w:p>
    <w:p w14:paraId="75987535" w14:textId="419641C5" w:rsidR="006E645C" w:rsidRPr="00812FFB" w:rsidRDefault="007A61E3" w:rsidP="00904897">
      <w:pPr>
        <w:pStyle w:val="Heading2"/>
        <w:numPr>
          <w:ilvl w:val="0"/>
          <w:numId w:val="0"/>
        </w:numPr>
        <w:ind w:left="360" w:hanging="360"/>
        <w:rPr>
          <w:sz w:val="20"/>
          <w:szCs w:val="20"/>
        </w:rPr>
      </w:pPr>
      <w:bookmarkStart w:id="19" w:name="_Toc150204553"/>
      <w:r w:rsidRPr="00812FFB">
        <w:rPr>
          <w:sz w:val="20"/>
          <w:szCs w:val="20"/>
        </w:rPr>
        <w:t xml:space="preserve">5.1 </w:t>
      </w:r>
      <w:r w:rsidR="75D4C1C5" w:rsidRPr="00812FFB">
        <w:rPr>
          <w:sz w:val="20"/>
          <w:szCs w:val="20"/>
        </w:rPr>
        <w:t>S</w:t>
      </w:r>
      <w:r w:rsidRPr="00812FFB">
        <w:rPr>
          <w:sz w:val="20"/>
          <w:szCs w:val="20"/>
        </w:rPr>
        <w:t xml:space="preserve">ensitivity </w:t>
      </w:r>
      <w:r w:rsidR="63398AC6" w:rsidRPr="00812FFB">
        <w:rPr>
          <w:sz w:val="20"/>
          <w:szCs w:val="20"/>
        </w:rPr>
        <w:t>Analysis</w:t>
      </w:r>
      <w:bookmarkEnd w:id="19"/>
    </w:p>
    <w:p w14:paraId="62E65D08" w14:textId="1707A468" w:rsidR="001B295C" w:rsidRPr="00812FFB" w:rsidRDefault="00F1200E" w:rsidP="004E6388">
      <w:pPr>
        <w:jc w:val="both"/>
        <w:rPr>
          <w:sz w:val="20"/>
          <w:szCs w:val="20"/>
        </w:rPr>
      </w:pPr>
      <w:r w:rsidRPr="00812FFB">
        <w:rPr>
          <w:sz w:val="20"/>
          <w:szCs w:val="20"/>
        </w:rPr>
        <w:t>In order to identify the key factors influencing the projected outcomes for the NUS Campus Masterplan, several separate sensitivity analyses were carried out for global project assumptions and category specific assumptions, ceteris paribus.</w:t>
      </w:r>
      <w:r w:rsidR="002015A5" w:rsidRPr="00812FFB">
        <w:rPr>
          <w:sz w:val="20"/>
          <w:szCs w:val="20"/>
        </w:rPr>
        <w:t xml:space="preserve"> We elaborate on the choice of variables for our analysis below.</w:t>
      </w:r>
    </w:p>
    <w:p w14:paraId="76379315" w14:textId="77777777" w:rsidR="00904897" w:rsidRPr="00812FFB" w:rsidRDefault="00904897" w:rsidP="004E6388">
      <w:pPr>
        <w:jc w:val="both"/>
        <w:rPr>
          <w:sz w:val="20"/>
          <w:szCs w:val="20"/>
        </w:rPr>
      </w:pPr>
    </w:p>
    <w:p w14:paraId="5294515E" w14:textId="2B18358D" w:rsidR="005530F8" w:rsidRPr="00812FFB" w:rsidRDefault="005530F8" w:rsidP="004E6388">
      <w:pPr>
        <w:jc w:val="both"/>
        <w:rPr>
          <w:sz w:val="20"/>
          <w:szCs w:val="20"/>
        </w:rPr>
      </w:pPr>
      <w:r w:rsidRPr="00812FFB">
        <w:rPr>
          <w:b/>
          <w:bCs/>
          <w:sz w:val="20"/>
          <w:szCs w:val="20"/>
        </w:rPr>
        <w:t>Cost of Capital:</w:t>
      </w:r>
      <w:r w:rsidR="008C24C9" w:rsidRPr="00812FFB">
        <w:rPr>
          <w:sz w:val="20"/>
          <w:szCs w:val="20"/>
        </w:rPr>
        <w:t xml:space="preserve"> As mentioned earlier, </w:t>
      </w:r>
      <w:r w:rsidR="001236B7" w:rsidRPr="00812FFB">
        <w:rPr>
          <w:sz w:val="20"/>
          <w:szCs w:val="20"/>
        </w:rPr>
        <w:t>the cost of capital in SROI analysis typically takes on a wide range</w:t>
      </w:r>
      <w:r w:rsidR="00853BC0" w:rsidRPr="00812FFB">
        <w:rPr>
          <w:sz w:val="20"/>
          <w:szCs w:val="20"/>
        </w:rPr>
        <w:t xml:space="preserve"> and could drastically </w:t>
      </w:r>
      <w:r w:rsidR="0018133D" w:rsidRPr="00812FFB">
        <w:rPr>
          <w:sz w:val="20"/>
          <w:szCs w:val="20"/>
        </w:rPr>
        <w:t>change the results of the SROI analysis (</w:t>
      </w:r>
      <w:r w:rsidR="00222FAF" w:rsidRPr="00812FFB">
        <w:rPr>
          <w:bCs/>
          <w:sz w:val="20"/>
          <w:szCs w:val="20"/>
        </w:rPr>
        <w:t>Olsen &amp; Lingane, 2003)</w:t>
      </w:r>
      <w:r w:rsidR="00222FAF" w:rsidRPr="00812FFB">
        <w:rPr>
          <w:b/>
          <w:sz w:val="20"/>
          <w:szCs w:val="20"/>
        </w:rPr>
        <w:t>.</w:t>
      </w:r>
      <w:r w:rsidR="0018133D" w:rsidRPr="00812FFB">
        <w:rPr>
          <w:sz w:val="20"/>
          <w:szCs w:val="20"/>
        </w:rPr>
        <w:t xml:space="preserve"> Hence,</w:t>
      </w:r>
      <w:r w:rsidR="001236B7" w:rsidRPr="00812FFB">
        <w:rPr>
          <w:sz w:val="20"/>
          <w:szCs w:val="20"/>
        </w:rPr>
        <w:t xml:space="preserve"> we </w:t>
      </w:r>
      <w:r w:rsidR="0016557D" w:rsidRPr="00812FFB">
        <w:rPr>
          <w:sz w:val="20"/>
          <w:szCs w:val="20"/>
        </w:rPr>
        <w:t>have decided</w:t>
      </w:r>
      <w:r w:rsidR="001236B7" w:rsidRPr="00812FFB">
        <w:rPr>
          <w:sz w:val="20"/>
          <w:szCs w:val="20"/>
        </w:rPr>
        <w:t xml:space="preserve"> to vary the cost of c</w:t>
      </w:r>
      <w:r w:rsidR="00F3414C" w:rsidRPr="00812FFB">
        <w:rPr>
          <w:sz w:val="20"/>
          <w:szCs w:val="20"/>
        </w:rPr>
        <w:t xml:space="preserve">apital by </w:t>
      </w:r>
      <m:oMath>
        <m:r>
          <w:rPr>
            <w:rFonts w:ascii="Cambria Math" w:hAnsi="Cambria Math"/>
            <w:sz w:val="20"/>
            <w:szCs w:val="20"/>
          </w:rPr>
          <m:t>±</m:t>
        </m:r>
      </m:oMath>
      <w:r w:rsidR="00F3414C" w:rsidRPr="00812FFB">
        <w:rPr>
          <w:sz w:val="20"/>
          <w:szCs w:val="20"/>
        </w:rPr>
        <w:t>3%</w:t>
      </w:r>
      <w:r w:rsidR="0018133D" w:rsidRPr="00812FFB">
        <w:rPr>
          <w:sz w:val="20"/>
          <w:szCs w:val="20"/>
        </w:rPr>
        <w:t>.</w:t>
      </w:r>
    </w:p>
    <w:p w14:paraId="5A6CC7D0" w14:textId="77777777" w:rsidR="00904897" w:rsidRPr="00812FFB" w:rsidRDefault="00904897" w:rsidP="004E6388">
      <w:pPr>
        <w:jc w:val="both"/>
        <w:rPr>
          <w:sz w:val="20"/>
          <w:szCs w:val="20"/>
        </w:rPr>
      </w:pPr>
    </w:p>
    <w:p w14:paraId="70145271" w14:textId="16714188" w:rsidR="005530F8" w:rsidRPr="00812FFB" w:rsidRDefault="005530F8" w:rsidP="004E6388">
      <w:pPr>
        <w:jc w:val="both"/>
        <w:rPr>
          <w:sz w:val="20"/>
          <w:szCs w:val="20"/>
        </w:rPr>
      </w:pPr>
      <w:r w:rsidRPr="00812FFB">
        <w:rPr>
          <w:b/>
          <w:bCs/>
          <w:sz w:val="20"/>
          <w:szCs w:val="20"/>
        </w:rPr>
        <w:t>Public Space</w:t>
      </w:r>
      <w:r w:rsidR="002A71DD" w:rsidRPr="00812FFB">
        <w:rPr>
          <w:b/>
          <w:bCs/>
          <w:sz w:val="20"/>
          <w:szCs w:val="20"/>
        </w:rPr>
        <w:t xml:space="preserve"> and Greenery</w:t>
      </w:r>
      <w:r w:rsidRPr="00812FFB">
        <w:rPr>
          <w:b/>
          <w:bCs/>
          <w:sz w:val="20"/>
          <w:szCs w:val="20"/>
        </w:rPr>
        <w:t xml:space="preserve"> Participation:</w:t>
      </w:r>
      <w:r w:rsidR="00F3414C" w:rsidRPr="00812FFB">
        <w:rPr>
          <w:sz w:val="20"/>
          <w:szCs w:val="20"/>
        </w:rPr>
        <w:t xml:space="preserve"> in our analysis of social benefits </w:t>
      </w:r>
      <w:r w:rsidR="008F5281" w:rsidRPr="00812FFB">
        <w:rPr>
          <w:sz w:val="20"/>
          <w:szCs w:val="20"/>
        </w:rPr>
        <w:t>accrued from the construction of public spaces</w:t>
      </w:r>
      <w:r w:rsidR="009A327B" w:rsidRPr="00812FFB">
        <w:rPr>
          <w:sz w:val="20"/>
          <w:szCs w:val="20"/>
        </w:rPr>
        <w:t xml:space="preserve"> and green areas</w:t>
      </w:r>
      <w:r w:rsidR="008F5281" w:rsidRPr="00812FFB">
        <w:rPr>
          <w:sz w:val="20"/>
          <w:szCs w:val="20"/>
        </w:rPr>
        <w:t xml:space="preserve">, we estimate that only a certain percentage of the total population of NUS will accrue the benefits. This is because not all </w:t>
      </w:r>
      <w:r w:rsidR="002A71DD" w:rsidRPr="00812FFB">
        <w:rPr>
          <w:sz w:val="20"/>
          <w:szCs w:val="20"/>
        </w:rPr>
        <w:t xml:space="preserve">students and staff will enter campus five times a week or even frequently. Furthermore, the existence of abundant public space does not necessarily imply that </w:t>
      </w:r>
      <w:r w:rsidR="009A327B" w:rsidRPr="00812FFB">
        <w:rPr>
          <w:sz w:val="20"/>
          <w:szCs w:val="20"/>
        </w:rPr>
        <w:t xml:space="preserve">students or staff will </w:t>
      </w:r>
      <w:r w:rsidR="000D04A1" w:rsidRPr="00812FFB">
        <w:rPr>
          <w:sz w:val="20"/>
          <w:szCs w:val="20"/>
        </w:rPr>
        <w:t xml:space="preserve">fully utilize </w:t>
      </w:r>
      <w:r w:rsidR="009A327B" w:rsidRPr="00812FFB">
        <w:rPr>
          <w:sz w:val="20"/>
          <w:szCs w:val="20"/>
        </w:rPr>
        <w:t xml:space="preserve">the </w:t>
      </w:r>
      <w:r w:rsidR="00016C2E" w:rsidRPr="00812FFB">
        <w:rPr>
          <w:sz w:val="20"/>
          <w:szCs w:val="20"/>
        </w:rPr>
        <w:t>area</w:t>
      </w:r>
      <w:r w:rsidR="000D04A1" w:rsidRPr="00812FFB">
        <w:rPr>
          <w:sz w:val="20"/>
          <w:szCs w:val="20"/>
        </w:rPr>
        <w:t>s</w:t>
      </w:r>
      <w:r w:rsidR="00016C2E" w:rsidRPr="00812FFB">
        <w:rPr>
          <w:sz w:val="20"/>
          <w:szCs w:val="20"/>
        </w:rPr>
        <w:t xml:space="preserve"> to participate in social and recreational activities.</w:t>
      </w:r>
      <w:r w:rsidR="00D96E62" w:rsidRPr="00812FFB">
        <w:rPr>
          <w:sz w:val="20"/>
          <w:szCs w:val="20"/>
        </w:rPr>
        <w:t xml:space="preserve"> </w:t>
      </w:r>
      <w:r w:rsidR="00016C2E" w:rsidRPr="00812FFB">
        <w:rPr>
          <w:sz w:val="20"/>
          <w:szCs w:val="20"/>
        </w:rPr>
        <w:t xml:space="preserve">With these considerations in mind, we decide to vary the participation rate from public spaces and greenery </w:t>
      </w:r>
      <w:r w:rsidR="000D04A1" w:rsidRPr="00812FFB">
        <w:rPr>
          <w:sz w:val="20"/>
          <w:szCs w:val="20"/>
        </w:rPr>
        <w:t xml:space="preserve">by </w:t>
      </w:r>
      <m:oMath>
        <m:r>
          <w:rPr>
            <w:rFonts w:ascii="Cambria Math" w:hAnsi="Cambria Math"/>
            <w:sz w:val="20"/>
            <w:szCs w:val="20"/>
          </w:rPr>
          <m:t>±</m:t>
        </m:r>
      </m:oMath>
      <w:r w:rsidR="0016557D" w:rsidRPr="00812FFB">
        <w:rPr>
          <w:sz w:val="20"/>
          <w:szCs w:val="20"/>
        </w:rPr>
        <w:t>20%.</w:t>
      </w:r>
    </w:p>
    <w:p w14:paraId="4CFCD0A1" w14:textId="77777777" w:rsidR="00904897" w:rsidRPr="00812FFB" w:rsidRDefault="00904897" w:rsidP="004E6388">
      <w:pPr>
        <w:jc w:val="both"/>
        <w:rPr>
          <w:sz w:val="20"/>
          <w:szCs w:val="20"/>
        </w:rPr>
      </w:pPr>
    </w:p>
    <w:p w14:paraId="5D4E51F7" w14:textId="7B3FDEB7" w:rsidR="00B40855" w:rsidRPr="00812FFB" w:rsidRDefault="00B40855" w:rsidP="004E6388">
      <w:pPr>
        <w:jc w:val="both"/>
        <w:rPr>
          <w:sz w:val="20"/>
          <w:szCs w:val="20"/>
        </w:rPr>
      </w:pPr>
      <w:r w:rsidRPr="00812FFB">
        <w:rPr>
          <w:b/>
          <w:bCs/>
          <w:sz w:val="20"/>
          <w:szCs w:val="20"/>
        </w:rPr>
        <w:t>Solar PV, Public Space, Greenery investments:</w:t>
      </w:r>
      <w:r w:rsidRPr="00812FFB">
        <w:rPr>
          <w:sz w:val="20"/>
          <w:szCs w:val="20"/>
        </w:rPr>
        <w:t xml:space="preserve"> The </w:t>
      </w:r>
      <w:r w:rsidR="00ED1482" w:rsidRPr="00812FFB">
        <w:rPr>
          <w:sz w:val="20"/>
          <w:szCs w:val="20"/>
        </w:rPr>
        <w:t xml:space="preserve">costs of these investments </w:t>
      </w:r>
      <w:r w:rsidR="001F73E2" w:rsidRPr="00812FFB">
        <w:rPr>
          <w:sz w:val="20"/>
          <w:szCs w:val="20"/>
        </w:rPr>
        <w:t xml:space="preserve">are significant in our analysis – </w:t>
      </w:r>
      <w:r w:rsidR="00CD54AF" w:rsidRPr="00812FFB">
        <w:rPr>
          <w:sz w:val="20"/>
          <w:szCs w:val="20"/>
        </w:rPr>
        <w:t xml:space="preserve">taking </w:t>
      </w:r>
      <w:r w:rsidR="001F73E2" w:rsidRPr="00812FFB">
        <w:rPr>
          <w:sz w:val="20"/>
          <w:szCs w:val="20"/>
        </w:rPr>
        <w:t xml:space="preserve">up </w:t>
      </w:r>
      <w:r w:rsidR="00A44690" w:rsidRPr="00812FFB">
        <w:rPr>
          <w:sz w:val="20"/>
          <w:szCs w:val="20"/>
        </w:rPr>
        <w:t>$</w:t>
      </w:r>
      <w:r w:rsidR="001F73E2" w:rsidRPr="00812FFB">
        <w:rPr>
          <w:sz w:val="20"/>
          <w:szCs w:val="20"/>
        </w:rPr>
        <w:t>422,785</w:t>
      </w:r>
      <w:r w:rsidR="00CD54AF" w:rsidRPr="00812FFB">
        <w:rPr>
          <w:sz w:val="20"/>
          <w:szCs w:val="20"/>
        </w:rPr>
        <w:t xml:space="preserve">,388.13, </w:t>
      </w:r>
      <w:r w:rsidR="00A44690" w:rsidRPr="00812FFB">
        <w:rPr>
          <w:sz w:val="20"/>
          <w:szCs w:val="20"/>
        </w:rPr>
        <w:t>$</w:t>
      </w:r>
      <w:r w:rsidR="00CD54AF" w:rsidRPr="00812FFB">
        <w:rPr>
          <w:sz w:val="20"/>
          <w:szCs w:val="20"/>
        </w:rPr>
        <w:t xml:space="preserve">54,048,920.29, and </w:t>
      </w:r>
      <w:r w:rsidR="00A44690" w:rsidRPr="00812FFB">
        <w:rPr>
          <w:sz w:val="20"/>
          <w:szCs w:val="20"/>
        </w:rPr>
        <w:t>$</w:t>
      </w:r>
      <w:r w:rsidR="00CD54AF" w:rsidRPr="00812FFB">
        <w:rPr>
          <w:sz w:val="20"/>
          <w:szCs w:val="20"/>
        </w:rPr>
        <w:t xml:space="preserve">24,293,849,86 worth of financial resources in our base case. Furthermore, </w:t>
      </w:r>
      <w:r w:rsidR="00D116F8" w:rsidRPr="00812FFB">
        <w:rPr>
          <w:sz w:val="20"/>
          <w:szCs w:val="20"/>
        </w:rPr>
        <w:t xml:space="preserve">these costs </w:t>
      </w:r>
      <w:r w:rsidR="00DF4649" w:rsidRPr="00812FFB">
        <w:rPr>
          <w:sz w:val="20"/>
          <w:szCs w:val="20"/>
        </w:rPr>
        <w:t xml:space="preserve">were estimated using </w:t>
      </w:r>
      <w:r w:rsidR="00C55A69" w:rsidRPr="00812FFB">
        <w:rPr>
          <w:sz w:val="20"/>
          <w:szCs w:val="20"/>
        </w:rPr>
        <w:t>online information</w:t>
      </w:r>
      <w:r w:rsidR="00FC6B67" w:rsidRPr="00812FFB">
        <w:rPr>
          <w:sz w:val="20"/>
          <w:szCs w:val="20"/>
        </w:rPr>
        <w:t xml:space="preserve"> which may or may not be reliable</w:t>
      </w:r>
      <w:r w:rsidR="00C232C4" w:rsidRPr="00812FFB">
        <w:rPr>
          <w:sz w:val="20"/>
          <w:szCs w:val="20"/>
        </w:rPr>
        <w:t xml:space="preserve">. For example, we estimate that the cost of planting a single tree in NUS is $250 – which is a figure </w:t>
      </w:r>
      <w:r w:rsidR="006A79C6" w:rsidRPr="00812FFB">
        <w:rPr>
          <w:sz w:val="20"/>
          <w:szCs w:val="20"/>
        </w:rPr>
        <w:t xml:space="preserve">benchmarked off what </w:t>
      </w:r>
      <w:proofErr w:type="spellStart"/>
      <w:r w:rsidR="006A79C6" w:rsidRPr="00812FFB">
        <w:rPr>
          <w:sz w:val="20"/>
          <w:szCs w:val="20"/>
        </w:rPr>
        <w:t>Nparks</w:t>
      </w:r>
      <w:proofErr w:type="spellEnd"/>
      <w:r w:rsidR="006A79C6" w:rsidRPr="00812FFB">
        <w:rPr>
          <w:sz w:val="20"/>
          <w:szCs w:val="20"/>
        </w:rPr>
        <w:t xml:space="preserve"> will charge to assist in planting a tree</w:t>
      </w:r>
      <w:r w:rsidR="00956765" w:rsidRPr="00812FFB">
        <w:rPr>
          <w:sz w:val="20"/>
          <w:szCs w:val="20"/>
        </w:rPr>
        <w:t xml:space="preserve"> (</w:t>
      </w:r>
      <w:r w:rsidR="000649A6" w:rsidRPr="00812FFB">
        <w:rPr>
          <w:bCs/>
          <w:sz w:val="20"/>
          <w:szCs w:val="20"/>
        </w:rPr>
        <w:t>Simon</w:t>
      </w:r>
      <w:r w:rsidR="006A682E" w:rsidRPr="00812FFB">
        <w:rPr>
          <w:bCs/>
          <w:sz w:val="20"/>
          <w:szCs w:val="20"/>
        </w:rPr>
        <w:t xml:space="preserve"> 2022)</w:t>
      </w:r>
      <w:r w:rsidR="00956765" w:rsidRPr="00812FFB">
        <w:rPr>
          <w:sz w:val="20"/>
          <w:szCs w:val="20"/>
        </w:rPr>
        <w:t xml:space="preserve">. </w:t>
      </w:r>
      <w:r w:rsidR="006A79C6" w:rsidRPr="00812FFB">
        <w:rPr>
          <w:sz w:val="20"/>
          <w:szCs w:val="20"/>
        </w:rPr>
        <w:t xml:space="preserve">Yet another example of </w:t>
      </w:r>
      <w:r w:rsidR="00A8205D" w:rsidRPr="00812FFB">
        <w:rPr>
          <w:sz w:val="20"/>
          <w:szCs w:val="20"/>
        </w:rPr>
        <w:t xml:space="preserve">an estimate of our costs is the solar </w:t>
      </w:r>
      <w:r w:rsidR="001C7FCB" w:rsidRPr="00812FFB">
        <w:rPr>
          <w:sz w:val="20"/>
          <w:szCs w:val="20"/>
        </w:rPr>
        <w:t xml:space="preserve">PV </w:t>
      </w:r>
      <w:r w:rsidR="0011497A" w:rsidRPr="00812FFB">
        <w:rPr>
          <w:sz w:val="20"/>
          <w:szCs w:val="20"/>
        </w:rPr>
        <w:t>capacity factors</w:t>
      </w:r>
      <w:r w:rsidR="008A2C0E" w:rsidRPr="00812FFB">
        <w:rPr>
          <w:sz w:val="20"/>
          <w:szCs w:val="20"/>
        </w:rPr>
        <w:t>,</w:t>
      </w:r>
      <w:r w:rsidR="0011497A" w:rsidRPr="00812FFB">
        <w:rPr>
          <w:sz w:val="20"/>
          <w:szCs w:val="20"/>
        </w:rPr>
        <w:t xml:space="preserve"> which significantly affect the Kilowatt peak estimates </w:t>
      </w:r>
      <w:r w:rsidR="001C7FCB" w:rsidRPr="00812FFB">
        <w:rPr>
          <w:sz w:val="20"/>
          <w:szCs w:val="20"/>
        </w:rPr>
        <w:t>used in our calculation</w:t>
      </w:r>
      <w:r w:rsidR="00956765" w:rsidRPr="00812FFB">
        <w:rPr>
          <w:sz w:val="20"/>
          <w:szCs w:val="20"/>
        </w:rPr>
        <w:t>.</w:t>
      </w:r>
    </w:p>
    <w:p w14:paraId="3CD8E882" w14:textId="77777777" w:rsidR="00904897" w:rsidRPr="00812FFB" w:rsidRDefault="00904897" w:rsidP="004E6388">
      <w:pPr>
        <w:jc w:val="both"/>
        <w:rPr>
          <w:sz w:val="20"/>
          <w:szCs w:val="20"/>
        </w:rPr>
      </w:pPr>
    </w:p>
    <w:p w14:paraId="5B34A44C" w14:textId="7CD36DB4" w:rsidR="009C08EC" w:rsidRPr="00812FFB" w:rsidRDefault="009C08EC" w:rsidP="004E6388">
      <w:pPr>
        <w:jc w:val="both"/>
        <w:rPr>
          <w:sz w:val="20"/>
          <w:szCs w:val="20"/>
        </w:rPr>
      </w:pPr>
      <w:r w:rsidRPr="00812FFB">
        <w:rPr>
          <w:b/>
          <w:bCs/>
          <w:sz w:val="20"/>
          <w:szCs w:val="20"/>
        </w:rPr>
        <w:t>Monorail Maintenance:</w:t>
      </w:r>
      <w:r w:rsidR="000D04A1" w:rsidRPr="00812FFB">
        <w:rPr>
          <w:sz w:val="20"/>
          <w:szCs w:val="20"/>
        </w:rPr>
        <w:t xml:space="preserve"> Our monorail maintenance cost per </w:t>
      </w:r>
      <w:proofErr w:type="spellStart"/>
      <w:r w:rsidR="000D04A1" w:rsidRPr="00812FFB">
        <w:rPr>
          <w:sz w:val="20"/>
          <w:szCs w:val="20"/>
        </w:rPr>
        <w:t>kilometer</w:t>
      </w:r>
      <w:proofErr w:type="spellEnd"/>
      <w:r w:rsidR="000D04A1" w:rsidRPr="00812FFB">
        <w:rPr>
          <w:sz w:val="20"/>
          <w:szCs w:val="20"/>
        </w:rPr>
        <w:t xml:space="preserve"> is estimated using an overseas study of monorail costs from another country. </w:t>
      </w:r>
      <w:r w:rsidR="00173EF6" w:rsidRPr="00812FFB">
        <w:rPr>
          <w:sz w:val="20"/>
          <w:szCs w:val="20"/>
        </w:rPr>
        <w:t>Different</w:t>
      </w:r>
      <w:r w:rsidR="000D04A1" w:rsidRPr="00812FFB">
        <w:rPr>
          <w:sz w:val="20"/>
          <w:szCs w:val="20"/>
        </w:rPr>
        <w:t xml:space="preserve"> </w:t>
      </w:r>
      <w:r w:rsidR="00365D01" w:rsidRPr="00812FFB">
        <w:rPr>
          <w:sz w:val="20"/>
          <w:szCs w:val="20"/>
        </w:rPr>
        <w:t>monorail projects have different cost profiles</w:t>
      </w:r>
      <w:r w:rsidR="00173EF6" w:rsidRPr="00812FFB">
        <w:rPr>
          <w:sz w:val="20"/>
          <w:szCs w:val="20"/>
        </w:rPr>
        <w:t xml:space="preserve"> due to varying monorail specifications (</w:t>
      </w:r>
      <w:proofErr w:type="spellStart"/>
      <w:r w:rsidR="007739EF" w:rsidRPr="00812FFB">
        <w:rPr>
          <w:sz w:val="20"/>
          <w:szCs w:val="20"/>
        </w:rPr>
        <w:t>Yildizhan</w:t>
      </w:r>
      <w:proofErr w:type="spellEnd"/>
      <w:r w:rsidR="007739EF" w:rsidRPr="00812FFB">
        <w:rPr>
          <w:sz w:val="20"/>
          <w:szCs w:val="20"/>
        </w:rPr>
        <w:t xml:space="preserve"> &amp; </w:t>
      </w:r>
      <w:proofErr w:type="spellStart"/>
      <w:r w:rsidR="007739EF" w:rsidRPr="00812FFB">
        <w:rPr>
          <w:sz w:val="20"/>
          <w:szCs w:val="20"/>
        </w:rPr>
        <w:t>Karacasu</w:t>
      </w:r>
      <w:proofErr w:type="spellEnd"/>
      <w:r w:rsidR="007739EF" w:rsidRPr="00812FFB">
        <w:rPr>
          <w:sz w:val="20"/>
          <w:szCs w:val="20"/>
        </w:rPr>
        <w:t>, 2022). Hence,</w:t>
      </w:r>
      <w:r w:rsidR="00173EF6" w:rsidRPr="00812FFB">
        <w:rPr>
          <w:sz w:val="20"/>
          <w:szCs w:val="20"/>
        </w:rPr>
        <w:t xml:space="preserve"> we </w:t>
      </w:r>
      <w:r w:rsidR="00365D01" w:rsidRPr="00812FFB">
        <w:rPr>
          <w:sz w:val="20"/>
          <w:szCs w:val="20"/>
        </w:rPr>
        <w:t xml:space="preserve">decide to vary the cost of monorail maintenance by </w:t>
      </w:r>
      <m:oMath>
        <m:r>
          <w:rPr>
            <w:rFonts w:ascii="Cambria Math" w:hAnsi="Cambria Math"/>
            <w:sz w:val="20"/>
            <w:szCs w:val="20"/>
          </w:rPr>
          <m:t>±</m:t>
        </m:r>
      </m:oMath>
      <w:r w:rsidR="00173EF6" w:rsidRPr="00812FFB">
        <w:rPr>
          <w:sz w:val="20"/>
          <w:szCs w:val="20"/>
        </w:rPr>
        <w:t>25</w:t>
      </w:r>
      <w:r w:rsidR="00365D01" w:rsidRPr="00812FFB">
        <w:rPr>
          <w:sz w:val="20"/>
          <w:szCs w:val="20"/>
        </w:rPr>
        <w:t>%</w:t>
      </w:r>
    </w:p>
    <w:p w14:paraId="41A9A1E0" w14:textId="77777777" w:rsidR="00904897" w:rsidRPr="00812FFB" w:rsidRDefault="00904897" w:rsidP="004E6388">
      <w:pPr>
        <w:jc w:val="both"/>
        <w:rPr>
          <w:sz w:val="20"/>
          <w:szCs w:val="20"/>
        </w:rPr>
      </w:pPr>
    </w:p>
    <w:p w14:paraId="55649B63" w14:textId="06769B47" w:rsidR="00901199" w:rsidRPr="00812FFB" w:rsidRDefault="00901199" w:rsidP="00901199">
      <w:pPr>
        <w:jc w:val="center"/>
        <w:rPr>
          <w:sz w:val="20"/>
          <w:szCs w:val="20"/>
        </w:rPr>
      </w:pPr>
      <w:r w:rsidRPr="00812FFB">
        <w:rPr>
          <w:noProof/>
          <w:sz w:val="20"/>
          <w:szCs w:val="20"/>
        </w:rPr>
        <mc:AlternateContent>
          <mc:Choice Requires="wpg">
            <w:drawing>
              <wp:inline distT="0" distB="0" distL="0" distR="0" wp14:anchorId="094F5155" wp14:editId="1EA4492F">
                <wp:extent cx="5000625" cy="2809692"/>
                <wp:effectExtent l="0" t="0" r="15875" b="10160"/>
                <wp:docPr id="4" name="Group 3">
                  <a:extLst xmlns:a="http://schemas.openxmlformats.org/drawingml/2006/main">
                    <a:ext uri="{FF2B5EF4-FFF2-40B4-BE49-F238E27FC236}">
                      <a16:creationId xmlns:a16="http://schemas.microsoft.com/office/drawing/2014/main" id="{7BA0A6FE-5F99-EA2B-76D9-C89AB5E86497}"/>
                    </a:ext>
                  </a:extLst>
                </wp:docPr>
                <wp:cNvGraphicFramePr/>
                <a:graphic xmlns:a="http://schemas.openxmlformats.org/drawingml/2006/main">
                  <a:graphicData uri="http://schemas.microsoft.com/office/word/2010/wordprocessingGroup">
                    <wpg:wgp>
                      <wpg:cNvGrpSpPr/>
                      <wpg:grpSpPr>
                        <a:xfrm>
                          <a:off x="0" y="0"/>
                          <a:ext cx="5000625" cy="2809692"/>
                          <a:chOff x="-1710701" y="-3662742"/>
                          <a:chExt cx="8758239" cy="4543425"/>
                        </a:xfrm>
                      </wpg:grpSpPr>
                      <wpg:graphicFrame>
                        <wpg:cNvPr id="1785477200" name="Chart 1785477200">
                          <a:extLst>
                            <a:ext uri="{FF2B5EF4-FFF2-40B4-BE49-F238E27FC236}">
                              <a16:creationId xmlns:a16="http://schemas.microsoft.com/office/drawing/2014/main" id="{330E021B-E2BC-42E7-9852-C3CA49131B23}"/>
                            </a:ext>
                          </a:extLst>
                        </wpg:cNvPr>
                        <wpg:cNvFrPr>
                          <a:graphicFrameLocks/>
                        </wpg:cNvFrPr>
                        <wpg:xfrm>
                          <a:off x="-1710701" y="-3662742"/>
                          <a:ext cx="8758239" cy="4543425"/>
                        </wpg:xfrm>
                        <a:graphic>
                          <a:graphicData uri="http://schemas.openxmlformats.org/drawingml/2006/chart">
                            <c:chart xmlns:c="http://schemas.openxmlformats.org/drawingml/2006/chart" xmlns:r="http://schemas.openxmlformats.org/officeDocument/2006/relationships" r:id="rId16"/>
                          </a:graphicData>
                        </a:graphic>
                      </wpg:graphicFrame>
                      <wps:wsp>
                        <wps:cNvPr id="314180720" name="Straight Connector 314180720">
                          <a:extLst>
                            <a:ext uri="{FF2B5EF4-FFF2-40B4-BE49-F238E27FC236}">
                              <a16:creationId xmlns:a16="http://schemas.microsoft.com/office/drawing/2014/main" id="{AA1152F0-DF1B-4011-AF11-810058BACD1B}"/>
                            </a:ext>
                          </a:extLst>
                        </wps:cNvPr>
                        <wps:cNvCnPr/>
                        <wps:spPr>
                          <a:xfrm flipV="1">
                            <a:off x="3079292" y="-2834094"/>
                            <a:ext cx="0" cy="3232462"/>
                          </a:xfrm>
                          <a:prstGeom prst="line">
                            <a:avLst/>
                          </a:prstGeom>
                          <a:ln w="12700">
                            <a:solidFill>
                              <a:sysClr val="windowText" lastClr="000000"/>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C11DE61" id="Group 3" o:spid="_x0000_s1026" style="width:393.75pt;height:221.25pt;mso-position-horizontal-relative:char;mso-position-vertical-relative:line" coordorigin="-17107,-36627" coordsize="87582,45434"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785477200" o:spid="_x0000_s1027" type="#_x0000_t75" style="position:absolute;left:-17213;top:-36726;width:87761;height:456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">
                  <v:imagedata r:id="rId17" o:title=""/>
                  <o:lock v:ext="edit" aspectratio="f"/>
                </v:shape>
                <v:line id="Straight Connector 314180720" o:spid="_x0000_s1028" style="position:absolute;flip:y;visibility:visible;mso-wrap-style:square" from="30792,-28340" to="30792,3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" strokecolor="windowText" strokeweight="1pt">
                  <v:stroke dashstyle="dash" joinstyle="miter"/>
                </v:line>
                <w10:anchorlock/>
              </v:group>
            </w:pict>
          </mc:Fallback>
        </mc:AlternateContent>
      </w:r>
    </w:p>
    <w:p w14:paraId="07397B2B" w14:textId="3BB2B7BF" w:rsidR="00901199" w:rsidRPr="00812FFB" w:rsidRDefault="00901199" w:rsidP="00901199">
      <w:pPr>
        <w:jc w:val="center"/>
        <w:rPr>
          <w:i/>
          <w:iCs/>
          <w:sz w:val="20"/>
          <w:szCs w:val="20"/>
          <w:u w:val="single"/>
        </w:rPr>
      </w:pPr>
      <w:r w:rsidRPr="00812FFB">
        <w:rPr>
          <w:i/>
          <w:sz w:val="20"/>
          <w:szCs w:val="20"/>
          <w:u w:val="single"/>
        </w:rPr>
        <w:t xml:space="preserve">Figure </w:t>
      </w:r>
      <w:r w:rsidR="00D803B1" w:rsidRPr="00812FFB">
        <w:rPr>
          <w:i/>
          <w:sz w:val="20"/>
          <w:szCs w:val="20"/>
          <w:u w:val="single"/>
        </w:rPr>
        <w:t>8</w:t>
      </w:r>
      <w:r w:rsidRPr="00812FFB">
        <w:rPr>
          <w:i/>
          <w:sz w:val="20"/>
          <w:szCs w:val="20"/>
          <w:u w:val="single"/>
        </w:rPr>
        <w:t>:</w:t>
      </w:r>
      <w:r w:rsidRPr="00812FFB">
        <w:rPr>
          <w:i/>
          <w:iCs/>
          <w:sz w:val="20"/>
          <w:szCs w:val="20"/>
          <w:u w:val="single"/>
        </w:rPr>
        <w:t xml:space="preserve"> Football Field Diagram</w:t>
      </w:r>
    </w:p>
    <w:p w14:paraId="3AEF003D" w14:textId="54A85C80" w:rsidR="007C39E0" w:rsidRPr="00812FFB" w:rsidRDefault="006169D9" w:rsidP="001A3641">
      <w:pPr>
        <w:jc w:val="both"/>
        <w:rPr>
          <w:sz w:val="20"/>
          <w:szCs w:val="20"/>
        </w:rPr>
      </w:pPr>
      <w:r w:rsidRPr="00812FFB">
        <w:rPr>
          <w:sz w:val="20"/>
          <w:szCs w:val="20"/>
        </w:rPr>
        <w:t xml:space="preserve">Based on the football field diagram, </w:t>
      </w:r>
      <w:r w:rsidR="007739EF" w:rsidRPr="00812FFB">
        <w:rPr>
          <w:sz w:val="20"/>
          <w:szCs w:val="20"/>
        </w:rPr>
        <w:t>w</w:t>
      </w:r>
      <w:r w:rsidR="00BA57BA" w:rsidRPr="00812FFB">
        <w:rPr>
          <w:sz w:val="20"/>
          <w:szCs w:val="20"/>
        </w:rPr>
        <w:t>e find that the 3 most critical variables in our analysis are as follows, in order of importance: Cost of Capital, Monorail Maintenance cost, and Solar PV investment cost.</w:t>
      </w:r>
    </w:p>
    <w:p w14:paraId="4A671A8E" w14:textId="77777777" w:rsidR="00904897" w:rsidRPr="00812FFB" w:rsidRDefault="00904897" w:rsidP="001A3641">
      <w:pPr>
        <w:jc w:val="both"/>
        <w:rPr>
          <w:sz w:val="20"/>
          <w:szCs w:val="20"/>
        </w:rPr>
      </w:pPr>
    </w:p>
    <w:p w14:paraId="72D5F17B" w14:textId="123D92C4" w:rsidR="007A61E3" w:rsidRPr="00812FFB" w:rsidRDefault="007A61E3" w:rsidP="00904897">
      <w:pPr>
        <w:pStyle w:val="Heading2"/>
        <w:numPr>
          <w:ilvl w:val="0"/>
          <w:numId w:val="0"/>
        </w:numPr>
        <w:ind w:left="360" w:hanging="360"/>
        <w:rPr>
          <w:sz w:val="20"/>
          <w:szCs w:val="20"/>
        </w:rPr>
      </w:pPr>
      <w:bookmarkStart w:id="20" w:name="_Toc150204554"/>
      <w:r w:rsidRPr="00812FFB">
        <w:rPr>
          <w:sz w:val="20"/>
          <w:szCs w:val="20"/>
        </w:rPr>
        <w:t xml:space="preserve">5.2 </w:t>
      </w:r>
      <w:r w:rsidR="3FFE1E07" w:rsidRPr="00812FFB">
        <w:rPr>
          <w:sz w:val="20"/>
          <w:szCs w:val="20"/>
        </w:rPr>
        <w:t>S</w:t>
      </w:r>
      <w:r w:rsidRPr="00812FFB">
        <w:rPr>
          <w:sz w:val="20"/>
          <w:szCs w:val="20"/>
        </w:rPr>
        <w:t xml:space="preserve">cenario </w:t>
      </w:r>
      <w:r w:rsidR="07781F4F" w:rsidRPr="00812FFB">
        <w:rPr>
          <w:sz w:val="20"/>
          <w:szCs w:val="20"/>
        </w:rPr>
        <w:t>A</w:t>
      </w:r>
      <w:r w:rsidRPr="00812FFB">
        <w:rPr>
          <w:sz w:val="20"/>
          <w:szCs w:val="20"/>
        </w:rPr>
        <w:t>nalysis</w:t>
      </w:r>
      <w:bookmarkEnd w:id="20"/>
      <w:r w:rsidRPr="00812FFB">
        <w:rPr>
          <w:sz w:val="20"/>
          <w:szCs w:val="20"/>
        </w:rPr>
        <w:t xml:space="preserve"> </w:t>
      </w:r>
    </w:p>
    <w:p w14:paraId="04C40C33" w14:textId="6A3EF185" w:rsidR="002638BB" w:rsidRPr="00812FFB" w:rsidRDefault="00E03DA0" w:rsidP="00E03DA0">
      <w:pPr>
        <w:jc w:val="both"/>
        <w:rPr>
          <w:sz w:val="20"/>
          <w:szCs w:val="20"/>
        </w:rPr>
      </w:pPr>
      <w:r w:rsidRPr="00812FFB">
        <w:rPr>
          <w:sz w:val="20"/>
          <w:szCs w:val="20"/>
        </w:rPr>
        <w:t>A scenario analysis was also performed using a worst, base</w:t>
      </w:r>
      <w:r w:rsidR="00D0797E" w:rsidRPr="00812FFB">
        <w:rPr>
          <w:sz w:val="20"/>
          <w:szCs w:val="20"/>
        </w:rPr>
        <w:t>,</w:t>
      </w:r>
      <w:r w:rsidRPr="00812FFB">
        <w:rPr>
          <w:sz w:val="20"/>
          <w:szCs w:val="20"/>
        </w:rPr>
        <w:t xml:space="preserve"> and best case. </w:t>
      </w:r>
      <w:r w:rsidR="001A3641" w:rsidRPr="00812FFB">
        <w:rPr>
          <w:sz w:val="20"/>
          <w:szCs w:val="20"/>
        </w:rPr>
        <w:t xml:space="preserve">To formulate our </w:t>
      </w:r>
      <w:r w:rsidR="00582AD4" w:rsidRPr="00812FFB">
        <w:rPr>
          <w:sz w:val="20"/>
          <w:szCs w:val="20"/>
        </w:rPr>
        <w:t xml:space="preserve">worst and best cases, we simply assumed that all the variables scrutinized in our sensitivity analysis will be at their respective </w:t>
      </w:r>
      <w:r w:rsidR="00DF3EF1" w:rsidRPr="00812FFB">
        <w:rPr>
          <w:sz w:val="20"/>
          <w:szCs w:val="20"/>
        </w:rPr>
        <w:t>worst and best</w:t>
      </w:r>
      <w:r w:rsidR="00582AD4" w:rsidRPr="00812FFB">
        <w:rPr>
          <w:sz w:val="20"/>
          <w:szCs w:val="20"/>
        </w:rPr>
        <w:t xml:space="preserve"> end ranges</w:t>
      </w:r>
      <w:r w:rsidR="00DF3EF1" w:rsidRPr="00812FFB">
        <w:rPr>
          <w:sz w:val="20"/>
          <w:szCs w:val="20"/>
        </w:rPr>
        <w:t xml:space="preserve"> respectively</w:t>
      </w:r>
      <w:r w:rsidR="00582AD4" w:rsidRPr="00812FFB">
        <w:rPr>
          <w:sz w:val="20"/>
          <w:szCs w:val="20"/>
        </w:rPr>
        <w:t xml:space="preserve">. </w:t>
      </w:r>
    </w:p>
    <w:p w14:paraId="0434E111" w14:textId="77777777" w:rsidR="00904897" w:rsidRPr="00812FFB" w:rsidRDefault="00904897" w:rsidP="00E03DA0">
      <w:pPr>
        <w:jc w:val="both"/>
        <w:rPr>
          <w:sz w:val="20"/>
          <w:szCs w:val="20"/>
        </w:rPr>
      </w:pPr>
    </w:p>
    <w:p w14:paraId="0F7E6F14" w14:textId="0BC45AC7" w:rsidR="007675D3" w:rsidRPr="00812FFB" w:rsidRDefault="00582AD4" w:rsidP="00E03DA0">
      <w:pPr>
        <w:jc w:val="both"/>
        <w:rPr>
          <w:sz w:val="20"/>
          <w:szCs w:val="20"/>
        </w:rPr>
      </w:pPr>
      <w:r w:rsidRPr="00812FFB">
        <w:rPr>
          <w:sz w:val="20"/>
          <w:szCs w:val="20"/>
        </w:rPr>
        <w:t xml:space="preserve">The interpretation of the worst and best cases is intuitive: In the worst case, our costs are higher than expected and the social benefits that accrue are likewise </w:t>
      </w:r>
      <w:r w:rsidR="00B40E50" w:rsidRPr="00812FFB">
        <w:rPr>
          <w:sz w:val="20"/>
          <w:szCs w:val="20"/>
        </w:rPr>
        <w:t>lower than expected due to a lack of participation from students and staff.</w:t>
      </w:r>
    </w:p>
    <w:p w14:paraId="66C5C5B4" w14:textId="77777777" w:rsidR="00904897" w:rsidRPr="00812FFB" w:rsidRDefault="00904897" w:rsidP="00E03DA0">
      <w:pPr>
        <w:jc w:val="both"/>
        <w:rPr>
          <w:sz w:val="20"/>
          <w:szCs w:val="20"/>
        </w:rPr>
      </w:pPr>
    </w:p>
    <w:p w14:paraId="582A6F39" w14:textId="24000508" w:rsidR="00E03DA0" w:rsidRPr="00812FFB" w:rsidRDefault="00B40E50" w:rsidP="00E03DA0">
      <w:pPr>
        <w:jc w:val="both"/>
        <w:rPr>
          <w:sz w:val="20"/>
          <w:szCs w:val="20"/>
        </w:rPr>
      </w:pPr>
      <w:r w:rsidRPr="00812FFB">
        <w:rPr>
          <w:sz w:val="20"/>
          <w:szCs w:val="20"/>
        </w:rPr>
        <w:t xml:space="preserve">In the </w:t>
      </w:r>
      <w:r w:rsidR="002638BB" w:rsidRPr="00812FFB">
        <w:rPr>
          <w:sz w:val="20"/>
          <w:szCs w:val="20"/>
        </w:rPr>
        <w:t>best-case</w:t>
      </w:r>
      <w:r w:rsidRPr="00812FFB">
        <w:rPr>
          <w:sz w:val="20"/>
          <w:szCs w:val="20"/>
        </w:rPr>
        <w:t xml:space="preserve"> scenario, </w:t>
      </w:r>
      <w:r w:rsidR="002638BB" w:rsidRPr="00812FFB">
        <w:rPr>
          <w:sz w:val="20"/>
          <w:szCs w:val="20"/>
        </w:rPr>
        <w:t>investments are</w:t>
      </w:r>
      <w:r w:rsidR="00DF2BC3" w:rsidRPr="00812FFB">
        <w:rPr>
          <w:sz w:val="20"/>
          <w:szCs w:val="20"/>
        </w:rPr>
        <w:t xml:space="preserve"> less costly than expected and </w:t>
      </w:r>
      <w:r w:rsidR="007675D3" w:rsidRPr="00812FFB">
        <w:rPr>
          <w:sz w:val="20"/>
          <w:szCs w:val="20"/>
        </w:rPr>
        <w:t xml:space="preserve">positive externalities realized </w:t>
      </w:r>
      <w:r w:rsidRPr="00812FFB">
        <w:rPr>
          <w:sz w:val="20"/>
          <w:szCs w:val="20"/>
        </w:rPr>
        <w:t xml:space="preserve">are </w:t>
      </w:r>
      <w:r w:rsidR="007675D3" w:rsidRPr="00812FFB">
        <w:rPr>
          <w:sz w:val="20"/>
          <w:szCs w:val="20"/>
        </w:rPr>
        <w:t>larger</w:t>
      </w:r>
      <w:r w:rsidR="006541CC" w:rsidRPr="00812FFB">
        <w:rPr>
          <w:sz w:val="20"/>
          <w:szCs w:val="20"/>
        </w:rPr>
        <w:t xml:space="preserve"> due to </w:t>
      </w:r>
      <w:r w:rsidR="007675D3" w:rsidRPr="00812FFB">
        <w:rPr>
          <w:sz w:val="20"/>
          <w:szCs w:val="20"/>
        </w:rPr>
        <w:t xml:space="preserve">exceptionally </w:t>
      </w:r>
      <w:r w:rsidR="006541CC" w:rsidRPr="00812FFB">
        <w:rPr>
          <w:sz w:val="20"/>
          <w:szCs w:val="20"/>
        </w:rPr>
        <w:t xml:space="preserve">strong </w:t>
      </w:r>
      <w:r w:rsidR="00D0574A" w:rsidRPr="00812FFB">
        <w:rPr>
          <w:sz w:val="20"/>
          <w:szCs w:val="20"/>
        </w:rPr>
        <w:t xml:space="preserve">engagement and participation from </w:t>
      </w:r>
      <w:r w:rsidR="00DF2BC3" w:rsidRPr="00812FFB">
        <w:rPr>
          <w:sz w:val="20"/>
          <w:szCs w:val="20"/>
        </w:rPr>
        <w:t>staff and students</w:t>
      </w:r>
      <w:r w:rsidR="00D0574A" w:rsidRPr="00812FFB">
        <w:rPr>
          <w:sz w:val="20"/>
          <w:szCs w:val="20"/>
        </w:rPr>
        <w:t xml:space="preserve"> alike</w:t>
      </w:r>
      <w:r w:rsidR="00DF2BC3" w:rsidRPr="00812FFB">
        <w:rPr>
          <w:sz w:val="20"/>
          <w:szCs w:val="20"/>
        </w:rPr>
        <w:t>.</w:t>
      </w:r>
    </w:p>
    <w:p w14:paraId="14A2CE8D" w14:textId="77777777" w:rsidR="00904897" w:rsidRPr="00812FFB" w:rsidRDefault="00904897" w:rsidP="00E03DA0">
      <w:pPr>
        <w:jc w:val="both"/>
        <w:rPr>
          <w:sz w:val="20"/>
          <w:szCs w:val="20"/>
        </w:rPr>
      </w:pPr>
    </w:p>
    <w:p w14:paraId="379590E1" w14:textId="1B7CAA1F" w:rsidR="00DF2BC3" w:rsidRPr="00812FFB" w:rsidRDefault="0083488F" w:rsidP="00E03DA0">
      <w:pPr>
        <w:jc w:val="both"/>
        <w:rPr>
          <w:sz w:val="20"/>
          <w:szCs w:val="20"/>
        </w:rPr>
      </w:pPr>
      <w:r w:rsidRPr="00812FFB">
        <w:rPr>
          <w:sz w:val="20"/>
          <w:szCs w:val="20"/>
        </w:rPr>
        <w:t xml:space="preserve">Our </w:t>
      </w:r>
      <w:r w:rsidR="004C0133" w:rsidRPr="00812FFB">
        <w:rPr>
          <w:sz w:val="20"/>
          <w:szCs w:val="20"/>
        </w:rPr>
        <w:t>worst-case</w:t>
      </w:r>
      <w:r w:rsidRPr="00812FFB">
        <w:rPr>
          <w:sz w:val="20"/>
          <w:szCs w:val="20"/>
        </w:rPr>
        <w:t xml:space="preserve"> scenario gives us an SROI of </w:t>
      </w:r>
      <w:r w:rsidR="00B256E5" w:rsidRPr="00812FFB">
        <w:rPr>
          <w:sz w:val="20"/>
          <w:szCs w:val="20"/>
        </w:rPr>
        <w:t>1.24</w:t>
      </w:r>
      <w:r w:rsidRPr="00812FFB">
        <w:rPr>
          <w:sz w:val="20"/>
          <w:szCs w:val="20"/>
        </w:rPr>
        <w:t xml:space="preserve"> while our </w:t>
      </w:r>
      <w:r w:rsidR="004C0133" w:rsidRPr="00812FFB">
        <w:rPr>
          <w:sz w:val="20"/>
          <w:szCs w:val="20"/>
        </w:rPr>
        <w:t>best-case</w:t>
      </w:r>
      <w:r w:rsidRPr="00812FFB">
        <w:rPr>
          <w:sz w:val="20"/>
          <w:szCs w:val="20"/>
        </w:rPr>
        <w:t xml:space="preserve"> scenario gives us an SROI of </w:t>
      </w:r>
      <w:r w:rsidR="009D3C10" w:rsidRPr="00812FFB">
        <w:rPr>
          <w:sz w:val="20"/>
          <w:szCs w:val="20"/>
        </w:rPr>
        <w:t>9.37</w:t>
      </w:r>
      <w:r w:rsidRPr="00812FFB">
        <w:rPr>
          <w:sz w:val="20"/>
          <w:szCs w:val="20"/>
        </w:rPr>
        <w:t xml:space="preserve">. This indicates that even in the worst case, </w:t>
      </w:r>
      <w:r w:rsidR="000A4171" w:rsidRPr="00812FFB">
        <w:rPr>
          <w:sz w:val="20"/>
          <w:szCs w:val="20"/>
        </w:rPr>
        <w:t xml:space="preserve">we estimate that the total net social benefits accrued </w:t>
      </w:r>
      <w:r w:rsidR="00E423EE" w:rsidRPr="00812FFB">
        <w:rPr>
          <w:sz w:val="20"/>
          <w:szCs w:val="20"/>
        </w:rPr>
        <w:t>for all stakeholders will still be larger than the initial investments</w:t>
      </w:r>
      <w:r w:rsidR="00D757A0" w:rsidRPr="00812FFB">
        <w:rPr>
          <w:sz w:val="20"/>
          <w:szCs w:val="20"/>
        </w:rPr>
        <w:t xml:space="preserve"> required to make this project work.</w:t>
      </w:r>
      <w:r w:rsidR="00277F84" w:rsidRPr="00812FFB">
        <w:rPr>
          <w:sz w:val="20"/>
          <w:szCs w:val="20"/>
        </w:rPr>
        <w:t xml:space="preserve"> In the best case, the project will deliver </w:t>
      </w:r>
      <w:r w:rsidR="00EA030B" w:rsidRPr="00812FFB">
        <w:rPr>
          <w:sz w:val="20"/>
          <w:szCs w:val="20"/>
        </w:rPr>
        <w:t xml:space="preserve">significant </w:t>
      </w:r>
      <w:r w:rsidR="00277F84" w:rsidRPr="00812FFB">
        <w:rPr>
          <w:sz w:val="20"/>
          <w:szCs w:val="20"/>
        </w:rPr>
        <w:t xml:space="preserve">outsized social returns to all stakeholders in NUS. </w:t>
      </w:r>
      <w:r w:rsidR="00F10A58" w:rsidRPr="00812FFB">
        <w:rPr>
          <w:sz w:val="20"/>
          <w:szCs w:val="20"/>
        </w:rPr>
        <w:t>This means that despite</w:t>
      </w:r>
      <w:r w:rsidR="007F5B7F" w:rsidRPr="00812FFB">
        <w:rPr>
          <w:sz w:val="20"/>
          <w:szCs w:val="20"/>
        </w:rPr>
        <w:t xml:space="preserve"> the risk</w:t>
      </w:r>
      <w:r w:rsidR="00F10A58" w:rsidRPr="00812FFB">
        <w:rPr>
          <w:sz w:val="20"/>
          <w:szCs w:val="20"/>
        </w:rPr>
        <w:t xml:space="preserve">s inherent in this project, it </w:t>
      </w:r>
      <w:r w:rsidR="00B736A2" w:rsidRPr="00812FFB">
        <w:rPr>
          <w:sz w:val="20"/>
          <w:szCs w:val="20"/>
        </w:rPr>
        <w:t>will still develop strong social returns for its stakeholders.</w:t>
      </w:r>
    </w:p>
    <w:p w14:paraId="15A511C0" w14:textId="77777777" w:rsidR="00904897" w:rsidRPr="00812FFB" w:rsidRDefault="00904897" w:rsidP="00E03DA0">
      <w:pPr>
        <w:jc w:val="both"/>
        <w:rPr>
          <w:sz w:val="20"/>
          <w:szCs w:val="20"/>
        </w:rPr>
      </w:pPr>
    </w:p>
    <w:tbl>
      <w:tblPr>
        <w:tblStyle w:val="TableGrid"/>
        <w:tblW w:w="0" w:type="auto"/>
        <w:jc w:val="center"/>
        <w:tblLook w:val="04A0" w:firstRow="1" w:lastRow="0" w:firstColumn="1" w:lastColumn="0" w:noHBand="0" w:noVBand="1"/>
      </w:tblPr>
      <w:tblGrid>
        <w:gridCol w:w="2337"/>
        <w:gridCol w:w="2337"/>
        <w:gridCol w:w="2338"/>
        <w:gridCol w:w="2338"/>
      </w:tblGrid>
      <w:tr w:rsidR="00D0797E" w:rsidRPr="00812FFB" w14:paraId="17C468A8" w14:textId="77777777" w:rsidTr="005E505F">
        <w:trPr>
          <w:jc w:val="center"/>
        </w:trPr>
        <w:tc>
          <w:tcPr>
            <w:tcW w:w="9350" w:type="dxa"/>
            <w:gridSpan w:val="4"/>
            <w:shd w:val="clear" w:color="auto" w:fill="8EAADB" w:themeFill="accent1" w:themeFillTint="99"/>
          </w:tcPr>
          <w:p w14:paraId="5A0548BD" w14:textId="4B939B88" w:rsidR="00D0797E" w:rsidRPr="00812FFB" w:rsidRDefault="00D0797E" w:rsidP="00E1144E">
            <w:pPr>
              <w:jc w:val="center"/>
              <w:rPr>
                <w:b/>
                <w:bCs/>
                <w:sz w:val="20"/>
                <w:szCs w:val="20"/>
              </w:rPr>
            </w:pPr>
            <w:r w:rsidRPr="00812FFB">
              <w:rPr>
                <w:b/>
                <w:bCs/>
                <w:sz w:val="20"/>
                <w:szCs w:val="20"/>
              </w:rPr>
              <w:t>Scenario Analysis</w:t>
            </w:r>
          </w:p>
        </w:tc>
      </w:tr>
      <w:tr w:rsidR="004C05D8" w:rsidRPr="00812FFB" w14:paraId="5625B220" w14:textId="77777777" w:rsidTr="005E505F">
        <w:trPr>
          <w:jc w:val="center"/>
        </w:trPr>
        <w:tc>
          <w:tcPr>
            <w:tcW w:w="2337" w:type="dxa"/>
            <w:shd w:val="clear" w:color="auto" w:fill="DEEAF6" w:themeFill="accent5" w:themeFillTint="33"/>
          </w:tcPr>
          <w:p w14:paraId="6373774D" w14:textId="77777777" w:rsidR="004C05D8" w:rsidRPr="00812FFB" w:rsidRDefault="004C05D8" w:rsidP="00E03DA0">
            <w:pPr>
              <w:rPr>
                <w:sz w:val="20"/>
                <w:szCs w:val="20"/>
              </w:rPr>
            </w:pPr>
          </w:p>
        </w:tc>
        <w:tc>
          <w:tcPr>
            <w:tcW w:w="2337" w:type="dxa"/>
            <w:shd w:val="clear" w:color="auto" w:fill="DEEAF6" w:themeFill="accent5" w:themeFillTint="33"/>
          </w:tcPr>
          <w:p w14:paraId="5FB4C0FA" w14:textId="7FCFD5B0" w:rsidR="00D0797E" w:rsidRPr="00812FFB" w:rsidRDefault="004C05D8" w:rsidP="009237A6">
            <w:pPr>
              <w:jc w:val="center"/>
              <w:rPr>
                <w:b/>
                <w:bCs/>
                <w:sz w:val="20"/>
                <w:szCs w:val="20"/>
              </w:rPr>
            </w:pPr>
            <w:r w:rsidRPr="00812FFB">
              <w:rPr>
                <w:b/>
                <w:bCs/>
                <w:sz w:val="20"/>
                <w:szCs w:val="20"/>
              </w:rPr>
              <w:t>Worst Case</w:t>
            </w:r>
          </w:p>
        </w:tc>
        <w:tc>
          <w:tcPr>
            <w:tcW w:w="2338" w:type="dxa"/>
            <w:shd w:val="clear" w:color="auto" w:fill="DEEAF6" w:themeFill="accent5" w:themeFillTint="33"/>
          </w:tcPr>
          <w:p w14:paraId="345C2843" w14:textId="16B7175E" w:rsidR="004C05D8" w:rsidRPr="00812FFB" w:rsidRDefault="004C05D8" w:rsidP="00D0797E">
            <w:pPr>
              <w:jc w:val="center"/>
              <w:rPr>
                <w:b/>
                <w:bCs/>
                <w:sz w:val="20"/>
                <w:szCs w:val="20"/>
              </w:rPr>
            </w:pPr>
            <w:r w:rsidRPr="00812FFB">
              <w:rPr>
                <w:b/>
                <w:bCs/>
                <w:sz w:val="20"/>
                <w:szCs w:val="20"/>
              </w:rPr>
              <w:t>Base Case</w:t>
            </w:r>
          </w:p>
        </w:tc>
        <w:tc>
          <w:tcPr>
            <w:tcW w:w="2338" w:type="dxa"/>
            <w:shd w:val="clear" w:color="auto" w:fill="DEEAF6" w:themeFill="accent5" w:themeFillTint="33"/>
          </w:tcPr>
          <w:p w14:paraId="4E816C54" w14:textId="2D8A2222" w:rsidR="004C05D8" w:rsidRPr="00812FFB" w:rsidRDefault="004C05D8" w:rsidP="00D0797E">
            <w:pPr>
              <w:jc w:val="center"/>
              <w:rPr>
                <w:b/>
                <w:bCs/>
                <w:sz w:val="20"/>
                <w:szCs w:val="20"/>
              </w:rPr>
            </w:pPr>
            <w:r w:rsidRPr="00812FFB">
              <w:rPr>
                <w:b/>
                <w:bCs/>
                <w:sz w:val="20"/>
                <w:szCs w:val="20"/>
              </w:rPr>
              <w:t>Best Case</w:t>
            </w:r>
          </w:p>
        </w:tc>
      </w:tr>
      <w:tr w:rsidR="004C05D8" w:rsidRPr="00812FFB" w14:paraId="2CF84CD4" w14:textId="77777777" w:rsidTr="005E505F">
        <w:trPr>
          <w:jc w:val="center"/>
        </w:trPr>
        <w:tc>
          <w:tcPr>
            <w:tcW w:w="2337" w:type="dxa"/>
            <w:shd w:val="clear" w:color="auto" w:fill="DEEAF6" w:themeFill="accent5" w:themeFillTint="33"/>
          </w:tcPr>
          <w:p w14:paraId="7F2F46C5" w14:textId="71832DCF" w:rsidR="00D0797E" w:rsidRPr="00812FFB" w:rsidRDefault="004C05D8" w:rsidP="00E03DA0">
            <w:pPr>
              <w:rPr>
                <w:sz w:val="20"/>
                <w:szCs w:val="20"/>
              </w:rPr>
            </w:pPr>
            <w:r w:rsidRPr="00812FFB">
              <w:rPr>
                <w:sz w:val="20"/>
                <w:szCs w:val="20"/>
              </w:rPr>
              <w:t>Total Social Benefit</w:t>
            </w:r>
          </w:p>
        </w:tc>
        <w:tc>
          <w:tcPr>
            <w:tcW w:w="2337" w:type="dxa"/>
          </w:tcPr>
          <w:p w14:paraId="53BAE8E7" w14:textId="1421082E" w:rsidR="004C05D8" w:rsidRPr="00812FFB" w:rsidRDefault="00173332" w:rsidP="00D0797E">
            <w:pPr>
              <w:jc w:val="center"/>
              <w:rPr>
                <w:sz w:val="20"/>
                <w:szCs w:val="20"/>
              </w:rPr>
            </w:pPr>
            <w:r w:rsidRPr="00812FFB">
              <w:rPr>
                <w:sz w:val="20"/>
                <w:szCs w:val="20"/>
              </w:rPr>
              <w:t>2,019,334,729.61</w:t>
            </w:r>
          </w:p>
        </w:tc>
        <w:tc>
          <w:tcPr>
            <w:tcW w:w="2338" w:type="dxa"/>
          </w:tcPr>
          <w:p w14:paraId="4485D124" w14:textId="14E982B9" w:rsidR="004C05D8" w:rsidRPr="00812FFB" w:rsidRDefault="007D329D" w:rsidP="00D0797E">
            <w:pPr>
              <w:jc w:val="center"/>
              <w:rPr>
                <w:sz w:val="20"/>
                <w:szCs w:val="20"/>
              </w:rPr>
            </w:pPr>
            <w:r w:rsidRPr="00812FFB">
              <w:rPr>
                <w:sz w:val="20"/>
                <w:szCs w:val="20"/>
              </w:rPr>
              <w:t>3,513,239</w:t>
            </w:r>
            <w:r w:rsidR="00D534D5" w:rsidRPr="00812FFB">
              <w:rPr>
                <w:sz w:val="20"/>
                <w:szCs w:val="20"/>
              </w:rPr>
              <w:t>,621.79</w:t>
            </w:r>
          </w:p>
        </w:tc>
        <w:tc>
          <w:tcPr>
            <w:tcW w:w="2338" w:type="dxa"/>
          </w:tcPr>
          <w:p w14:paraId="5CB52925" w14:textId="0956CA40" w:rsidR="004C05D8" w:rsidRPr="00812FFB" w:rsidRDefault="00B46F67" w:rsidP="00D0797E">
            <w:pPr>
              <w:jc w:val="center"/>
              <w:rPr>
                <w:sz w:val="20"/>
                <w:szCs w:val="20"/>
              </w:rPr>
            </w:pPr>
            <w:r w:rsidRPr="00812FFB">
              <w:rPr>
                <w:sz w:val="20"/>
                <w:szCs w:val="20"/>
              </w:rPr>
              <w:t>10,246,467,609.14</w:t>
            </w:r>
          </w:p>
        </w:tc>
      </w:tr>
      <w:tr w:rsidR="004C05D8" w:rsidRPr="00812FFB" w14:paraId="38503C39" w14:textId="77777777" w:rsidTr="005E505F">
        <w:trPr>
          <w:jc w:val="center"/>
        </w:trPr>
        <w:tc>
          <w:tcPr>
            <w:tcW w:w="2337" w:type="dxa"/>
            <w:shd w:val="clear" w:color="auto" w:fill="DEEAF6" w:themeFill="accent5" w:themeFillTint="33"/>
          </w:tcPr>
          <w:p w14:paraId="4CA8396E" w14:textId="58283652" w:rsidR="00D0797E" w:rsidRPr="00812FFB" w:rsidRDefault="004C05D8" w:rsidP="00E03DA0">
            <w:pPr>
              <w:rPr>
                <w:sz w:val="20"/>
                <w:szCs w:val="20"/>
              </w:rPr>
            </w:pPr>
            <w:r w:rsidRPr="00812FFB">
              <w:rPr>
                <w:sz w:val="20"/>
                <w:szCs w:val="20"/>
              </w:rPr>
              <w:t>Total Social Cost</w:t>
            </w:r>
          </w:p>
        </w:tc>
        <w:tc>
          <w:tcPr>
            <w:tcW w:w="2337" w:type="dxa"/>
          </w:tcPr>
          <w:p w14:paraId="6CB017AF" w14:textId="0F04EC0C" w:rsidR="004C05D8" w:rsidRPr="00812FFB" w:rsidRDefault="00173332" w:rsidP="00D0797E">
            <w:pPr>
              <w:jc w:val="center"/>
              <w:rPr>
                <w:sz w:val="20"/>
                <w:szCs w:val="20"/>
              </w:rPr>
            </w:pPr>
            <w:r w:rsidRPr="00812FFB">
              <w:rPr>
                <w:sz w:val="20"/>
                <w:szCs w:val="20"/>
              </w:rPr>
              <w:t>857,843,</w:t>
            </w:r>
            <w:r w:rsidR="0029739A" w:rsidRPr="00812FFB">
              <w:rPr>
                <w:sz w:val="20"/>
                <w:szCs w:val="20"/>
              </w:rPr>
              <w:t>842.43</w:t>
            </w:r>
          </w:p>
        </w:tc>
        <w:tc>
          <w:tcPr>
            <w:tcW w:w="2338" w:type="dxa"/>
          </w:tcPr>
          <w:p w14:paraId="3A8995E7" w14:textId="36A50C4D" w:rsidR="004C05D8" w:rsidRPr="00812FFB" w:rsidRDefault="00D534D5" w:rsidP="00D0797E">
            <w:pPr>
              <w:jc w:val="center"/>
              <w:rPr>
                <w:sz w:val="20"/>
                <w:szCs w:val="20"/>
              </w:rPr>
            </w:pPr>
            <w:r w:rsidRPr="00812FFB">
              <w:rPr>
                <w:sz w:val="20"/>
                <w:szCs w:val="20"/>
              </w:rPr>
              <w:t>1,273,062,260.87</w:t>
            </w:r>
          </w:p>
        </w:tc>
        <w:tc>
          <w:tcPr>
            <w:tcW w:w="2338" w:type="dxa"/>
          </w:tcPr>
          <w:p w14:paraId="4B48862D" w14:textId="60947E85" w:rsidR="004C05D8" w:rsidRPr="00812FFB" w:rsidRDefault="00B46F67" w:rsidP="00D0797E">
            <w:pPr>
              <w:jc w:val="center"/>
              <w:rPr>
                <w:sz w:val="20"/>
                <w:szCs w:val="20"/>
              </w:rPr>
            </w:pPr>
            <w:r w:rsidRPr="00812FFB">
              <w:rPr>
                <w:sz w:val="20"/>
                <w:szCs w:val="20"/>
              </w:rPr>
              <w:t>3,151,541,132.34</w:t>
            </w:r>
          </w:p>
        </w:tc>
      </w:tr>
      <w:tr w:rsidR="004C05D8" w:rsidRPr="00812FFB" w14:paraId="3AB76CE3" w14:textId="77777777" w:rsidTr="005E505F">
        <w:trPr>
          <w:jc w:val="center"/>
        </w:trPr>
        <w:tc>
          <w:tcPr>
            <w:tcW w:w="2337" w:type="dxa"/>
            <w:shd w:val="clear" w:color="auto" w:fill="DEEAF6" w:themeFill="accent5" w:themeFillTint="33"/>
          </w:tcPr>
          <w:p w14:paraId="7923224E" w14:textId="48E4D018" w:rsidR="00D0797E" w:rsidRPr="00812FFB" w:rsidRDefault="004C05D8" w:rsidP="00E03DA0">
            <w:pPr>
              <w:rPr>
                <w:sz w:val="20"/>
                <w:szCs w:val="20"/>
              </w:rPr>
            </w:pPr>
            <w:r w:rsidRPr="00812FFB">
              <w:rPr>
                <w:sz w:val="20"/>
                <w:szCs w:val="20"/>
              </w:rPr>
              <w:t>Total Investment</w:t>
            </w:r>
          </w:p>
        </w:tc>
        <w:tc>
          <w:tcPr>
            <w:tcW w:w="2337" w:type="dxa"/>
          </w:tcPr>
          <w:p w14:paraId="53E8151A" w14:textId="09410E13" w:rsidR="004C05D8" w:rsidRPr="00812FFB" w:rsidRDefault="0029739A" w:rsidP="00D0797E">
            <w:pPr>
              <w:jc w:val="center"/>
              <w:rPr>
                <w:sz w:val="20"/>
                <w:szCs w:val="20"/>
              </w:rPr>
            </w:pPr>
            <w:r w:rsidRPr="00812FFB">
              <w:rPr>
                <w:sz w:val="20"/>
                <w:szCs w:val="20"/>
              </w:rPr>
              <w:t>936,330,326.32</w:t>
            </w:r>
          </w:p>
        </w:tc>
        <w:tc>
          <w:tcPr>
            <w:tcW w:w="2338" w:type="dxa"/>
          </w:tcPr>
          <w:p w14:paraId="097E6F93" w14:textId="428F4176" w:rsidR="004C05D8" w:rsidRPr="00812FFB" w:rsidRDefault="00D534D5" w:rsidP="00D0797E">
            <w:pPr>
              <w:jc w:val="center"/>
              <w:rPr>
                <w:sz w:val="20"/>
                <w:szCs w:val="20"/>
              </w:rPr>
            </w:pPr>
            <w:r w:rsidRPr="00812FFB">
              <w:rPr>
                <w:sz w:val="20"/>
                <w:szCs w:val="20"/>
              </w:rPr>
              <w:t>846,406,138.39</w:t>
            </w:r>
          </w:p>
        </w:tc>
        <w:tc>
          <w:tcPr>
            <w:tcW w:w="2338" w:type="dxa"/>
          </w:tcPr>
          <w:p w14:paraId="528B07CF" w14:textId="3E1D7A86" w:rsidR="004C05D8" w:rsidRPr="00812FFB" w:rsidRDefault="007D329D" w:rsidP="00D0797E">
            <w:pPr>
              <w:jc w:val="center"/>
              <w:rPr>
                <w:sz w:val="20"/>
                <w:szCs w:val="20"/>
              </w:rPr>
            </w:pPr>
            <w:r w:rsidRPr="00812FFB">
              <w:rPr>
                <w:sz w:val="20"/>
                <w:szCs w:val="20"/>
              </w:rPr>
              <w:t>757,280,063.65</w:t>
            </w:r>
          </w:p>
        </w:tc>
      </w:tr>
      <w:tr w:rsidR="004C05D8" w:rsidRPr="00812FFB" w14:paraId="470266B5" w14:textId="77777777" w:rsidTr="005E505F">
        <w:trPr>
          <w:jc w:val="center"/>
        </w:trPr>
        <w:tc>
          <w:tcPr>
            <w:tcW w:w="2337" w:type="dxa"/>
            <w:shd w:val="clear" w:color="auto" w:fill="DEEAF6" w:themeFill="accent5" w:themeFillTint="33"/>
          </w:tcPr>
          <w:p w14:paraId="29D90E64" w14:textId="6F890D2F" w:rsidR="00D0797E" w:rsidRPr="00812FFB" w:rsidRDefault="004C05D8" w:rsidP="00E03DA0">
            <w:pPr>
              <w:rPr>
                <w:sz w:val="20"/>
                <w:szCs w:val="20"/>
              </w:rPr>
            </w:pPr>
            <w:r w:rsidRPr="00812FFB">
              <w:rPr>
                <w:sz w:val="20"/>
                <w:szCs w:val="20"/>
              </w:rPr>
              <w:t>SROI</w:t>
            </w:r>
          </w:p>
        </w:tc>
        <w:tc>
          <w:tcPr>
            <w:tcW w:w="2337" w:type="dxa"/>
          </w:tcPr>
          <w:p w14:paraId="0709E893" w14:textId="49A04100" w:rsidR="004C05D8" w:rsidRPr="00812FFB" w:rsidRDefault="0029739A" w:rsidP="00D0797E">
            <w:pPr>
              <w:jc w:val="center"/>
              <w:rPr>
                <w:sz w:val="20"/>
                <w:szCs w:val="20"/>
              </w:rPr>
            </w:pPr>
            <w:r w:rsidRPr="00812FFB">
              <w:rPr>
                <w:sz w:val="20"/>
                <w:szCs w:val="20"/>
              </w:rPr>
              <w:t>1.24</w:t>
            </w:r>
          </w:p>
        </w:tc>
        <w:tc>
          <w:tcPr>
            <w:tcW w:w="2338" w:type="dxa"/>
          </w:tcPr>
          <w:p w14:paraId="222C0581" w14:textId="6EAC1F53" w:rsidR="004C05D8" w:rsidRPr="00812FFB" w:rsidRDefault="00D534D5" w:rsidP="00D0797E">
            <w:pPr>
              <w:jc w:val="center"/>
              <w:rPr>
                <w:sz w:val="20"/>
                <w:szCs w:val="20"/>
              </w:rPr>
            </w:pPr>
            <w:r w:rsidRPr="00812FFB">
              <w:rPr>
                <w:sz w:val="20"/>
                <w:szCs w:val="20"/>
              </w:rPr>
              <w:t>2.65</w:t>
            </w:r>
          </w:p>
        </w:tc>
        <w:tc>
          <w:tcPr>
            <w:tcW w:w="2338" w:type="dxa"/>
          </w:tcPr>
          <w:p w14:paraId="0DDBDEE3" w14:textId="4C6116D3" w:rsidR="004C05D8" w:rsidRPr="00812FFB" w:rsidRDefault="007D329D" w:rsidP="00D803B1">
            <w:pPr>
              <w:keepNext/>
              <w:jc w:val="center"/>
              <w:rPr>
                <w:sz w:val="20"/>
                <w:szCs w:val="20"/>
              </w:rPr>
            </w:pPr>
            <w:r w:rsidRPr="00812FFB">
              <w:rPr>
                <w:sz w:val="20"/>
                <w:szCs w:val="20"/>
              </w:rPr>
              <w:t>9.37</w:t>
            </w:r>
          </w:p>
        </w:tc>
      </w:tr>
    </w:tbl>
    <w:p w14:paraId="5F124667" w14:textId="3DCCF36E" w:rsidR="004C5984" w:rsidRPr="007A35B1" w:rsidRDefault="00D803B1" w:rsidP="007A35B1">
      <w:pPr>
        <w:pStyle w:val="Caption"/>
        <w:jc w:val="center"/>
        <w:rPr>
          <w:color w:val="auto"/>
          <w:sz w:val="20"/>
          <w:szCs w:val="20"/>
          <w:u w:val="single"/>
        </w:rPr>
        <w:sectPr w:rsidR="004C5984" w:rsidRPr="007A35B1" w:rsidSect="004749E9">
          <w:pgSz w:w="12240" w:h="15840"/>
          <w:pgMar w:top="720" w:right="720" w:bottom="720" w:left="720" w:header="720" w:footer="720" w:gutter="0"/>
          <w:cols w:space="720"/>
          <w:docGrid w:linePitch="360"/>
        </w:sectPr>
      </w:pPr>
      <w:r w:rsidRPr="00812FFB">
        <w:rPr>
          <w:color w:val="auto"/>
          <w:sz w:val="20"/>
          <w:szCs w:val="20"/>
          <w:u w:val="single"/>
        </w:rPr>
        <w:t>Table 5: Scenario analysis results</w:t>
      </w:r>
    </w:p>
    <w:p w14:paraId="12746F8F" w14:textId="52B7FE0B" w:rsidR="00904897" w:rsidRPr="00812FFB" w:rsidRDefault="00B25CD3" w:rsidP="007A35B1">
      <w:pPr>
        <w:pStyle w:val="Heading1"/>
      </w:pPr>
      <w:bookmarkStart w:id="21" w:name="_Toc150204555"/>
      <w:r w:rsidRPr="00812FFB">
        <w:lastRenderedPageBreak/>
        <w:t>6.</w:t>
      </w:r>
      <w:r w:rsidR="2F19DAA3" w:rsidRPr="00812FFB">
        <w:t xml:space="preserve"> </w:t>
      </w:r>
      <w:r w:rsidR="50A7F916" w:rsidRPr="00812FFB">
        <w:t>O</w:t>
      </w:r>
      <w:r w:rsidR="00F66F86" w:rsidRPr="00812FFB">
        <w:t xml:space="preserve">ther </w:t>
      </w:r>
      <w:r w:rsidR="31C5E64B" w:rsidRPr="00812FFB">
        <w:t>C</w:t>
      </w:r>
      <w:r w:rsidR="00F66F86" w:rsidRPr="00812FFB">
        <w:t>onsiderations</w:t>
      </w:r>
      <w:bookmarkEnd w:id="21"/>
    </w:p>
    <w:p w14:paraId="7735240B" w14:textId="6B71708D" w:rsidR="00EF6E19" w:rsidRPr="00812FFB" w:rsidRDefault="00EF6E19" w:rsidP="00904897">
      <w:pPr>
        <w:pStyle w:val="Heading2"/>
        <w:numPr>
          <w:ilvl w:val="0"/>
          <w:numId w:val="0"/>
        </w:numPr>
        <w:rPr>
          <w:sz w:val="20"/>
          <w:szCs w:val="20"/>
        </w:rPr>
      </w:pPr>
      <w:bookmarkStart w:id="22" w:name="_Toc150204556"/>
      <w:r w:rsidRPr="00812FFB">
        <w:rPr>
          <w:sz w:val="20"/>
          <w:szCs w:val="20"/>
        </w:rPr>
        <w:t>6.1 Campus-Wide Engagement and Customization</w:t>
      </w:r>
      <w:bookmarkEnd w:id="22"/>
    </w:p>
    <w:p w14:paraId="4CB4BBC5" w14:textId="77777777" w:rsidR="00EF6E19" w:rsidRPr="00812FFB" w:rsidRDefault="00EF6E19" w:rsidP="00CA52DE">
      <w:pPr>
        <w:jc w:val="both"/>
        <w:rPr>
          <w:sz w:val="20"/>
          <w:szCs w:val="20"/>
        </w:rPr>
      </w:pPr>
      <w:r w:rsidRPr="00812FFB">
        <w:rPr>
          <w:sz w:val="20"/>
          <w:szCs w:val="20"/>
        </w:rPr>
        <w:t>The National University of Singapore, being a diverse ecosystem with a myriad of disciplines, facilities, and student cultures, demands a unique approach to sustainability that is sensitive to its specificities. While broad-stroke measures can be applied across the campus, certain faculties or zones might have particular needs and preferences that could diverge from the general model. For instance, certain departments might prioritize energy conservation more than greenery due to their specific research needs or building constraints. Therefore, comprehensive engagement with each faculty, research unit, and even student bodies will ensure that the redesign addresses nuanced needs and ensures widespread buy-in.</w:t>
      </w:r>
    </w:p>
    <w:p w14:paraId="2638984E" w14:textId="77777777" w:rsidR="00904897" w:rsidRPr="00812FFB" w:rsidRDefault="00904897" w:rsidP="00CA52DE">
      <w:pPr>
        <w:jc w:val="both"/>
        <w:rPr>
          <w:sz w:val="20"/>
          <w:szCs w:val="20"/>
        </w:rPr>
      </w:pPr>
    </w:p>
    <w:p w14:paraId="2B45A713" w14:textId="4C94657C" w:rsidR="00F66F86" w:rsidRPr="00812FFB" w:rsidRDefault="00EF6E19" w:rsidP="00CA52DE">
      <w:pPr>
        <w:jc w:val="both"/>
        <w:rPr>
          <w:sz w:val="20"/>
          <w:szCs w:val="20"/>
        </w:rPr>
      </w:pPr>
      <w:r w:rsidRPr="00812FFB">
        <w:rPr>
          <w:sz w:val="20"/>
          <w:szCs w:val="20"/>
        </w:rPr>
        <w:t>Furthermore, these customized solutions might offer innovative models that could be replicated in other universities or large institutions, both locally and globally. Tailored solutions that resonate with the end-users often ensure better maintenance, adherence, and overall success in the long run.</w:t>
      </w:r>
    </w:p>
    <w:p w14:paraId="45CB7BF0" w14:textId="77777777" w:rsidR="00904897" w:rsidRPr="00812FFB" w:rsidRDefault="00904897" w:rsidP="00CA52DE">
      <w:pPr>
        <w:jc w:val="both"/>
        <w:rPr>
          <w:sz w:val="20"/>
          <w:szCs w:val="20"/>
        </w:rPr>
      </w:pPr>
    </w:p>
    <w:p w14:paraId="10CFA46B" w14:textId="77777777" w:rsidR="00032848" w:rsidRPr="00812FFB" w:rsidRDefault="00032848" w:rsidP="00904897">
      <w:pPr>
        <w:pStyle w:val="Heading2"/>
        <w:numPr>
          <w:ilvl w:val="0"/>
          <w:numId w:val="0"/>
        </w:numPr>
        <w:ind w:left="360" w:hanging="360"/>
        <w:rPr>
          <w:sz w:val="20"/>
          <w:szCs w:val="20"/>
        </w:rPr>
      </w:pPr>
      <w:bookmarkStart w:id="23" w:name="_Toc150204557"/>
      <w:r w:rsidRPr="00812FFB">
        <w:rPr>
          <w:sz w:val="20"/>
          <w:szCs w:val="20"/>
        </w:rPr>
        <w:t>6.2 Policy Implications and Stakeholder Engagement</w:t>
      </w:r>
      <w:bookmarkEnd w:id="23"/>
    </w:p>
    <w:p w14:paraId="08E35EF6" w14:textId="645BA97E" w:rsidR="00032848" w:rsidRPr="00812FFB" w:rsidRDefault="00032848" w:rsidP="00CA52DE">
      <w:pPr>
        <w:jc w:val="both"/>
        <w:rPr>
          <w:sz w:val="20"/>
          <w:szCs w:val="20"/>
        </w:rPr>
      </w:pPr>
      <w:r w:rsidRPr="00812FFB">
        <w:rPr>
          <w:sz w:val="20"/>
          <w:szCs w:val="20"/>
        </w:rPr>
        <w:t>Given the shift towards valuing both tangible and intangible benefits (like social and environmental impact) alongside traditional financial metrics, policymakers have an instrumental role to play in setting the groundwork for such projects. The NUS re-development project, for instance, might challenge traditional funding and valuation models, thus necessitating innovative policy measures.</w:t>
      </w:r>
      <w:r w:rsidR="4963D417" w:rsidRPr="0E043409">
        <w:rPr>
          <w:sz w:val="20"/>
          <w:szCs w:val="20"/>
        </w:rPr>
        <w:t xml:space="preserve"> </w:t>
      </w:r>
    </w:p>
    <w:p w14:paraId="08FD4037" w14:textId="77777777" w:rsidR="00904897" w:rsidRPr="00812FFB" w:rsidRDefault="00904897" w:rsidP="00CA52DE">
      <w:pPr>
        <w:jc w:val="both"/>
        <w:rPr>
          <w:sz w:val="20"/>
          <w:szCs w:val="20"/>
        </w:rPr>
      </w:pPr>
    </w:p>
    <w:p w14:paraId="106265A9" w14:textId="09677891" w:rsidR="00F66F86" w:rsidRPr="00812FFB" w:rsidRDefault="00032848" w:rsidP="00CA52DE">
      <w:pPr>
        <w:jc w:val="both"/>
        <w:rPr>
          <w:sz w:val="20"/>
          <w:szCs w:val="20"/>
        </w:rPr>
      </w:pPr>
      <w:r w:rsidRPr="00812FFB">
        <w:rPr>
          <w:sz w:val="20"/>
          <w:szCs w:val="20"/>
        </w:rPr>
        <w:t>Additionally, the collaboration between multiple stakeholders - from students and faculty to administrative staff and external partners - is paramount. Engaging these groups from the inception of the project ensures that the re-design aligns with their needs and expectations and can foster a sense of collective ownership and pride in the project's outcomes.</w:t>
      </w:r>
    </w:p>
    <w:p w14:paraId="54F8E2C7" w14:textId="77777777" w:rsidR="00904897" w:rsidRPr="00812FFB" w:rsidRDefault="00904897" w:rsidP="00CA52DE">
      <w:pPr>
        <w:jc w:val="both"/>
        <w:rPr>
          <w:sz w:val="20"/>
          <w:szCs w:val="20"/>
        </w:rPr>
      </w:pPr>
    </w:p>
    <w:p w14:paraId="118A61EB" w14:textId="35505D4D" w:rsidR="004A322F" w:rsidRPr="00812FFB" w:rsidRDefault="004A322F" w:rsidP="00904897">
      <w:pPr>
        <w:pStyle w:val="Heading2"/>
        <w:numPr>
          <w:ilvl w:val="0"/>
          <w:numId w:val="0"/>
        </w:numPr>
        <w:ind w:left="360" w:hanging="360"/>
        <w:rPr>
          <w:sz w:val="20"/>
          <w:szCs w:val="20"/>
        </w:rPr>
      </w:pPr>
      <w:bookmarkStart w:id="24" w:name="_Toc150204558"/>
      <w:r w:rsidRPr="00812FFB">
        <w:rPr>
          <w:sz w:val="20"/>
          <w:szCs w:val="20"/>
        </w:rPr>
        <w:t>6.3 Scaling Effect</w:t>
      </w:r>
      <w:bookmarkEnd w:id="24"/>
    </w:p>
    <w:p w14:paraId="2E248527" w14:textId="196653A2" w:rsidR="00F66F86" w:rsidRPr="00812FFB" w:rsidRDefault="00013341" w:rsidP="00CA52DE">
      <w:pPr>
        <w:jc w:val="both"/>
        <w:rPr>
          <w:sz w:val="20"/>
          <w:szCs w:val="20"/>
        </w:rPr>
      </w:pPr>
      <w:r w:rsidRPr="00812FFB">
        <w:rPr>
          <w:sz w:val="20"/>
          <w:szCs w:val="20"/>
        </w:rPr>
        <w:t xml:space="preserve">There will be significant </w:t>
      </w:r>
      <w:r w:rsidR="00C12ED4" w:rsidRPr="00812FFB">
        <w:rPr>
          <w:sz w:val="20"/>
          <w:szCs w:val="20"/>
        </w:rPr>
        <w:t>additional Social and Environmental Benefits from</w:t>
      </w:r>
      <w:r w:rsidR="00DC1819" w:rsidRPr="00812FFB">
        <w:rPr>
          <w:sz w:val="20"/>
          <w:szCs w:val="20"/>
        </w:rPr>
        <w:t xml:space="preserve"> scaling the</w:t>
      </w:r>
      <w:r w:rsidR="006B6ED6" w:rsidRPr="00812FFB">
        <w:rPr>
          <w:sz w:val="20"/>
          <w:szCs w:val="20"/>
        </w:rPr>
        <w:t xml:space="preserve"> </w:t>
      </w:r>
      <w:r w:rsidR="00DC1819" w:rsidRPr="00812FFB">
        <w:rPr>
          <w:sz w:val="20"/>
          <w:szCs w:val="20"/>
        </w:rPr>
        <w:t>re-development project given Singapore’s characteristics as a densely</w:t>
      </w:r>
      <w:r w:rsidR="005E505F" w:rsidRPr="00812FFB">
        <w:rPr>
          <w:sz w:val="20"/>
          <w:szCs w:val="20"/>
        </w:rPr>
        <w:t xml:space="preserve"> </w:t>
      </w:r>
      <w:r w:rsidR="00DC1819" w:rsidRPr="00812FFB">
        <w:rPr>
          <w:sz w:val="20"/>
          <w:szCs w:val="20"/>
        </w:rPr>
        <w:t>populated urban city</w:t>
      </w:r>
      <w:r w:rsidR="003C551B" w:rsidRPr="00812FFB">
        <w:rPr>
          <w:sz w:val="20"/>
          <w:szCs w:val="20"/>
        </w:rPr>
        <w:t xml:space="preserve"> which is in need of more </w:t>
      </w:r>
      <w:r w:rsidR="2E862BCD" w:rsidRPr="00812FFB">
        <w:rPr>
          <w:sz w:val="20"/>
          <w:szCs w:val="20"/>
        </w:rPr>
        <w:t>green</w:t>
      </w:r>
      <w:r w:rsidR="0037309E" w:rsidRPr="00812FFB">
        <w:rPr>
          <w:sz w:val="20"/>
          <w:szCs w:val="20"/>
        </w:rPr>
        <w:t xml:space="preserve"> spaces</w:t>
      </w:r>
      <w:r w:rsidR="00FA29A9" w:rsidRPr="00812FFB">
        <w:rPr>
          <w:sz w:val="20"/>
          <w:szCs w:val="20"/>
        </w:rPr>
        <w:t xml:space="preserve"> and</w:t>
      </w:r>
      <w:r w:rsidR="003C551B" w:rsidRPr="00812FFB">
        <w:rPr>
          <w:sz w:val="20"/>
          <w:szCs w:val="20"/>
        </w:rPr>
        <w:t xml:space="preserve"> has a focus on self-sufficiency due to their lack of resources</w:t>
      </w:r>
      <w:r w:rsidR="00E6768E" w:rsidRPr="00812FFB">
        <w:rPr>
          <w:sz w:val="20"/>
          <w:szCs w:val="20"/>
        </w:rPr>
        <w:t xml:space="preserve">. </w:t>
      </w:r>
      <w:r w:rsidR="00DA3CA6" w:rsidRPr="00812FFB">
        <w:rPr>
          <w:sz w:val="20"/>
          <w:szCs w:val="20"/>
        </w:rPr>
        <w:t xml:space="preserve">As in Section </w:t>
      </w:r>
      <w:r w:rsidR="000B4772" w:rsidRPr="00812FFB">
        <w:rPr>
          <w:sz w:val="20"/>
          <w:szCs w:val="20"/>
        </w:rPr>
        <w:t xml:space="preserve">4.4, the SROI </w:t>
      </w:r>
      <w:r w:rsidR="008F0C1D" w:rsidRPr="00812FFB">
        <w:rPr>
          <w:sz w:val="20"/>
          <w:szCs w:val="20"/>
        </w:rPr>
        <w:t xml:space="preserve">calculated for the </w:t>
      </w:r>
      <w:r w:rsidR="00B04E6C" w:rsidRPr="00812FFB">
        <w:rPr>
          <w:sz w:val="20"/>
          <w:szCs w:val="20"/>
        </w:rPr>
        <w:t xml:space="preserve">construction of Mobility Initiatives has a </w:t>
      </w:r>
      <w:r w:rsidR="00E06108" w:rsidRPr="00812FFB">
        <w:rPr>
          <w:sz w:val="20"/>
          <w:szCs w:val="20"/>
        </w:rPr>
        <w:t>negative</w:t>
      </w:r>
      <w:r w:rsidR="00B04E6C" w:rsidRPr="00812FFB">
        <w:rPr>
          <w:sz w:val="20"/>
          <w:szCs w:val="20"/>
        </w:rPr>
        <w:t xml:space="preserve"> SROI of 0.51 in our base scenario due to t</w:t>
      </w:r>
      <w:r w:rsidR="00E06108" w:rsidRPr="00812FFB">
        <w:rPr>
          <w:sz w:val="20"/>
          <w:szCs w:val="20"/>
        </w:rPr>
        <w:t>he large in</w:t>
      </w:r>
      <w:r w:rsidR="00EA0D42" w:rsidRPr="00812FFB">
        <w:rPr>
          <w:sz w:val="20"/>
          <w:szCs w:val="20"/>
        </w:rPr>
        <w:t>i</w:t>
      </w:r>
      <w:r w:rsidR="00E06108" w:rsidRPr="00812FFB">
        <w:rPr>
          <w:sz w:val="20"/>
          <w:szCs w:val="20"/>
        </w:rPr>
        <w:t>ti</w:t>
      </w:r>
      <w:r w:rsidR="00EA5537" w:rsidRPr="00812FFB">
        <w:rPr>
          <w:sz w:val="20"/>
          <w:szCs w:val="20"/>
        </w:rPr>
        <w:t>al capital outlay</w:t>
      </w:r>
      <w:r w:rsidR="00EA0D42" w:rsidRPr="00812FFB">
        <w:rPr>
          <w:sz w:val="20"/>
          <w:szCs w:val="20"/>
        </w:rPr>
        <w:t xml:space="preserve"> and costs</w:t>
      </w:r>
      <w:r w:rsidR="00EA5537" w:rsidRPr="00812FFB">
        <w:rPr>
          <w:sz w:val="20"/>
          <w:szCs w:val="20"/>
        </w:rPr>
        <w:t xml:space="preserve"> relative to the</w:t>
      </w:r>
      <w:r w:rsidR="00EA0D42" w:rsidRPr="00812FFB">
        <w:rPr>
          <w:sz w:val="20"/>
          <w:szCs w:val="20"/>
        </w:rPr>
        <w:t xml:space="preserve"> benefits. </w:t>
      </w:r>
      <w:r w:rsidR="003C3D80" w:rsidRPr="00812FFB">
        <w:rPr>
          <w:sz w:val="20"/>
          <w:szCs w:val="20"/>
        </w:rPr>
        <w:t>With Economies of scale, the beneficiaries of the project will increase and be extended to Singapore residents, reaping greater benefits and gaining a higher SREOI on the Mobility</w:t>
      </w:r>
      <w:r w:rsidR="00C178DC" w:rsidRPr="00812FFB">
        <w:rPr>
          <w:sz w:val="20"/>
          <w:szCs w:val="20"/>
        </w:rPr>
        <w:t xml:space="preserve"> component of the</w:t>
      </w:r>
      <w:r w:rsidR="003C3D80" w:rsidRPr="00812FFB">
        <w:rPr>
          <w:sz w:val="20"/>
          <w:szCs w:val="20"/>
        </w:rPr>
        <w:t xml:space="preserve"> project. </w:t>
      </w:r>
      <w:r w:rsidR="00EA5537" w:rsidRPr="00812FFB">
        <w:rPr>
          <w:sz w:val="20"/>
          <w:szCs w:val="20"/>
        </w:rPr>
        <w:t xml:space="preserve"> </w:t>
      </w:r>
      <w:r w:rsidR="000B4772" w:rsidRPr="00812FFB">
        <w:rPr>
          <w:sz w:val="20"/>
          <w:szCs w:val="20"/>
        </w:rPr>
        <w:t xml:space="preserve"> </w:t>
      </w:r>
      <w:r w:rsidR="00DA3CA6" w:rsidRPr="00812FFB">
        <w:rPr>
          <w:sz w:val="20"/>
          <w:szCs w:val="20"/>
        </w:rPr>
        <w:t xml:space="preserve"> </w:t>
      </w:r>
    </w:p>
    <w:p w14:paraId="0A3710C1" w14:textId="77777777" w:rsidR="00904897" w:rsidRPr="00812FFB" w:rsidRDefault="00904897" w:rsidP="00CA52DE">
      <w:pPr>
        <w:jc w:val="both"/>
        <w:rPr>
          <w:sz w:val="20"/>
          <w:szCs w:val="20"/>
        </w:rPr>
      </w:pPr>
    </w:p>
    <w:p w14:paraId="1EDDC1CF" w14:textId="3C9EF874" w:rsidR="00F66F86" w:rsidRPr="00812FFB" w:rsidRDefault="00FA29A9" w:rsidP="00812FFB">
      <w:pPr>
        <w:jc w:val="both"/>
        <w:rPr>
          <w:sz w:val="20"/>
          <w:szCs w:val="20"/>
        </w:rPr>
      </w:pPr>
      <w:r w:rsidRPr="00812FFB">
        <w:rPr>
          <w:sz w:val="20"/>
          <w:szCs w:val="20"/>
        </w:rPr>
        <w:t xml:space="preserve">With respect to scaling the </w:t>
      </w:r>
      <w:r w:rsidR="00177A3F" w:rsidRPr="00812FFB">
        <w:rPr>
          <w:sz w:val="20"/>
          <w:szCs w:val="20"/>
        </w:rPr>
        <w:t xml:space="preserve">Energy component of the </w:t>
      </w:r>
      <w:r w:rsidRPr="00812FFB">
        <w:rPr>
          <w:sz w:val="20"/>
          <w:szCs w:val="20"/>
        </w:rPr>
        <w:t>project</w:t>
      </w:r>
      <w:r w:rsidR="00177A3F" w:rsidRPr="00812FFB">
        <w:rPr>
          <w:sz w:val="20"/>
          <w:szCs w:val="20"/>
        </w:rPr>
        <w:t xml:space="preserve">, Singapore as a </w:t>
      </w:r>
      <w:r w:rsidR="00B17620" w:rsidRPr="00812FFB">
        <w:rPr>
          <w:sz w:val="20"/>
          <w:szCs w:val="20"/>
        </w:rPr>
        <w:t xml:space="preserve">tropical country on the equator has an even </w:t>
      </w:r>
      <w:r w:rsidR="00011B37" w:rsidRPr="00812FFB">
        <w:rPr>
          <w:sz w:val="20"/>
          <w:szCs w:val="20"/>
        </w:rPr>
        <w:t xml:space="preserve">distribution of rainfall throughout the island, receiving high levels of </w:t>
      </w:r>
      <w:r w:rsidR="5BA57047" w:rsidRPr="0E043409">
        <w:rPr>
          <w:sz w:val="20"/>
          <w:szCs w:val="20"/>
        </w:rPr>
        <w:t>i</w:t>
      </w:r>
      <w:r w:rsidR="001F0B77" w:rsidRPr="0E043409">
        <w:rPr>
          <w:sz w:val="20"/>
          <w:szCs w:val="20"/>
        </w:rPr>
        <w:t>rradiation</w:t>
      </w:r>
      <w:r w:rsidR="001F0B77" w:rsidRPr="00812FFB">
        <w:rPr>
          <w:sz w:val="20"/>
          <w:szCs w:val="20"/>
        </w:rPr>
        <w:t xml:space="preserve"> throughout the year. </w:t>
      </w:r>
      <w:r w:rsidR="00387959" w:rsidRPr="00812FFB">
        <w:rPr>
          <w:sz w:val="20"/>
          <w:szCs w:val="20"/>
        </w:rPr>
        <w:t>Thus, the re-development plan can feasib</w:t>
      </w:r>
      <w:r w:rsidR="00460487" w:rsidRPr="00812FFB">
        <w:rPr>
          <w:sz w:val="20"/>
          <w:szCs w:val="20"/>
        </w:rPr>
        <w:t xml:space="preserve">ly be scaled to other parts of Singapore. </w:t>
      </w:r>
    </w:p>
    <w:p w14:paraId="2E81EF24" w14:textId="78DBDCFD" w:rsidR="62E4FD21" w:rsidRPr="00812FFB" w:rsidRDefault="005E505F" w:rsidP="007A35B1">
      <w:pPr>
        <w:pStyle w:val="Heading1"/>
      </w:pPr>
      <w:bookmarkStart w:id="25" w:name="_Toc150204559"/>
      <w:r w:rsidRPr="00812FFB">
        <w:t>7. C</w:t>
      </w:r>
      <w:r w:rsidR="00B25CD3" w:rsidRPr="00812FFB">
        <w:t xml:space="preserve">onclusion and </w:t>
      </w:r>
      <w:r w:rsidR="775E7FFB" w:rsidRPr="00812FFB">
        <w:t>T</w:t>
      </w:r>
      <w:r w:rsidR="00B25CD3" w:rsidRPr="00812FFB">
        <w:t xml:space="preserve">akeaway for </w:t>
      </w:r>
      <w:r w:rsidR="416BA038" w:rsidRPr="00812FFB">
        <w:t>t</w:t>
      </w:r>
      <w:r w:rsidR="00B25CD3" w:rsidRPr="00812FFB">
        <w:t xml:space="preserve">he </w:t>
      </w:r>
      <w:r w:rsidR="07BB3601" w:rsidRPr="00812FFB">
        <w:t>T</w:t>
      </w:r>
      <w:r w:rsidR="00B25CD3" w:rsidRPr="00812FFB">
        <w:t>eam</w:t>
      </w:r>
      <w:bookmarkEnd w:id="25"/>
    </w:p>
    <w:p w14:paraId="28DD84A2" w14:textId="4867A7FF" w:rsidR="00812FFB" w:rsidRDefault="6A7820D4" w:rsidP="00812FFB">
      <w:pPr>
        <w:jc w:val="both"/>
        <w:rPr>
          <w:sz w:val="20"/>
          <w:szCs w:val="20"/>
        </w:rPr>
      </w:pPr>
      <w:r w:rsidRPr="00812FFB">
        <w:rPr>
          <w:sz w:val="20"/>
          <w:szCs w:val="20"/>
        </w:rPr>
        <w:t xml:space="preserve">It is beneficial to undertake the NUS campus master plan as the base case SROI is 2.65 - the benefits more than double the costs </w:t>
      </w:r>
      <w:r w:rsidR="228666A8" w:rsidRPr="00812FFB">
        <w:rPr>
          <w:sz w:val="20"/>
          <w:szCs w:val="20"/>
        </w:rPr>
        <w:t xml:space="preserve">of the project. </w:t>
      </w:r>
      <w:r w:rsidR="42021CCB" w:rsidRPr="00812FFB">
        <w:rPr>
          <w:sz w:val="20"/>
          <w:szCs w:val="20"/>
        </w:rPr>
        <w:t xml:space="preserve">A closer look at the key elements reveals that the top 3 contributors to the net social benefits are energy (51%), public space (21%) and greenery (15%). </w:t>
      </w:r>
      <w:r w:rsidR="4EFCC725" w:rsidRPr="00812FFB">
        <w:rPr>
          <w:sz w:val="20"/>
          <w:szCs w:val="20"/>
        </w:rPr>
        <w:t xml:space="preserve">However, the energy element had a low SROI (1.22) on its own due to the high investments needed at the start; greenery and public space had higher SROI and contributed most to the overall SROI of 2.65. </w:t>
      </w:r>
      <w:r w:rsidR="290ADF12" w:rsidRPr="00812FFB">
        <w:rPr>
          <w:sz w:val="20"/>
          <w:szCs w:val="20"/>
        </w:rPr>
        <w:t xml:space="preserve">even in the worst-case scenario, the SROI is 1.24. 24% return on </w:t>
      </w:r>
      <w:r w:rsidR="5184084C" w:rsidRPr="00812FFB">
        <w:rPr>
          <w:sz w:val="20"/>
          <w:szCs w:val="20"/>
        </w:rPr>
        <w:t xml:space="preserve">social </w:t>
      </w:r>
      <w:r w:rsidR="290ADF12" w:rsidRPr="00812FFB">
        <w:rPr>
          <w:sz w:val="20"/>
          <w:szCs w:val="20"/>
        </w:rPr>
        <w:t>inve</w:t>
      </w:r>
      <w:r w:rsidR="684CD0F2" w:rsidRPr="00812FFB">
        <w:rPr>
          <w:sz w:val="20"/>
          <w:szCs w:val="20"/>
        </w:rPr>
        <w:t>stment is sizeable and</w:t>
      </w:r>
      <w:r w:rsidR="7AD39E37" w:rsidRPr="00812FFB">
        <w:rPr>
          <w:sz w:val="20"/>
          <w:szCs w:val="20"/>
        </w:rPr>
        <w:t xml:space="preserve"> unambiguously</w:t>
      </w:r>
      <w:r w:rsidR="684CD0F2" w:rsidRPr="00812FFB">
        <w:rPr>
          <w:sz w:val="20"/>
          <w:szCs w:val="20"/>
        </w:rPr>
        <w:t xml:space="preserve"> beats the public market</w:t>
      </w:r>
      <w:r w:rsidR="0EA0D366" w:rsidRPr="00812FFB">
        <w:rPr>
          <w:sz w:val="20"/>
          <w:szCs w:val="20"/>
        </w:rPr>
        <w:t>. Therefore, we recommend pursuing the NUS campus master plan.</w:t>
      </w:r>
    </w:p>
    <w:p w14:paraId="0D6128D3" w14:textId="64E22890" w:rsidR="56CA3777" w:rsidRDefault="56CA3777" w:rsidP="56CA3777">
      <w:pPr>
        <w:jc w:val="both"/>
        <w:rPr>
          <w:sz w:val="20"/>
          <w:szCs w:val="20"/>
        </w:rPr>
      </w:pPr>
    </w:p>
    <w:p w14:paraId="5CE0476E" w14:textId="34944E45" w:rsidR="71C59695" w:rsidRDefault="71C59695" w:rsidP="0E043409">
      <w:pPr>
        <w:jc w:val="both"/>
        <w:rPr>
          <w:sz w:val="20"/>
          <w:szCs w:val="20"/>
        </w:rPr>
      </w:pPr>
      <w:r w:rsidRPr="0E043409">
        <w:rPr>
          <w:sz w:val="20"/>
          <w:szCs w:val="20"/>
        </w:rPr>
        <w:t xml:space="preserve">In the process of modelling the future benefits of the projects, there are a few </w:t>
      </w:r>
      <w:r w:rsidR="4712F71D" w:rsidRPr="0E043409">
        <w:rPr>
          <w:sz w:val="20"/>
          <w:szCs w:val="20"/>
        </w:rPr>
        <w:t xml:space="preserve">takeaways for the group. Firstly, the financial proxies </w:t>
      </w:r>
      <w:r w:rsidR="73242BC4" w:rsidRPr="0E043409">
        <w:rPr>
          <w:sz w:val="20"/>
          <w:szCs w:val="20"/>
        </w:rPr>
        <w:t xml:space="preserve">used were merely estimates based on reasonable assumptions. </w:t>
      </w:r>
      <w:r w:rsidR="24C08456" w:rsidRPr="0E043409">
        <w:rPr>
          <w:sz w:val="20"/>
          <w:szCs w:val="20"/>
        </w:rPr>
        <w:t>T</w:t>
      </w:r>
      <w:r w:rsidR="73242BC4" w:rsidRPr="0E043409">
        <w:rPr>
          <w:sz w:val="20"/>
          <w:szCs w:val="20"/>
        </w:rPr>
        <w:t>her</w:t>
      </w:r>
      <w:r w:rsidR="24C08456" w:rsidRPr="0E043409">
        <w:rPr>
          <w:sz w:val="20"/>
          <w:szCs w:val="20"/>
        </w:rPr>
        <w:t xml:space="preserve">efore, the modelling result can only be used as a reference for decision making. For example, </w:t>
      </w:r>
      <w:r w:rsidR="2D67D508" w:rsidRPr="0E043409">
        <w:rPr>
          <w:sz w:val="20"/>
          <w:szCs w:val="20"/>
        </w:rPr>
        <w:t xml:space="preserve">when deciding on the financial proxies for the energy element, there is a lack of data on windmills in Singapore, and data from other countries were used as a proxy for </w:t>
      </w:r>
      <w:r w:rsidR="6EB8F470" w:rsidRPr="0E043409">
        <w:rPr>
          <w:sz w:val="20"/>
          <w:szCs w:val="20"/>
        </w:rPr>
        <w:t xml:space="preserve">the energy generating capacity of windmills in Singapore. The choice of estimates affects </w:t>
      </w:r>
      <w:r w:rsidR="0C76164A" w:rsidRPr="0E043409">
        <w:rPr>
          <w:sz w:val="20"/>
          <w:szCs w:val="20"/>
        </w:rPr>
        <w:t>the result</w:t>
      </w:r>
      <w:r w:rsidR="6EB8F470" w:rsidRPr="0E043409">
        <w:rPr>
          <w:sz w:val="20"/>
          <w:szCs w:val="20"/>
        </w:rPr>
        <w:t xml:space="preserve">. </w:t>
      </w:r>
    </w:p>
    <w:p w14:paraId="6A626E97" w14:textId="5F29E402" w:rsidR="0E043409" w:rsidRDefault="0E043409" w:rsidP="0E043409">
      <w:pPr>
        <w:jc w:val="both"/>
        <w:rPr>
          <w:sz w:val="20"/>
          <w:szCs w:val="20"/>
        </w:rPr>
      </w:pPr>
    </w:p>
    <w:p w14:paraId="1F4B4B92" w14:textId="3C349906" w:rsidR="2942B248" w:rsidRDefault="2942B248" w:rsidP="0E043409">
      <w:pPr>
        <w:jc w:val="both"/>
        <w:rPr>
          <w:sz w:val="20"/>
          <w:szCs w:val="20"/>
        </w:rPr>
      </w:pPr>
      <w:r w:rsidRPr="0E043409">
        <w:rPr>
          <w:sz w:val="20"/>
          <w:szCs w:val="20"/>
        </w:rPr>
        <w:t>Another</w:t>
      </w:r>
      <w:r w:rsidR="24C08456" w:rsidRPr="0E043409">
        <w:rPr>
          <w:sz w:val="20"/>
          <w:szCs w:val="20"/>
        </w:rPr>
        <w:t xml:space="preserve"> </w:t>
      </w:r>
      <w:r w:rsidRPr="0E043409">
        <w:rPr>
          <w:sz w:val="20"/>
          <w:szCs w:val="20"/>
        </w:rPr>
        <w:t xml:space="preserve">key takeaway for the group is the </w:t>
      </w:r>
      <w:r w:rsidR="245129F8" w:rsidRPr="0E043409">
        <w:rPr>
          <w:sz w:val="20"/>
          <w:szCs w:val="20"/>
        </w:rPr>
        <w:t xml:space="preserve">importance of breaking down the total benefit, total cost and SROI by </w:t>
      </w:r>
      <w:r w:rsidR="1DE1A79B" w:rsidRPr="0E043409">
        <w:rPr>
          <w:sz w:val="20"/>
          <w:szCs w:val="20"/>
        </w:rPr>
        <w:t xml:space="preserve">contributing elements. For example, a </w:t>
      </w:r>
      <w:r w:rsidR="6A470A77" w:rsidRPr="0E043409">
        <w:rPr>
          <w:sz w:val="20"/>
          <w:szCs w:val="20"/>
        </w:rPr>
        <w:t>breakdown</w:t>
      </w:r>
      <w:r w:rsidR="1DE1A79B" w:rsidRPr="0E043409">
        <w:rPr>
          <w:sz w:val="20"/>
          <w:szCs w:val="20"/>
        </w:rPr>
        <w:t xml:space="preserve"> of SROI shows that greenery and public </w:t>
      </w:r>
      <w:r w:rsidR="0576478B" w:rsidRPr="0E043409">
        <w:rPr>
          <w:sz w:val="20"/>
          <w:szCs w:val="20"/>
        </w:rPr>
        <w:t xml:space="preserve">are the major contributors of SROI despite </w:t>
      </w:r>
      <w:r w:rsidR="06BF58C8" w:rsidRPr="0E043409">
        <w:rPr>
          <w:sz w:val="20"/>
          <w:szCs w:val="20"/>
        </w:rPr>
        <w:t xml:space="preserve">energy element contributing 51% to the total benefits. This provides important insights for the management, and </w:t>
      </w:r>
      <w:r w:rsidR="3261C4C5" w:rsidRPr="0E043409">
        <w:rPr>
          <w:sz w:val="20"/>
          <w:szCs w:val="20"/>
        </w:rPr>
        <w:t>they may be able to better prioritise the projects given constraints like time or budget constraints, to achieve an optimal social return on investment.</w:t>
      </w:r>
    </w:p>
    <w:p w14:paraId="20721AA5" w14:textId="0B60D2C0" w:rsidR="0E043409" w:rsidRDefault="0E043409" w:rsidP="0E043409">
      <w:pPr>
        <w:jc w:val="both"/>
        <w:rPr>
          <w:sz w:val="20"/>
          <w:szCs w:val="20"/>
        </w:rPr>
      </w:pPr>
    </w:p>
    <w:p w14:paraId="10955A64" w14:textId="58B77778" w:rsidR="2635BA0C" w:rsidRDefault="2635BA0C" w:rsidP="0E043409">
      <w:pPr>
        <w:jc w:val="both"/>
        <w:rPr>
          <w:sz w:val="20"/>
          <w:szCs w:val="20"/>
        </w:rPr>
      </w:pPr>
      <w:r w:rsidRPr="0E043409">
        <w:rPr>
          <w:sz w:val="20"/>
          <w:szCs w:val="20"/>
        </w:rPr>
        <w:t>Lastly, the group also recognises the importance of sensitivity and scenario analysis when performing financial model</w:t>
      </w:r>
      <w:r w:rsidR="6BB784C0" w:rsidRPr="0E043409">
        <w:rPr>
          <w:sz w:val="20"/>
          <w:szCs w:val="20"/>
        </w:rPr>
        <w:t>l</w:t>
      </w:r>
      <w:r w:rsidRPr="0E043409">
        <w:rPr>
          <w:sz w:val="20"/>
          <w:szCs w:val="20"/>
        </w:rPr>
        <w:t>ing</w:t>
      </w:r>
      <w:r w:rsidR="463F5A5C" w:rsidRPr="0E043409">
        <w:rPr>
          <w:sz w:val="20"/>
          <w:szCs w:val="20"/>
        </w:rPr>
        <w:t xml:space="preserve"> as they test the robustness of the modelling result and highlight parameters that affect the result most. For example, in this model</w:t>
      </w:r>
      <w:r w:rsidR="3EEE08F7" w:rsidRPr="0E043409">
        <w:rPr>
          <w:sz w:val="20"/>
          <w:szCs w:val="20"/>
        </w:rPr>
        <w:t xml:space="preserve">, sensitivity analysis shows that changes in cost of capital have a large impact on the SROI. </w:t>
      </w:r>
      <w:r w:rsidR="57F86C3C" w:rsidRPr="0E043409">
        <w:rPr>
          <w:sz w:val="20"/>
          <w:szCs w:val="20"/>
        </w:rPr>
        <w:t>T</w:t>
      </w:r>
      <w:r w:rsidR="3EEE08F7" w:rsidRPr="0E043409">
        <w:rPr>
          <w:sz w:val="20"/>
          <w:szCs w:val="20"/>
        </w:rPr>
        <w:t>h</w:t>
      </w:r>
      <w:r w:rsidR="57F86C3C" w:rsidRPr="0E043409">
        <w:rPr>
          <w:sz w:val="20"/>
          <w:szCs w:val="20"/>
        </w:rPr>
        <w:t xml:space="preserve">is could prompt decision makers to relook at the cost of capital assumptions to make sure they are realistic and reliable. </w:t>
      </w:r>
      <w:r w:rsidR="463F5A5C" w:rsidRPr="0E043409">
        <w:rPr>
          <w:sz w:val="20"/>
          <w:szCs w:val="20"/>
        </w:rPr>
        <w:t xml:space="preserve"> </w:t>
      </w:r>
    </w:p>
    <w:p w14:paraId="26569728" w14:textId="509CC279" w:rsidR="00603C59" w:rsidRPr="00812FFB" w:rsidRDefault="005E505F" w:rsidP="007A35B1">
      <w:pPr>
        <w:pStyle w:val="Heading1"/>
      </w:pPr>
      <w:bookmarkStart w:id="26" w:name="_Toc150204560"/>
      <w:r w:rsidRPr="00812FFB">
        <w:lastRenderedPageBreak/>
        <w:t>8. References</w:t>
      </w:r>
      <w:bookmarkEnd w:id="26"/>
    </w:p>
    <w:p w14:paraId="53128600" w14:textId="77777777" w:rsidR="00603C59" w:rsidRPr="00A64D3E" w:rsidRDefault="00603C59" w:rsidP="00812FFB">
      <w:pPr>
        <w:autoSpaceDE w:val="0"/>
        <w:autoSpaceDN w:val="0"/>
        <w:adjustRightInd w:val="0"/>
        <w:ind w:left="755" w:hanging="756"/>
        <w:rPr>
          <w:rFonts w:ascii="Times-Roman" w:eastAsiaTheme="minorHAnsi" w:hAnsi="Times-Roman" w:cs="Times-Roman"/>
          <w:color w:val="000000" w:themeColor="text1"/>
          <w:sz w:val="16"/>
          <w:szCs w:val="16"/>
          <w:lang w:val="en-GB" w:eastAsia="en-US"/>
        </w:rPr>
      </w:pPr>
      <w:r w:rsidRPr="00A64D3E">
        <w:rPr>
          <w:rFonts w:ascii="Times-Roman" w:eastAsiaTheme="minorHAnsi" w:hAnsi="Times-Roman" w:cs="Times-Roman"/>
          <w:color w:val="000000" w:themeColor="text1"/>
          <w:sz w:val="16"/>
          <w:szCs w:val="16"/>
          <w:lang w:val="en-GB" w:eastAsia="en-US"/>
        </w:rPr>
        <w:t xml:space="preserve">Auto, H. (2021, June 18). </w:t>
      </w:r>
      <w:r w:rsidRPr="00A64D3E">
        <w:rPr>
          <w:rFonts w:ascii="Times-Italic" w:eastAsiaTheme="minorHAnsi" w:hAnsi="Times-Italic" w:cs="Times-Italic"/>
          <w:i/>
          <w:iCs/>
          <w:color w:val="000000" w:themeColor="text1"/>
          <w:sz w:val="16"/>
          <w:szCs w:val="16"/>
          <w:lang w:val="en-GB" w:eastAsia="en-US"/>
        </w:rPr>
        <w:t xml:space="preserve">More </w:t>
      </w:r>
      <w:proofErr w:type="spellStart"/>
      <w:r w:rsidRPr="00A64D3E">
        <w:rPr>
          <w:rFonts w:ascii="Times-Italic" w:eastAsiaTheme="minorHAnsi" w:hAnsi="Times-Italic" w:cs="Times-Italic"/>
          <w:i/>
          <w:iCs/>
          <w:color w:val="000000" w:themeColor="text1"/>
          <w:sz w:val="16"/>
          <w:szCs w:val="16"/>
          <w:lang w:val="en-GB" w:eastAsia="en-US"/>
        </w:rPr>
        <w:t>s’pore</w:t>
      </w:r>
      <w:proofErr w:type="spellEnd"/>
      <w:r w:rsidRPr="00A64D3E">
        <w:rPr>
          <w:rFonts w:ascii="Times-Italic" w:eastAsiaTheme="minorHAnsi" w:hAnsi="Times-Italic" w:cs="Times-Italic"/>
          <w:i/>
          <w:iCs/>
          <w:color w:val="000000" w:themeColor="text1"/>
          <w:sz w:val="16"/>
          <w:szCs w:val="16"/>
          <w:lang w:val="en-GB" w:eastAsia="en-US"/>
        </w:rPr>
        <w:t xml:space="preserve"> residents take trains and buses to work, fewer drive to the Office: Population Census</w:t>
      </w:r>
      <w:r w:rsidRPr="00A64D3E">
        <w:rPr>
          <w:rFonts w:ascii="Times-Roman" w:eastAsiaTheme="minorHAnsi" w:hAnsi="Times-Roman" w:cs="Times-Roman"/>
          <w:color w:val="000000" w:themeColor="text1"/>
          <w:sz w:val="16"/>
          <w:szCs w:val="16"/>
          <w:lang w:val="en-GB" w:eastAsia="en-US"/>
        </w:rPr>
        <w:t>. The Straits Times. https://www.straitstimes.com/singapore/more-spore-residents-take-trains-and-buses-to-work-fewer-drive-to-the-office-population#:~:text=The%20proportion%20of%20those%20who,travelled%20to%20work%20and%20school.</w:t>
      </w:r>
    </w:p>
    <w:p w14:paraId="08AB855F" w14:textId="77777777" w:rsidR="00603C59" w:rsidRPr="00A64D3E" w:rsidRDefault="00603C59" w:rsidP="00812FFB">
      <w:pPr>
        <w:autoSpaceDE w:val="0"/>
        <w:autoSpaceDN w:val="0"/>
        <w:adjustRightInd w:val="0"/>
        <w:ind w:left="755" w:hanging="756"/>
        <w:rPr>
          <w:rFonts w:ascii="Times-Roman" w:eastAsiaTheme="minorHAnsi" w:hAnsi="Times-Roman" w:cs="Times-Roman"/>
          <w:color w:val="000000" w:themeColor="text1"/>
          <w:sz w:val="16"/>
          <w:szCs w:val="16"/>
          <w:lang w:val="en-GB" w:eastAsia="en-US"/>
        </w:rPr>
      </w:pPr>
      <w:r w:rsidRPr="00A64D3E">
        <w:rPr>
          <w:rFonts w:ascii="Times-Roman" w:eastAsiaTheme="minorHAnsi" w:hAnsi="Times-Roman" w:cs="Times-Roman"/>
          <w:color w:val="000000" w:themeColor="text1"/>
          <w:sz w:val="16"/>
          <w:szCs w:val="16"/>
          <w:lang w:val="en-GB" w:eastAsia="en-US"/>
        </w:rPr>
        <w:t xml:space="preserve">Auto, H. (2022, April 23). </w:t>
      </w:r>
      <w:r w:rsidRPr="00A64D3E">
        <w:rPr>
          <w:rFonts w:ascii="Times-Italic" w:eastAsiaTheme="minorHAnsi" w:hAnsi="Times-Italic" w:cs="Times-Italic"/>
          <w:i/>
          <w:iCs/>
          <w:color w:val="000000" w:themeColor="text1"/>
          <w:sz w:val="16"/>
          <w:szCs w:val="16"/>
          <w:lang w:val="en-GB" w:eastAsia="en-US"/>
        </w:rPr>
        <w:t xml:space="preserve">So many leisure cyclists. what will nudge more to cycle to </w:t>
      </w:r>
      <w:proofErr w:type="gramStart"/>
      <w:r w:rsidRPr="00A64D3E">
        <w:rPr>
          <w:rFonts w:ascii="Times-Italic" w:eastAsiaTheme="minorHAnsi" w:hAnsi="Times-Italic" w:cs="Times-Italic"/>
          <w:i/>
          <w:iCs/>
          <w:color w:val="000000" w:themeColor="text1"/>
          <w:sz w:val="16"/>
          <w:szCs w:val="16"/>
          <w:lang w:val="en-GB" w:eastAsia="en-US"/>
        </w:rPr>
        <w:t>work?</w:t>
      </w:r>
      <w:r w:rsidRPr="00A64D3E">
        <w:rPr>
          <w:rFonts w:ascii="Times-Roman" w:eastAsiaTheme="minorHAnsi" w:hAnsi="Times-Roman" w:cs="Times-Roman"/>
          <w:color w:val="000000" w:themeColor="text1"/>
          <w:sz w:val="16"/>
          <w:szCs w:val="16"/>
          <w:lang w:val="en-GB" w:eastAsia="en-US"/>
        </w:rPr>
        <w:t>.</w:t>
      </w:r>
      <w:proofErr w:type="gramEnd"/>
      <w:r w:rsidRPr="00A64D3E">
        <w:rPr>
          <w:rFonts w:ascii="Times-Roman" w:eastAsiaTheme="minorHAnsi" w:hAnsi="Times-Roman" w:cs="Times-Roman"/>
          <w:color w:val="000000" w:themeColor="text1"/>
          <w:sz w:val="16"/>
          <w:szCs w:val="16"/>
          <w:lang w:val="en-GB" w:eastAsia="en-US"/>
        </w:rPr>
        <w:t xml:space="preserve"> The Straits Times. https://www.straitstimes.com/singapore/homeground-so-many-leisure-cyclists-what-will-nudge-more-to-cycle-to-work</w:t>
      </w:r>
    </w:p>
    <w:p w14:paraId="3728390C" w14:textId="77777777" w:rsidR="00603C59" w:rsidRPr="00A64D3E" w:rsidRDefault="00603C59" w:rsidP="00812FFB">
      <w:pPr>
        <w:ind w:left="567" w:hanging="567"/>
        <w:rPr>
          <w:rFonts w:eastAsiaTheme="minorEastAsia"/>
          <w:color w:val="000000" w:themeColor="text1"/>
          <w:sz w:val="16"/>
          <w:szCs w:val="16"/>
        </w:rPr>
      </w:pPr>
      <w:r w:rsidRPr="00A64D3E">
        <w:rPr>
          <w:rFonts w:eastAsiaTheme="minorEastAsia"/>
          <w:i/>
          <w:iCs/>
          <w:color w:val="000000" w:themeColor="text1"/>
          <w:sz w:val="16"/>
          <w:szCs w:val="16"/>
        </w:rPr>
        <w:t>Building a better environment for cycling and walking</w:t>
      </w:r>
      <w:r w:rsidRPr="00A64D3E">
        <w:rPr>
          <w:rFonts w:eastAsiaTheme="minorEastAsia"/>
          <w:color w:val="000000" w:themeColor="text1"/>
          <w:sz w:val="16"/>
          <w:szCs w:val="16"/>
        </w:rPr>
        <w:t xml:space="preserve">. Urban Redevelopment Authority. (2016). </w:t>
      </w:r>
      <w:hyperlink r:id="rId18">
        <w:r w:rsidRPr="00A64D3E">
          <w:rPr>
            <w:rStyle w:val="Hyperlink"/>
            <w:rFonts w:eastAsiaTheme="minorEastAsia"/>
            <w:color w:val="000000" w:themeColor="text1"/>
            <w:sz w:val="16"/>
            <w:szCs w:val="16"/>
          </w:rPr>
          <w:t>https://www.ura.gov.sg/Corporate/Media-Room/Media-Releases/pr16-27</w:t>
        </w:r>
      </w:hyperlink>
    </w:p>
    <w:p w14:paraId="2105841C" w14:textId="77777777" w:rsidR="00603C59" w:rsidRPr="00A64D3E" w:rsidRDefault="00603C59" w:rsidP="00812FFB">
      <w:pPr>
        <w:ind w:left="567" w:hanging="567"/>
        <w:rPr>
          <w:color w:val="000000" w:themeColor="text1"/>
          <w:sz w:val="16"/>
          <w:szCs w:val="16"/>
        </w:rPr>
      </w:pPr>
      <w:r w:rsidRPr="00A64D3E">
        <w:rPr>
          <w:color w:val="000000" w:themeColor="text1"/>
          <w:sz w:val="16"/>
          <w:szCs w:val="16"/>
        </w:rPr>
        <w:t xml:space="preserve">Cohen, D. A., McKenzie, T. L., Sehgal, A., Williamson, S., </w:t>
      </w:r>
      <w:proofErr w:type="spellStart"/>
      <w:r w:rsidRPr="00A64D3E">
        <w:rPr>
          <w:color w:val="000000" w:themeColor="text1"/>
          <w:sz w:val="16"/>
          <w:szCs w:val="16"/>
        </w:rPr>
        <w:t>Golinelli</w:t>
      </w:r>
      <w:proofErr w:type="spellEnd"/>
      <w:r w:rsidRPr="00A64D3E">
        <w:rPr>
          <w:color w:val="000000" w:themeColor="text1"/>
          <w:sz w:val="16"/>
          <w:szCs w:val="16"/>
        </w:rPr>
        <w:t xml:space="preserve">, D., &amp; Lurie, N. (2007). Contribution of public parks to physical activity. </w:t>
      </w:r>
      <w:r w:rsidRPr="00A64D3E">
        <w:rPr>
          <w:i/>
          <w:iCs/>
          <w:color w:val="000000" w:themeColor="text1"/>
          <w:sz w:val="16"/>
          <w:szCs w:val="16"/>
        </w:rPr>
        <w:t>American Journal of Public Health</w:t>
      </w:r>
      <w:r w:rsidRPr="00A64D3E">
        <w:rPr>
          <w:color w:val="000000" w:themeColor="text1"/>
          <w:sz w:val="16"/>
          <w:szCs w:val="16"/>
        </w:rPr>
        <w:t xml:space="preserve">, </w:t>
      </w:r>
      <w:r w:rsidRPr="00A64D3E">
        <w:rPr>
          <w:i/>
          <w:iCs/>
          <w:color w:val="000000" w:themeColor="text1"/>
          <w:sz w:val="16"/>
          <w:szCs w:val="16"/>
        </w:rPr>
        <w:t>97</w:t>
      </w:r>
      <w:r w:rsidRPr="00A64D3E">
        <w:rPr>
          <w:color w:val="000000" w:themeColor="text1"/>
          <w:sz w:val="16"/>
          <w:szCs w:val="16"/>
        </w:rPr>
        <w:t xml:space="preserve">(3), 509–514. https://doi.org/10.2105/ajph.2005.072447 </w:t>
      </w:r>
    </w:p>
    <w:p w14:paraId="6BA9F30C" w14:textId="77777777" w:rsidR="00603C59" w:rsidRPr="00A64D3E" w:rsidRDefault="00603C59" w:rsidP="00812FFB">
      <w:pPr>
        <w:autoSpaceDE w:val="0"/>
        <w:autoSpaceDN w:val="0"/>
        <w:adjustRightInd w:val="0"/>
        <w:ind w:left="755" w:hanging="756"/>
        <w:rPr>
          <w:rFonts w:ascii="Times-Roman" w:eastAsiaTheme="minorHAnsi" w:hAnsi="Times-Roman" w:cs="Times-Roman"/>
          <w:color w:val="000000" w:themeColor="text1"/>
          <w:sz w:val="16"/>
          <w:szCs w:val="16"/>
          <w:lang w:val="en-GB" w:eastAsia="en-US"/>
        </w:rPr>
      </w:pPr>
      <w:r w:rsidRPr="00A64D3E">
        <w:rPr>
          <w:rFonts w:ascii="Times-Italic" w:eastAsiaTheme="minorHAnsi" w:hAnsi="Times-Italic" w:cs="Times-Italic"/>
          <w:i/>
          <w:iCs/>
          <w:color w:val="000000" w:themeColor="text1"/>
          <w:sz w:val="16"/>
          <w:szCs w:val="16"/>
          <w:lang w:val="en-GB" w:eastAsia="en-US"/>
        </w:rPr>
        <w:t xml:space="preserve">Cycling infrastructure is an economic asset for </w:t>
      </w:r>
      <w:proofErr w:type="gramStart"/>
      <w:r w:rsidRPr="00A64D3E">
        <w:rPr>
          <w:rFonts w:ascii="Times-Italic" w:eastAsiaTheme="minorHAnsi" w:hAnsi="Times-Italic" w:cs="Times-Italic"/>
          <w:i/>
          <w:iCs/>
          <w:color w:val="000000" w:themeColor="text1"/>
          <w:sz w:val="16"/>
          <w:szCs w:val="16"/>
          <w:lang w:val="en-GB" w:eastAsia="en-US"/>
        </w:rPr>
        <w:t>society as a whole</w:t>
      </w:r>
      <w:proofErr w:type="gramEnd"/>
      <w:r w:rsidRPr="00A64D3E">
        <w:rPr>
          <w:rFonts w:ascii="Times-Roman" w:eastAsiaTheme="minorHAnsi" w:hAnsi="Times-Roman" w:cs="Times-Roman"/>
          <w:color w:val="000000" w:themeColor="text1"/>
          <w:sz w:val="16"/>
          <w:szCs w:val="16"/>
          <w:lang w:val="en-GB" w:eastAsia="en-US"/>
        </w:rPr>
        <w:t>. Cycling Embassy of Denmark. (2022, April 21). https://cyclingsolutions.info/cost-benefit-of-cycling-infrastructure/</w:t>
      </w:r>
    </w:p>
    <w:p w14:paraId="71DDFB22" w14:textId="77777777" w:rsidR="00603C59" w:rsidRPr="00A64D3E" w:rsidRDefault="00603C59" w:rsidP="00812FFB">
      <w:pPr>
        <w:ind w:left="567" w:hanging="567"/>
        <w:rPr>
          <w:rFonts w:eastAsiaTheme="minorEastAsia"/>
          <w:color w:val="000000" w:themeColor="text1"/>
          <w:sz w:val="16"/>
          <w:szCs w:val="16"/>
        </w:rPr>
      </w:pPr>
      <w:r w:rsidRPr="00A64D3E">
        <w:rPr>
          <w:rFonts w:eastAsiaTheme="minorEastAsia"/>
          <w:color w:val="000000" w:themeColor="text1"/>
          <w:sz w:val="16"/>
          <w:szCs w:val="16"/>
        </w:rPr>
        <w:t xml:space="preserve">EMA | MEDIA RELEASES. (2023, February). </w:t>
      </w:r>
      <w:r w:rsidRPr="00A64D3E">
        <w:rPr>
          <w:rFonts w:eastAsiaTheme="minorEastAsia"/>
          <w:i/>
          <w:iCs/>
          <w:color w:val="000000" w:themeColor="text1"/>
          <w:sz w:val="16"/>
          <w:szCs w:val="16"/>
        </w:rPr>
        <w:t>EMA Extends Measures to Enhance Singapore’s Energy Security and Resilience</w:t>
      </w:r>
      <w:r w:rsidRPr="00A64D3E">
        <w:rPr>
          <w:rFonts w:eastAsiaTheme="minorEastAsia"/>
          <w:color w:val="000000" w:themeColor="text1"/>
          <w:sz w:val="16"/>
          <w:szCs w:val="16"/>
        </w:rPr>
        <w:t xml:space="preserve">. Energy </w:t>
      </w:r>
      <w:proofErr w:type="spellStart"/>
      <w:r w:rsidRPr="00A64D3E">
        <w:rPr>
          <w:rFonts w:eastAsiaTheme="minorEastAsia"/>
          <w:color w:val="000000" w:themeColor="text1"/>
          <w:sz w:val="16"/>
          <w:szCs w:val="16"/>
        </w:rPr>
        <w:t>Matket</w:t>
      </w:r>
      <w:proofErr w:type="spellEnd"/>
      <w:r w:rsidRPr="00A64D3E">
        <w:rPr>
          <w:rFonts w:eastAsiaTheme="minorEastAsia"/>
          <w:color w:val="000000" w:themeColor="text1"/>
          <w:sz w:val="16"/>
          <w:szCs w:val="16"/>
        </w:rPr>
        <w:t xml:space="preserve"> Authority. https://www.ema.gov.sg/news-events/news/media-releases/ema-extends-measures-to-enhance-singapores-energy-security-and-resilience1#:~:text=EMA%20Extends%20Measures%20to%20Enhance%20Singapore’s%20Energy%20Security%20and%20Resilience,-01%20Feb%202023&amp;text=In%20view%20of%20the%20ongoing,resilience%20until%2031%20March%202023. </w:t>
      </w:r>
    </w:p>
    <w:p w14:paraId="6BF83738" w14:textId="77777777" w:rsidR="00603C59" w:rsidRPr="00A64D3E" w:rsidRDefault="00603C59" w:rsidP="00812FFB">
      <w:pPr>
        <w:ind w:left="567" w:hanging="567"/>
        <w:rPr>
          <w:rFonts w:eastAsiaTheme="minorEastAsia"/>
          <w:color w:val="000000" w:themeColor="text1"/>
          <w:sz w:val="16"/>
          <w:szCs w:val="16"/>
        </w:rPr>
      </w:pPr>
      <w:r w:rsidRPr="00A64D3E">
        <w:rPr>
          <w:rFonts w:eastAsiaTheme="minorEastAsia"/>
          <w:color w:val="000000" w:themeColor="text1"/>
          <w:sz w:val="16"/>
          <w:szCs w:val="16"/>
        </w:rPr>
        <w:t xml:space="preserve">Fransen, B. (2023, March 13). </w:t>
      </w:r>
      <w:r w:rsidRPr="00A64D3E">
        <w:rPr>
          <w:rFonts w:eastAsiaTheme="minorEastAsia"/>
          <w:i/>
          <w:iCs/>
          <w:color w:val="000000" w:themeColor="text1"/>
          <w:sz w:val="16"/>
          <w:szCs w:val="16"/>
        </w:rPr>
        <w:t>The importance of incorporating green spaces in City Planning</w:t>
      </w:r>
      <w:r w:rsidRPr="00A64D3E">
        <w:rPr>
          <w:rFonts w:eastAsiaTheme="minorEastAsia"/>
          <w:color w:val="000000" w:themeColor="text1"/>
          <w:sz w:val="16"/>
          <w:szCs w:val="16"/>
        </w:rPr>
        <w:t xml:space="preserve">. </w:t>
      </w:r>
      <w:proofErr w:type="spellStart"/>
      <w:r w:rsidRPr="00A64D3E">
        <w:rPr>
          <w:rFonts w:eastAsiaTheme="minorEastAsia"/>
          <w:color w:val="000000" w:themeColor="text1"/>
          <w:sz w:val="16"/>
          <w:szCs w:val="16"/>
        </w:rPr>
        <w:t>EcoMatcher</w:t>
      </w:r>
      <w:proofErr w:type="spellEnd"/>
      <w:r w:rsidRPr="00A64D3E">
        <w:rPr>
          <w:rFonts w:eastAsiaTheme="minorEastAsia"/>
          <w:color w:val="000000" w:themeColor="text1"/>
          <w:sz w:val="16"/>
          <w:szCs w:val="16"/>
        </w:rPr>
        <w:t xml:space="preserve">. </w:t>
      </w:r>
      <w:hyperlink r:id="rId19" w:anchor=":~:text=These%20green%20spaces%20have%20significantly,a%20better%20place%20to%20live">
        <w:r w:rsidRPr="00A64D3E">
          <w:rPr>
            <w:rStyle w:val="Hyperlink"/>
            <w:rFonts w:eastAsiaTheme="minorEastAsia"/>
            <w:color w:val="000000" w:themeColor="text1"/>
            <w:sz w:val="16"/>
            <w:szCs w:val="16"/>
          </w:rPr>
          <w:t>https://www.ecomatcher.com/the-importance-of-incorporating-green-spaces-in-city-planning/#:~:text=These%20green%20spaces%20have%20significantly,a%20better%20place%20to%20live</w:t>
        </w:r>
      </w:hyperlink>
      <w:r w:rsidRPr="00A64D3E">
        <w:rPr>
          <w:rFonts w:eastAsiaTheme="minorEastAsia"/>
          <w:color w:val="000000" w:themeColor="text1"/>
          <w:sz w:val="16"/>
          <w:szCs w:val="16"/>
        </w:rPr>
        <w:t>.</w:t>
      </w:r>
    </w:p>
    <w:p w14:paraId="29974526" w14:textId="77777777" w:rsidR="00603C59" w:rsidRPr="00A64D3E" w:rsidRDefault="00603C59" w:rsidP="00812FFB">
      <w:pPr>
        <w:ind w:left="567" w:hanging="567"/>
        <w:rPr>
          <w:color w:val="000000" w:themeColor="text1"/>
          <w:sz w:val="16"/>
          <w:szCs w:val="16"/>
        </w:rPr>
      </w:pPr>
      <w:r w:rsidRPr="00A64D3E">
        <w:rPr>
          <w:color w:val="000000" w:themeColor="text1"/>
          <w:sz w:val="16"/>
          <w:szCs w:val="16"/>
        </w:rPr>
        <w:t xml:space="preserve">Garrett, A. (2022, April 21). </w:t>
      </w:r>
      <w:r w:rsidRPr="00A64D3E">
        <w:rPr>
          <w:i/>
          <w:iCs/>
          <w:color w:val="000000" w:themeColor="text1"/>
          <w:sz w:val="16"/>
          <w:szCs w:val="16"/>
        </w:rPr>
        <w:t>Cycling infrastructure is an economic asset for society as a whole</w:t>
      </w:r>
      <w:r w:rsidRPr="00A64D3E">
        <w:rPr>
          <w:color w:val="000000" w:themeColor="text1"/>
          <w:sz w:val="16"/>
          <w:szCs w:val="16"/>
        </w:rPr>
        <w:t xml:space="preserve">. Cycling Embassy of Denmark. https://cyclingsolutions.info/cost-benefit-of-cycling-infrastructure/ </w:t>
      </w:r>
    </w:p>
    <w:p w14:paraId="002C2F49" w14:textId="77777777" w:rsidR="00603C59" w:rsidRPr="00A64D3E" w:rsidRDefault="00603C59" w:rsidP="00812FFB">
      <w:pPr>
        <w:ind w:left="567" w:hanging="567"/>
        <w:rPr>
          <w:color w:val="000000" w:themeColor="text1"/>
          <w:sz w:val="16"/>
          <w:szCs w:val="16"/>
        </w:rPr>
      </w:pPr>
      <w:r w:rsidRPr="00A64D3E">
        <w:rPr>
          <w:color w:val="000000" w:themeColor="text1"/>
          <w:sz w:val="16"/>
          <w:szCs w:val="16"/>
        </w:rPr>
        <w:t xml:space="preserve">Giles-Corti, B., Broomhall, M. H., </w:t>
      </w:r>
      <w:proofErr w:type="spellStart"/>
      <w:r w:rsidRPr="00A64D3E">
        <w:rPr>
          <w:color w:val="000000" w:themeColor="text1"/>
          <w:sz w:val="16"/>
          <w:szCs w:val="16"/>
        </w:rPr>
        <w:t>Knuiman</w:t>
      </w:r>
      <w:proofErr w:type="spellEnd"/>
      <w:r w:rsidRPr="00A64D3E">
        <w:rPr>
          <w:color w:val="000000" w:themeColor="text1"/>
          <w:sz w:val="16"/>
          <w:szCs w:val="16"/>
        </w:rPr>
        <w:t xml:space="preserve">, M., Collins, C., Douglas, K., Ng, K., Lange, A., &amp; Donovan, R. J. (2005). Increasing walking. </w:t>
      </w:r>
      <w:r w:rsidRPr="00A64D3E">
        <w:rPr>
          <w:i/>
          <w:iCs/>
          <w:color w:val="000000" w:themeColor="text1"/>
          <w:sz w:val="16"/>
          <w:szCs w:val="16"/>
        </w:rPr>
        <w:t>American Journal of Preventive Medicine</w:t>
      </w:r>
      <w:r w:rsidRPr="00A64D3E">
        <w:rPr>
          <w:color w:val="000000" w:themeColor="text1"/>
          <w:sz w:val="16"/>
          <w:szCs w:val="16"/>
        </w:rPr>
        <w:t xml:space="preserve">, </w:t>
      </w:r>
      <w:r w:rsidRPr="00A64D3E">
        <w:rPr>
          <w:i/>
          <w:iCs/>
          <w:color w:val="000000" w:themeColor="text1"/>
          <w:sz w:val="16"/>
          <w:szCs w:val="16"/>
        </w:rPr>
        <w:t>28</w:t>
      </w:r>
      <w:r w:rsidRPr="00A64D3E">
        <w:rPr>
          <w:color w:val="000000" w:themeColor="text1"/>
          <w:sz w:val="16"/>
          <w:szCs w:val="16"/>
        </w:rPr>
        <w:t xml:space="preserve">(2), 169–176. https://doi.org/10.1016/j.amepre.2004.10.018 </w:t>
      </w:r>
    </w:p>
    <w:p w14:paraId="4556DDB8" w14:textId="77777777" w:rsidR="00603C59" w:rsidRPr="00A64D3E" w:rsidRDefault="00603C59" w:rsidP="00812FFB">
      <w:pPr>
        <w:ind w:left="567" w:hanging="567"/>
        <w:rPr>
          <w:color w:val="000000" w:themeColor="text1"/>
          <w:sz w:val="16"/>
          <w:szCs w:val="16"/>
        </w:rPr>
      </w:pPr>
      <w:r w:rsidRPr="00A64D3E">
        <w:rPr>
          <w:color w:val="000000" w:themeColor="text1"/>
          <w:sz w:val="16"/>
          <w:szCs w:val="16"/>
        </w:rPr>
        <w:t xml:space="preserve">Giraldez, J., Flores-Espino, F., MacAlpine, S., &amp; Asmus, P. (2018, October). Phase I microgrid cost study: Data collection and analysis of ... - NREL. https://www.nrel.gov/docs/fy19osti/67821.pdf </w:t>
      </w:r>
    </w:p>
    <w:p w14:paraId="3084AE44" w14:textId="77777777" w:rsidR="00603C59" w:rsidRPr="00A64D3E" w:rsidRDefault="00603C59" w:rsidP="00812FFB">
      <w:pPr>
        <w:rPr>
          <w:color w:val="000000" w:themeColor="text1"/>
          <w:sz w:val="16"/>
          <w:szCs w:val="16"/>
        </w:rPr>
      </w:pPr>
      <w:r w:rsidRPr="00A64D3E">
        <w:rPr>
          <w:color w:val="000000" w:themeColor="text1"/>
          <w:sz w:val="16"/>
          <w:szCs w:val="16"/>
        </w:rPr>
        <w:t xml:space="preserve">Glover, E. (2023, September 11). </w:t>
      </w:r>
      <w:r w:rsidRPr="00A64D3E">
        <w:rPr>
          <w:i/>
          <w:iCs/>
          <w:color w:val="000000" w:themeColor="text1"/>
          <w:sz w:val="16"/>
          <w:szCs w:val="16"/>
        </w:rPr>
        <w:t>How Long Do Solar Panels Last?</w:t>
      </w:r>
      <w:r w:rsidRPr="00A64D3E">
        <w:rPr>
          <w:color w:val="000000" w:themeColor="text1"/>
          <w:sz w:val="16"/>
          <w:szCs w:val="16"/>
        </w:rPr>
        <w:t xml:space="preserve"> Forbes Home. </w:t>
      </w:r>
      <w:hyperlink r:id="rId20" w:history="1">
        <w:r w:rsidRPr="00A64D3E">
          <w:rPr>
            <w:rStyle w:val="Hyperlink"/>
            <w:color w:val="000000" w:themeColor="text1"/>
            <w:sz w:val="16"/>
            <w:szCs w:val="16"/>
          </w:rPr>
          <w:t>https://www.forbes.com/home-improvement/solar/how-long-do-solar-panels-last/</w:t>
        </w:r>
      </w:hyperlink>
    </w:p>
    <w:p w14:paraId="3B7F731A" w14:textId="77777777" w:rsidR="00603C59" w:rsidRPr="00A64D3E" w:rsidRDefault="00603C59" w:rsidP="00812FFB">
      <w:pPr>
        <w:ind w:left="567" w:hanging="567"/>
        <w:rPr>
          <w:color w:val="000000" w:themeColor="text1"/>
          <w:sz w:val="16"/>
          <w:szCs w:val="16"/>
        </w:rPr>
      </w:pPr>
      <w:r w:rsidRPr="00A64D3E">
        <w:rPr>
          <w:color w:val="000000" w:themeColor="text1"/>
          <w:sz w:val="16"/>
          <w:szCs w:val="16"/>
        </w:rPr>
        <w:t xml:space="preserve">Hafner, M., Yerushalmi, E., Phillips, W., Pollard, J., Deshpande, A., Whitmore, M., Millard, F., </w:t>
      </w:r>
      <w:proofErr w:type="spellStart"/>
      <w:r w:rsidRPr="00A64D3E">
        <w:rPr>
          <w:color w:val="000000" w:themeColor="text1"/>
          <w:sz w:val="16"/>
          <w:szCs w:val="16"/>
        </w:rPr>
        <w:t>Subel</w:t>
      </w:r>
      <w:proofErr w:type="spellEnd"/>
      <w:r w:rsidRPr="00A64D3E">
        <w:rPr>
          <w:color w:val="000000" w:themeColor="text1"/>
          <w:sz w:val="16"/>
          <w:szCs w:val="16"/>
        </w:rPr>
        <w:t xml:space="preserve">, S., &amp; Van Stolk, C. (2019). </w:t>
      </w:r>
      <w:r w:rsidRPr="00A64D3E">
        <w:rPr>
          <w:i/>
          <w:iCs/>
          <w:color w:val="000000" w:themeColor="text1"/>
          <w:sz w:val="16"/>
          <w:szCs w:val="16"/>
        </w:rPr>
        <w:t>The Economic Benefits of a More Physically Active Population: An International Analysis</w:t>
      </w:r>
      <w:r w:rsidRPr="00A64D3E">
        <w:rPr>
          <w:color w:val="000000" w:themeColor="text1"/>
          <w:sz w:val="16"/>
          <w:szCs w:val="16"/>
        </w:rPr>
        <w:t xml:space="preserve">. https://doi.org/10.7249/rr4291 </w:t>
      </w:r>
    </w:p>
    <w:p w14:paraId="236F7C19" w14:textId="77777777" w:rsidR="00603C59" w:rsidRPr="00A64D3E" w:rsidRDefault="00603C59" w:rsidP="00812FFB">
      <w:pPr>
        <w:ind w:left="567" w:hanging="567"/>
        <w:rPr>
          <w:rFonts w:eastAsiaTheme="minorEastAsia"/>
          <w:color w:val="000000" w:themeColor="text1"/>
          <w:sz w:val="16"/>
          <w:szCs w:val="16"/>
        </w:rPr>
      </w:pPr>
      <w:r w:rsidRPr="00A64D3E">
        <w:rPr>
          <w:rFonts w:eastAsiaTheme="minorEastAsia"/>
          <w:color w:val="000000" w:themeColor="text1"/>
          <w:sz w:val="16"/>
          <w:szCs w:val="16"/>
        </w:rPr>
        <w:t xml:space="preserve">Hicks, R. (2023, October 25). </w:t>
      </w:r>
      <w:r w:rsidRPr="00A64D3E">
        <w:rPr>
          <w:rFonts w:eastAsiaTheme="minorEastAsia"/>
          <w:i/>
          <w:iCs/>
          <w:color w:val="000000" w:themeColor="text1"/>
          <w:sz w:val="16"/>
          <w:szCs w:val="16"/>
        </w:rPr>
        <w:t>Singapore universities making “little to no progress” phasing out fossil fuels influence: Activists</w:t>
      </w:r>
      <w:r w:rsidRPr="00A64D3E">
        <w:rPr>
          <w:rFonts w:eastAsiaTheme="minorEastAsia"/>
          <w:color w:val="000000" w:themeColor="text1"/>
          <w:sz w:val="16"/>
          <w:szCs w:val="16"/>
        </w:rPr>
        <w:t xml:space="preserve">. Eco. </w:t>
      </w:r>
      <w:hyperlink r:id="rId21">
        <w:r w:rsidRPr="00A64D3E">
          <w:rPr>
            <w:rStyle w:val="Hyperlink"/>
            <w:rFonts w:eastAsiaTheme="minorEastAsia"/>
            <w:color w:val="000000" w:themeColor="text1"/>
            <w:sz w:val="16"/>
            <w:szCs w:val="16"/>
          </w:rPr>
          <w:t>https://www.eco-business.com/news/singapore-universities-making-little-to-no-progress-phasing-out-fossil-fuels-influence-activists/</w:t>
        </w:r>
      </w:hyperlink>
    </w:p>
    <w:p w14:paraId="0697A010" w14:textId="77777777" w:rsidR="00603C59" w:rsidRPr="00A64D3E" w:rsidRDefault="00603C59" w:rsidP="00812FFB">
      <w:pPr>
        <w:ind w:left="567" w:hanging="567"/>
        <w:rPr>
          <w:color w:val="000000" w:themeColor="text1"/>
          <w:sz w:val="16"/>
          <w:szCs w:val="16"/>
        </w:rPr>
      </w:pPr>
      <w:proofErr w:type="spellStart"/>
      <w:r w:rsidRPr="00A64D3E">
        <w:rPr>
          <w:color w:val="000000" w:themeColor="text1"/>
          <w:sz w:val="16"/>
          <w:szCs w:val="16"/>
        </w:rPr>
        <w:t>Iamreneeonque</w:t>
      </w:r>
      <w:proofErr w:type="spellEnd"/>
      <w:r w:rsidRPr="00A64D3E">
        <w:rPr>
          <w:color w:val="000000" w:themeColor="text1"/>
          <w:sz w:val="16"/>
          <w:szCs w:val="16"/>
        </w:rPr>
        <w:t xml:space="preserve">. (2022, August 30). </w:t>
      </w:r>
      <w:r w:rsidRPr="00A64D3E">
        <w:rPr>
          <w:i/>
          <w:iCs/>
          <w:color w:val="000000" w:themeColor="text1"/>
          <w:sz w:val="16"/>
          <w:szCs w:val="16"/>
        </w:rPr>
        <w:t>Exercise 2-4X more than the HHS recommends to achieve maximum benefit, says New Study</w:t>
      </w:r>
      <w:r w:rsidRPr="00A64D3E">
        <w:rPr>
          <w:color w:val="000000" w:themeColor="text1"/>
          <w:sz w:val="16"/>
          <w:szCs w:val="16"/>
        </w:rPr>
        <w:t xml:space="preserve">. CNBC. https://www.cnbc.com/2022/08/30/this-is-how-much-you-should-exercise-to-achieve-the-maximum-benefit.html </w:t>
      </w:r>
    </w:p>
    <w:p w14:paraId="2D95E51D" w14:textId="77777777" w:rsidR="00603C59" w:rsidRPr="00A64D3E" w:rsidRDefault="00603C59" w:rsidP="00812FFB">
      <w:pPr>
        <w:ind w:left="567" w:hanging="567"/>
        <w:rPr>
          <w:color w:val="000000" w:themeColor="text1"/>
          <w:sz w:val="16"/>
          <w:szCs w:val="16"/>
        </w:rPr>
      </w:pPr>
      <w:r w:rsidRPr="00A64D3E">
        <w:rPr>
          <w:color w:val="000000" w:themeColor="text1"/>
          <w:sz w:val="16"/>
          <w:szCs w:val="16"/>
        </w:rPr>
        <w:t xml:space="preserve">Lancaster, B. (2006). Rainwater harvesting for drylands, volume 1. https://www.harvestingrainwater.com/wp-content/uploads/Appendix3Calculations.pdf </w:t>
      </w:r>
    </w:p>
    <w:p w14:paraId="6A835750" w14:textId="77777777" w:rsidR="00603C59" w:rsidRPr="00A64D3E" w:rsidRDefault="00603C59" w:rsidP="00812FFB">
      <w:pPr>
        <w:ind w:left="567" w:hanging="567"/>
        <w:rPr>
          <w:rFonts w:eastAsiaTheme="minorEastAsia"/>
          <w:color w:val="000000" w:themeColor="text1"/>
          <w:sz w:val="16"/>
          <w:szCs w:val="16"/>
        </w:rPr>
      </w:pPr>
      <w:r w:rsidRPr="00A64D3E">
        <w:rPr>
          <w:rFonts w:eastAsiaTheme="minorEastAsia"/>
          <w:color w:val="000000" w:themeColor="text1"/>
          <w:sz w:val="16"/>
          <w:szCs w:val="16"/>
        </w:rPr>
        <w:t xml:space="preserve">Lim, V. (2022). </w:t>
      </w:r>
      <w:r w:rsidRPr="00A64D3E">
        <w:rPr>
          <w:rFonts w:eastAsiaTheme="minorEastAsia"/>
          <w:i/>
          <w:iCs/>
          <w:color w:val="000000" w:themeColor="text1"/>
          <w:sz w:val="16"/>
          <w:szCs w:val="16"/>
        </w:rPr>
        <w:t>Student coalition highlights “extensive” links between Singapore universities and fossil fuel industry, urges full divestment by 2030</w:t>
      </w:r>
      <w:r w:rsidRPr="00A64D3E">
        <w:rPr>
          <w:rFonts w:eastAsiaTheme="minorEastAsia"/>
          <w:color w:val="000000" w:themeColor="text1"/>
          <w:sz w:val="16"/>
          <w:szCs w:val="16"/>
        </w:rPr>
        <w:t xml:space="preserve">. CNA. </w:t>
      </w:r>
      <w:hyperlink r:id="rId22">
        <w:r w:rsidRPr="00A64D3E">
          <w:rPr>
            <w:rStyle w:val="Hyperlink"/>
            <w:rFonts w:eastAsiaTheme="minorEastAsia"/>
            <w:color w:val="000000" w:themeColor="text1"/>
            <w:sz w:val="16"/>
            <w:szCs w:val="16"/>
          </w:rPr>
          <w:t>https://www.channelnewsasia.com/singapore/extensive-links-singapore-universities-fossil-fuel-industry-student-coalition-2439301</w:t>
        </w:r>
      </w:hyperlink>
    </w:p>
    <w:p w14:paraId="792D57A2" w14:textId="6CDE7234" w:rsidR="00603C59" w:rsidRPr="00A64D3E" w:rsidRDefault="00603C59" w:rsidP="00812FFB">
      <w:pPr>
        <w:pStyle w:val="NormalWeb"/>
        <w:rPr>
          <w:color w:val="000000" w:themeColor="text1"/>
          <w:sz w:val="16"/>
          <w:szCs w:val="16"/>
          <w:u w:val="single"/>
        </w:rPr>
      </w:pPr>
      <w:r w:rsidRPr="00A64D3E">
        <w:rPr>
          <w:color w:val="000000" w:themeColor="text1"/>
          <w:sz w:val="16"/>
          <w:szCs w:val="16"/>
        </w:rPr>
        <w:t xml:space="preserve">Lingane, A., &amp; Olsen, S. (2004). Guidelines for Social Return on Investment. </w:t>
      </w:r>
      <w:r w:rsidRPr="00A64D3E">
        <w:rPr>
          <w:i/>
          <w:iCs/>
          <w:color w:val="000000" w:themeColor="text1"/>
          <w:sz w:val="16"/>
          <w:szCs w:val="16"/>
        </w:rPr>
        <w:t>California Management Review</w:t>
      </w:r>
      <w:r w:rsidRPr="00A64D3E">
        <w:rPr>
          <w:color w:val="000000" w:themeColor="text1"/>
          <w:sz w:val="16"/>
          <w:szCs w:val="16"/>
        </w:rPr>
        <w:t xml:space="preserve">, </w:t>
      </w:r>
      <w:r w:rsidRPr="00A64D3E">
        <w:rPr>
          <w:i/>
          <w:iCs/>
          <w:color w:val="000000" w:themeColor="text1"/>
          <w:sz w:val="16"/>
          <w:szCs w:val="16"/>
        </w:rPr>
        <w:t>46</w:t>
      </w:r>
      <w:r w:rsidRPr="00A64D3E">
        <w:rPr>
          <w:color w:val="000000" w:themeColor="text1"/>
          <w:sz w:val="16"/>
          <w:szCs w:val="16"/>
        </w:rPr>
        <w:t xml:space="preserve">(3), 116–135. </w:t>
      </w:r>
      <w:hyperlink r:id="rId23" w:history="1">
        <w:r w:rsidRPr="00A64D3E">
          <w:rPr>
            <w:rStyle w:val="Hyperlink"/>
            <w:color w:val="000000" w:themeColor="text1"/>
            <w:sz w:val="16"/>
            <w:szCs w:val="16"/>
          </w:rPr>
          <w:t>https://doi.org/10.2307/41166224</w:t>
        </w:r>
      </w:hyperlink>
    </w:p>
    <w:p w14:paraId="25255327" w14:textId="77777777" w:rsidR="00603C59" w:rsidRPr="00A64D3E" w:rsidRDefault="00603C59" w:rsidP="00812FFB">
      <w:pPr>
        <w:ind w:left="567" w:hanging="567"/>
        <w:rPr>
          <w:rFonts w:eastAsiaTheme="minorEastAsia"/>
          <w:color w:val="000000" w:themeColor="text1"/>
          <w:sz w:val="16"/>
          <w:szCs w:val="16"/>
        </w:rPr>
      </w:pPr>
      <w:proofErr w:type="spellStart"/>
      <w:r w:rsidRPr="00A64D3E">
        <w:rPr>
          <w:rFonts w:eastAsiaTheme="minorEastAsia"/>
          <w:color w:val="000000" w:themeColor="text1"/>
          <w:sz w:val="16"/>
          <w:szCs w:val="16"/>
        </w:rPr>
        <w:t>Madhuleena</w:t>
      </w:r>
      <w:proofErr w:type="spellEnd"/>
      <w:r w:rsidRPr="00A64D3E">
        <w:rPr>
          <w:rFonts w:eastAsiaTheme="minorEastAsia"/>
          <w:color w:val="000000" w:themeColor="text1"/>
          <w:sz w:val="16"/>
          <w:szCs w:val="16"/>
        </w:rPr>
        <w:t xml:space="preserve"> Roy Chowdhury. (2023, October 13). </w:t>
      </w:r>
      <w:r w:rsidRPr="00A64D3E">
        <w:rPr>
          <w:rFonts w:eastAsiaTheme="minorEastAsia"/>
          <w:i/>
          <w:iCs/>
          <w:color w:val="000000" w:themeColor="text1"/>
          <w:sz w:val="16"/>
          <w:szCs w:val="16"/>
        </w:rPr>
        <w:t>The positive effects of nature on your mental wellbeing</w:t>
      </w:r>
      <w:r w:rsidRPr="00A64D3E">
        <w:rPr>
          <w:rFonts w:eastAsiaTheme="minorEastAsia"/>
          <w:color w:val="000000" w:themeColor="text1"/>
          <w:sz w:val="16"/>
          <w:szCs w:val="16"/>
        </w:rPr>
        <w:t xml:space="preserve">. PositivePsychology.com. </w:t>
      </w:r>
      <w:hyperlink r:id="rId24">
        <w:r w:rsidRPr="00A64D3E">
          <w:rPr>
            <w:rStyle w:val="Hyperlink"/>
            <w:rFonts w:eastAsiaTheme="minorEastAsia"/>
            <w:color w:val="000000" w:themeColor="text1"/>
            <w:sz w:val="16"/>
            <w:szCs w:val="16"/>
          </w:rPr>
          <w:t>https://positivepsychology.com/positive-effects-of-nature/</w:t>
        </w:r>
      </w:hyperlink>
    </w:p>
    <w:p w14:paraId="23F3B844" w14:textId="77777777" w:rsidR="00603C59" w:rsidRPr="00A64D3E" w:rsidRDefault="00603C59" w:rsidP="00812FFB">
      <w:pPr>
        <w:ind w:left="567" w:hanging="567"/>
        <w:rPr>
          <w:rFonts w:eastAsiaTheme="minorEastAsia"/>
          <w:color w:val="000000" w:themeColor="text1"/>
          <w:sz w:val="16"/>
          <w:szCs w:val="16"/>
        </w:rPr>
      </w:pPr>
      <w:r w:rsidRPr="00A64D3E">
        <w:rPr>
          <w:rFonts w:eastAsiaTheme="minorEastAsia"/>
          <w:color w:val="000000" w:themeColor="text1"/>
          <w:sz w:val="16"/>
          <w:szCs w:val="16"/>
        </w:rPr>
        <w:t xml:space="preserve">Mair. (n.d.). </w:t>
      </w:r>
      <w:r w:rsidRPr="00A64D3E">
        <w:rPr>
          <w:rFonts w:eastAsiaTheme="minorEastAsia"/>
          <w:i/>
          <w:iCs/>
          <w:color w:val="000000" w:themeColor="text1"/>
          <w:sz w:val="16"/>
          <w:szCs w:val="16"/>
        </w:rPr>
        <w:t>City life: Why are green spaces important?</w:t>
      </w:r>
      <w:r w:rsidRPr="00A64D3E">
        <w:rPr>
          <w:rFonts w:eastAsiaTheme="minorEastAsia"/>
          <w:color w:val="000000" w:themeColor="text1"/>
          <w:sz w:val="16"/>
          <w:szCs w:val="16"/>
        </w:rPr>
        <w:t xml:space="preserve">. Natural History Museum. </w:t>
      </w:r>
      <w:hyperlink r:id="rId25">
        <w:r w:rsidRPr="00A64D3E">
          <w:rPr>
            <w:rStyle w:val="Hyperlink"/>
            <w:rFonts w:eastAsiaTheme="minorEastAsia"/>
            <w:color w:val="000000" w:themeColor="text1"/>
            <w:sz w:val="16"/>
            <w:szCs w:val="16"/>
          </w:rPr>
          <w:t>https://www.nhm.ac.uk/discover/why-we-need-green-spaces-in-cities.html</w:t>
        </w:r>
      </w:hyperlink>
    </w:p>
    <w:p w14:paraId="4BCBA739" w14:textId="77777777" w:rsidR="00603C59" w:rsidRPr="00A64D3E" w:rsidRDefault="00603C59" w:rsidP="00812FFB">
      <w:pPr>
        <w:ind w:left="567" w:hanging="567"/>
        <w:rPr>
          <w:color w:val="000000" w:themeColor="text1"/>
          <w:sz w:val="16"/>
          <w:szCs w:val="16"/>
        </w:rPr>
      </w:pPr>
      <w:r w:rsidRPr="00A64D3E">
        <w:rPr>
          <w:color w:val="000000" w:themeColor="text1"/>
          <w:sz w:val="16"/>
          <w:szCs w:val="16"/>
        </w:rPr>
        <w:t xml:space="preserve">McElroy, E., Ashton, M., Bagnall, A. M., Comerford, T., McKeown, M., </w:t>
      </w:r>
      <w:proofErr w:type="spellStart"/>
      <w:r w:rsidRPr="00A64D3E">
        <w:rPr>
          <w:color w:val="000000" w:themeColor="text1"/>
          <w:sz w:val="16"/>
          <w:szCs w:val="16"/>
        </w:rPr>
        <w:t>Patalay</w:t>
      </w:r>
      <w:proofErr w:type="spellEnd"/>
      <w:r w:rsidRPr="00A64D3E">
        <w:rPr>
          <w:color w:val="000000" w:themeColor="text1"/>
          <w:sz w:val="16"/>
          <w:szCs w:val="16"/>
        </w:rPr>
        <w:t xml:space="preserve">, P., Pennington, A., South, J., Wilson, T., &amp; Corcoran, R. (2021). The individual, place, and wellbeing – a network analysis. </w:t>
      </w:r>
      <w:r w:rsidRPr="00A64D3E">
        <w:rPr>
          <w:i/>
          <w:iCs/>
          <w:color w:val="000000" w:themeColor="text1"/>
          <w:sz w:val="16"/>
          <w:szCs w:val="16"/>
        </w:rPr>
        <w:t>BMC Public Health</w:t>
      </w:r>
      <w:r w:rsidRPr="00A64D3E">
        <w:rPr>
          <w:color w:val="000000" w:themeColor="text1"/>
          <w:sz w:val="16"/>
          <w:szCs w:val="16"/>
        </w:rPr>
        <w:t xml:space="preserve">, </w:t>
      </w:r>
      <w:r w:rsidRPr="00A64D3E">
        <w:rPr>
          <w:i/>
          <w:iCs/>
          <w:color w:val="000000" w:themeColor="text1"/>
          <w:sz w:val="16"/>
          <w:szCs w:val="16"/>
        </w:rPr>
        <w:t>21</w:t>
      </w:r>
      <w:r w:rsidRPr="00A64D3E">
        <w:rPr>
          <w:color w:val="000000" w:themeColor="text1"/>
          <w:sz w:val="16"/>
          <w:szCs w:val="16"/>
        </w:rPr>
        <w:t xml:space="preserve">(1). https://doi.org/10.1186/s12889-021-11553-7 </w:t>
      </w:r>
    </w:p>
    <w:p w14:paraId="1768A315" w14:textId="77777777" w:rsidR="00603C59" w:rsidRPr="00A64D3E" w:rsidRDefault="00603C59" w:rsidP="00812FFB">
      <w:pPr>
        <w:ind w:left="567" w:hanging="567"/>
        <w:rPr>
          <w:color w:val="000000" w:themeColor="text1"/>
          <w:sz w:val="16"/>
          <w:szCs w:val="16"/>
        </w:rPr>
      </w:pPr>
      <w:r w:rsidRPr="00A64D3E">
        <w:rPr>
          <w:color w:val="000000" w:themeColor="text1"/>
          <w:sz w:val="16"/>
          <w:szCs w:val="16"/>
        </w:rPr>
        <w:t xml:space="preserve">Meteorological Service Singapore. (n.d.). ACAR 2022 final draft - meteorological service </w:t>
      </w:r>
      <w:proofErr w:type="spellStart"/>
      <w:r w:rsidRPr="00A64D3E">
        <w:rPr>
          <w:color w:val="000000" w:themeColor="text1"/>
          <w:sz w:val="16"/>
          <w:szCs w:val="16"/>
        </w:rPr>
        <w:t>singapore</w:t>
      </w:r>
      <w:proofErr w:type="spellEnd"/>
      <w:r w:rsidRPr="00A64D3E">
        <w:rPr>
          <w:color w:val="000000" w:themeColor="text1"/>
          <w:sz w:val="16"/>
          <w:szCs w:val="16"/>
        </w:rPr>
        <w:t xml:space="preserve">. https://www.weather.gov.sg/wp-content/uploads/2023/03/ACAR_2022.pdf </w:t>
      </w:r>
    </w:p>
    <w:p w14:paraId="24451DBE" w14:textId="77777777" w:rsidR="00603C59" w:rsidRPr="00A64D3E" w:rsidRDefault="00603C59" w:rsidP="00812FFB">
      <w:pPr>
        <w:ind w:left="567" w:hanging="567"/>
        <w:rPr>
          <w:rFonts w:eastAsiaTheme="minorEastAsia"/>
          <w:color w:val="000000" w:themeColor="text1"/>
          <w:sz w:val="16"/>
          <w:szCs w:val="16"/>
        </w:rPr>
      </w:pPr>
      <w:r w:rsidRPr="00A64D3E">
        <w:rPr>
          <w:rFonts w:eastAsiaTheme="minorEastAsia"/>
          <w:color w:val="000000" w:themeColor="text1"/>
          <w:sz w:val="16"/>
          <w:szCs w:val="16"/>
        </w:rPr>
        <w:t xml:space="preserve">NUS. (n.d.). </w:t>
      </w:r>
      <w:r w:rsidRPr="00A64D3E">
        <w:rPr>
          <w:rFonts w:eastAsiaTheme="minorEastAsia"/>
          <w:i/>
          <w:iCs/>
          <w:color w:val="000000" w:themeColor="text1"/>
          <w:sz w:val="16"/>
          <w:szCs w:val="16"/>
        </w:rPr>
        <w:t>Student statistics</w:t>
      </w:r>
      <w:r w:rsidRPr="00A64D3E">
        <w:rPr>
          <w:rFonts w:eastAsiaTheme="minorEastAsia"/>
          <w:color w:val="000000" w:themeColor="text1"/>
          <w:sz w:val="16"/>
          <w:szCs w:val="16"/>
        </w:rPr>
        <w:t xml:space="preserve">. NUS Registrar’s </w:t>
      </w:r>
      <w:proofErr w:type="spellStart"/>
      <w:r w:rsidRPr="00A64D3E">
        <w:rPr>
          <w:rFonts w:eastAsiaTheme="minorEastAsia"/>
          <w:color w:val="000000" w:themeColor="text1"/>
          <w:sz w:val="16"/>
          <w:szCs w:val="16"/>
        </w:rPr>
        <w:t>Offiec</w:t>
      </w:r>
      <w:proofErr w:type="spellEnd"/>
      <w:r w:rsidRPr="00A64D3E">
        <w:rPr>
          <w:rFonts w:eastAsiaTheme="minorEastAsia"/>
          <w:color w:val="000000" w:themeColor="text1"/>
          <w:sz w:val="16"/>
          <w:szCs w:val="16"/>
        </w:rPr>
        <w:t xml:space="preserve">. </w:t>
      </w:r>
      <w:hyperlink r:id="rId26">
        <w:r w:rsidRPr="00A64D3E">
          <w:rPr>
            <w:rStyle w:val="Hyperlink"/>
            <w:rFonts w:eastAsiaTheme="minorEastAsia"/>
            <w:color w:val="000000" w:themeColor="text1"/>
            <w:sz w:val="16"/>
            <w:szCs w:val="16"/>
          </w:rPr>
          <w:t>https://www.nus.edu.sg/registrar/student-records/student-statistics</w:t>
        </w:r>
      </w:hyperlink>
    </w:p>
    <w:p w14:paraId="3E26692D" w14:textId="77777777" w:rsidR="00603C59" w:rsidRPr="00A64D3E" w:rsidRDefault="00603C59" w:rsidP="00812FFB">
      <w:pPr>
        <w:ind w:left="567" w:hanging="567"/>
        <w:rPr>
          <w:color w:val="000000" w:themeColor="text1"/>
          <w:sz w:val="16"/>
          <w:szCs w:val="16"/>
        </w:rPr>
      </w:pPr>
      <w:r w:rsidRPr="00A64D3E">
        <w:rPr>
          <w:color w:val="000000" w:themeColor="text1"/>
          <w:sz w:val="16"/>
          <w:szCs w:val="16"/>
        </w:rPr>
        <w:t xml:space="preserve">Onque, R. (2022, August 30). </w:t>
      </w:r>
      <w:r w:rsidRPr="00A64D3E">
        <w:rPr>
          <w:i/>
          <w:iCs/>
          <w:color w:val="000000" w:themeColor="text1"/>
          <w:sz w:val="16"/>
          <w:szCs w:val="16"/>
        </w:rPr>
        <w:t>Exercise 2-4X more than the HHS recommends to achieve maximum benefit, says New Study</w:t>
      </w:r>
      <w:r w:rsidRPr="00A64D3E">
        <w:rPr>
          <w:color w:val="000000" w:themeColor="text1"/>
          <w:sz w:val="16"/>
          <w:szCs w:val="16"/>
        </w:rPr>
        <w:t xml:space="preserve">. CNBC. https://www.cnbc.com/2022/08/30/this-is-how-much-you-should-exercise-to-achieve-the-maximum-benefit.html </w:t>
      </w:r>
    </w:p>
    <w:p w14:paraId="629DA907" w14:textId="77777777" w:rsidR="00603C59" w:rsidRPr="00A64D3E" w:rsidRDefault="00603C59" w:rsidP="00812FFB">
      <w:pPr>
        <w:ind w:left="567" w:hanging="567"/>
        <w:rPr>
          <w:rFonts w:eastAsiaTheme="minorEastAsia"/>
          <w:color w:val="000000" w:themeColor="text1"/>
          <w:sz w:val="16"/>
          <w:szCs w:val="16"/>
        </w:rPr>
      </w:pPr>
      <w:proofErr w:type="spellStart"/>
      <w:r w:rsidRPr="00A64D3E">
        <w:rPr>
          <w:rFonts w:eastAsiaTheme="minorEastAsia"/>
          <w:color w:val="000000" w:themeColor="text1"/>
          <w:sz w:val="16"/>
          <w:szCs w:val="16"/>
        </w:rPr>
        <w:t>Puttkamer</w:t>
      </w:r>
      <w:proofErr w:type="spellEnd"/>
      <w:r w:rsidRPr="00A64D3E">
        <w:rPr>
          <w:rFonts w:eastAsiaTheme="minorEastAsia"/>
          <w:color w:val="000000" w:themeColor="text1"/>
          <w:sz w:val="16"/>
          <w:szCs w:val="16"/>
        </w:rPr>
        <w:t xml:space="preserve">, L. (2023, August 7). </w:t>
      </w:r>
      <w:r w:rsidRPr="00A64D3E">
        <w:rPr>
          <w:rFonts w:eastAsiaTheme="minorEastAsia"/>
          <w:i/>
          <w:iCs/>
          <w:color w:val="000000" w:themeColor="text1"/>
          <w:sz w:val="16"/>
          <w:szCs w:val="16"/>
        </w:rPr>
        <w:t>A water smart city: Learning from Singapore</w:t>
      </w:r>
      <w:r w:rsidRPr="00A64D3E">
        <w:rPr>
          <w:rFonts w:eastAsiaTheme="minorEastAsia"/>
          <w:color w:val="000000" w:themeColor="text1"/>
          <w:sz w:val="16"/>
          <w:szCs w:val="16"/>
        </w:rPr>
        <w:t xml:space="preserve">. The Global Smart City Knowledge </w:t>
      </w:r>
      <w:proofErr w:type="spellStart"/>
      <w:r w:rsidRPr="00A64D3E">
        <w:rPr>
          <w:rFonts w:eastAsiaTheme="minorEastAsia"/>
          <w:color w:val="000000" w:themeColor="text1"/>
          <w:sz w:val="16"/>
          <w:szCs w:val="16"/>
        </w:rPr>
        <w:t>Center</w:t>
      </w:r>
      <w:proofErr w:type="spellEnd"/>
      <w:r w:rsidRPr="00A64D3E">
        <w:rPr>
          <w:rFonts w:eastAsiaTheme="minorEastAsia"/>
          <w:color w:val="000000" w:themeColor="text1"/>
          <w:sz w:val="16"/>
          <w:szCs w:val="16"/>
        </w:rPr>
        <w:t xml:space="preserve">. </w:t>
      </w:r>
      <w:hyperlink r:id="rId27">
        <w:r w:rsidRPr="00A64D3E">
          <w:rPr>
            <w:rStyle w:val="Hyperlink"/>
            <w:rFonts w:eastAsiaTheme="minorEastAsia"/>
            <w:color w:val="000000" w:themeColor="text1"/>
            <w:sz w:val="16"/>
            <w:szCs w:val="16"/>
          </w:rPr>
          <w:t>https://www.beesmart.city/en/solutions/a-water-smart-city-learning-from-singapore</w:t>
        </w:r>
      </w:hyperlink>
    </w:p>
    <w:p w14:paraId="6F2D42F8" w14:textId="77777777" w:rsidR="00603C59" w:rsidRPr="00A64D3E" w:rsidRDefault="00603C59" w:rsidP="00812FFB">
      <w:pPr>
        <w:ind w:left="567" w:hanging="567"/>
        <w:rPr>
          <w:color w:val="000000" w:themeColor="text1"/>
          <w:sz w:val="16"/>
          <w:szCs w:val="16"/>
        </w:rPr>
      </w:pPr>
      <w:r w:rsidRPr="00A64D3E">
        <w:rPr>
          <w:i/>
          <w:iCs/>
          <w:color w:val="000000" w:themeColor="text1"/>
          <w:sz w:val="16"/>
          <w:szCs w:val="16"/>
        </w:rPr>
        <w:t>Rainwater harvesting tanks – everything you need to know</w:t>
      </w:r>
      <w:r w:rsidRPr="00A64D3E">
        <w:rPr>
          <w:color w:val="000000" w:themeColor="text1"/>
          <w:sz w:val="16"/>
          <w:szCs w:val="16"/>
        </w:rPr>
        <w:t xml:space="preserve">. </w:t>
      </w:r>
      <w:proofErr w:type="spellStart"/>
      <w:r w:rsidRPr="00A64D3E">
        <w:rPr>
          <w:color w:val="000000" w:themeColor="text1"/>
          <w:sz w:val="16"/>
          <w:szCs w:val="16"/>
        </w:rPr>
        <w:t>RainWater</w:t>
      </w:r>
      <w:proofErr w:type="spellEnd"/>
      <w:r w:rsidRPr="00A64D3E">
        <w:rPr>
          <w:color w:val="000000" w:themeColor="text1"/>
          <w:sz w:val="16"/>
          <w:szCs w:val="16"/>
        </w:rPr>
        <w:t xml:space="preserve"> Harvesting Filters, Products &amp; Consultancy Services. (2019, February 6). https://www.chaitanyaproducts.com/blog/rainwater-harvesting-tanks-everything-you-need-to-know/ </w:t>
      </w:r>
    </w:p>
    <w:p w14:paraId="366F26FF" w14:textId="77777777" w:rsidR="00603C59" w:rsidRPr="00A64D3E" w:rsidRDefault="00603C59" w:rsidP="00812FFB">
      <w:pPr>
        <w:ind w:left="567" w:hanging="567"/>
        <w:rPr>
          <w:rFonts w:eastAsiaTheme="minorEastAsia"/>
          <w:color w:val="000000" w:themeColor="text1"/>
          <w:sz w:val="16"/>
          <w:szCs w:val="16"/>
        </w:rPr>
      </w:pPr>
      <w:r w:rsidRPr="00A64D3E">
        <w:rPr>
          <w:rFonts w:eastAsiaTheme="minorEastAsia"/>
          <w:color w:val="000000" w:themeColor="text1"/>
          <w:sz w:val="16"/>
          <w:szCs w:val="16"/>
        </w:rPr>
        <w:t xml:space="preserve">Resources.solarbusinesshub.com. (2020). </w:t>
      </w:r>
      <w:r w:rsidRPr="00A64D3E">
        <w:rPr>
          <w:rFonts w:eastAsiaTheme="minorEastAsia"/>
          <w:i/>
          <w:iCs/>
          <w:color w:val="000000" w:themeColor="text1"/>
          <w:sz w:val="16"/>
          <w:szCs w:val="16"/>
        </w:rPr>
        <w:t xml:space="preserve">Solar photovoltaic (PV) roadmap for </w:t>
      </w:r>
      <w:proofErr w:type="spellStart"/>
      <w:r w:rsidRPr="00A64D3E">
        <w:rPr>
          <w:rFonts w:eastAsiaTheme="minorEastAsia"/>
          <w:i/>
          <w:iCs/>
          <w:color w:val="000000" w:themeColor="text1"/>
          <w:sz w:val="16"/>
          <w:szCs w:val="16"/>
        </w:rPr>
        <w:t>singapore</w:t>
      </w:r>
      <w:proofErr w:type="spellEnd"/>
      <w:r w:rsidRPr="00A64D3E">
        <w:rPr>
          <w:rFonts w:eastAsiaTheme="minorEastAsia"/>
          <w:i/>
          <w:iCs/>
          <w:color w:val="000000" w:themeColor="text1"/>
          <w:sz w:val="16"/>
          <w:szCs w:val="16"/>
        </w:rPr>
        <w:t xml:space="preserve"> - solar business hub</w:t>
      </w:r>
      <w:r w:rsidRPr="00A64D3E">
        <w:rPr>
          <w:rFonts w:eastAsiaTheme="minorEastAsia"/>
          <w:color w:val="000000" w:themeColor="text1"/>
          <w:sz w:val="16"/>
          <w:szCs w:val="16"/>
        </w:rPr>
        <w:t xml:space="preserve">. SBH Resources. </w:t>
      </w:r>
      <w:hyperlink r:id="rId28">
        <w:r w:rsidRPr="00A64D3E">
          <w:rPr>
            <w:rStyle w:val="Hyperlink"/>
            <w:rFonts w:eastAsiaTheme="minorEastAsia"/>
            <w:color w:val="000000" w:themeColor="text1"/>
            <w:sz w:val="16"/>
            <w:szCs w:val="16"/>
          </w:rPr>
          <w:t>https://resources.solarbusinesshub.com/solar-industry-reports/item/solar-photovoltaic-pv-roadmap-for-singapore</w:t>
        </w:r>
      </w:hyperlink>
    </w:p>
    <w:p w14:paraId="6137C4B3" w14:textId="77777777" w:rsidR="00603C59" w:rsidRPr="00A64D3E" w:rsidRDefault="00603C59" w:rsidP="00812FFB">
      <w:pPr>
        <w:ind w:left="567" w:hanging="567"/>
        <w:rPr>
          <w:rStyle w:val="Hyperlink"/>
          <w:rFonts w:eastAsiaTheme="minorEastAsia"/>
          <w:color w:val="000000" w:themeColor="text1"/>
          <w:sz w:val="16"/>
          <w:szCs w:val="16"/>
        </w:rPr>
      </w:pPr>
      <w:r w:rsidRPr="00A64D3E">
        <w:rPr>
          <w:rFonts w:eastAsiaTheme="minorEastAsia"/>
          <w:color w:val="000000" w:themeColor="text1"/>
          <w:sz w:val="16"/>
          <w:szCs w:val="16"/>
        </w:rPr>
        <w:t xml:space="preserve">Shah, V. (2014, April 4). </w:t>
      </w:r>
      <w:r w:rsidRPr="00A64D3E">
        <w:rPr>
          <w:rFonts w:eastAsiaTheme="minorEastAsia"/>
          <w:i/>
          <w:iCs/>
          <w:color w:val="000000" w:themeColor="text1"/>
          <w:sz w:val="16"/>
          <w:szCs w:val="16"/>
        </w:rPr>
        <w:t>Singapore: Walking in Copenhagen’s footsteps</w:t>
      </w:r>
      <w:r w:rsidRPr="00A64D3E">
        <w:rPr>
          <w:rFonts w:eastAsiaTheme="minorEastAsia"/>
          <w:color w:val="000000" w:themeColor="text1"/>
          <w:sz w:val="16"/>
          <w:szCs w:val="16"/>
        </w:rPr>
        <w:t xml:space="preserve">. Eco. </w:t>
      </w:r>
      <w:hyperlink r:id="rId29">
        <w:r w:rsidRPr="00A64D3E">
          <w:rPr>
            <w:rStyle w:val="Hyperlink"/>
            <w:rFonts w:eastAsiaTheme="minorEastAsia"/>
            <w:color w:val="000000" w:themeColor="text1"/>
            <w:sz w:val="16"/>
            <w:szCs w:val="16"/>
          </w:rPr>
          <w:t>https://www.eco-business.com/news/singapore-next-most-liveable-city-prof-gehl/</w:t>
        </w:r>
      </w:hyperlink>
    </w:p>
    <w:p w14:paraId="3381EC7B" w14:textId="77777777" w:rsidR="00603C59" w:rsidRPr="00A64D3E" w:rsidRDefault="00603C59" w:rsidP="00812FFB">
      <w:pPr>
        <w:rPr>
          <w:color w:val="000000" w:themeColor="text1"/>
          <w:sz w:val="16"/>
          <w:szCs w:val="16"/>
        </w:rPr>
      </w:pPr>
      <w:r w:rsidRPr="00A64D3E">
        <w:rPr>
          <w:color w:val="000000" w:themeColor="text1"/>
          <w:sz w:val="16"/>
          <w:szCs w:val="16"/>
        </w:rPr>
        <w:t xml:space="preserve">Simon. (2022, January 20). The true cost of tree planting. </w:t>
      </w:r>
      <w:r w:rsidRPr="00A64D3E">
        <w:rPr>
          <w:i/>
          <w:iCs/>
          <w:color w:val="000000" w:themeColor="text1"/>
          <w:sz w:val="16"/>
          <w:szCs w:val="16"/>
        </w:rPr>
        <w:t>Handprint</w:t>
      </w:r>
      <w:r w:rsidRPr="00A64D3E">
        <w:rPr>
          <w:color w:val="000000" w:themeColor="text1"/>
          <w:sz w:val="16"/>
          <w:szCs w:val="16"/>
        </w:rPr>
        <w:t xml:space="preserve">. </w:t>
      </w:r>
      <w:hyperlink r:id="rId30" w:history="1">
        <w:r w:rsidRPr="00A64D3E">
          <w:rPr>
            <w:rStyle w:val="Hyperlink"/>
            <w:color w:val="000000" w:themeColor="text1"/>
            <w:sz w:val="16"/>
            <w:szCs w:val="16"/>
          </w:rPr>
          <w:t>https://handprint.tech/the-true-cost-of-tree-planting/</w:t>
        </w:r>
      </w:hyperlink>
    </w:p>
    <w:p w14:paraId="0A161E3C" w14:textId="77777777" w:rsidR="00603C59" w:rsidRPr="00A64D3E" w:rsidRDefault="00603C59" w:rsidP="00812FFB">
      <w:pPr>
        <w:ind w:left="567" w:hanging="567"/>
        <w:rPr>
          <w:color w:val="000000" w:themeColor="text1"/>
          <w:sz w:val="16"/>
          <w:szCs w:val="16"/>
        </w:rPr>
      </w:pPr>
      <w:r w:rsidRPr="00A64D3E">
        <w:rPr>
          <w:i/>
          <w:iCs/>
          <w:color w:val="000000" w:themeColor="text1"/>
          <w:sz w:val="16"/>
          <w:szCs w:val="16"/>
        </w:rPr>
        <w:t>Solar Energy in Singapore: Top 3 financial incentives</w:t>
      </w:r>
      <w:r w:rsidRPr="00A64D3E">
        <w:rPr>
          <w:color w:val="000000" w:themeColor="text1"/>
          <w:sz w:val="16"/>
          <w:szCs w:val="16"/>
        </w:rPr>
        <w:t xml:space="preserve">. </w:t>
      </w:r>
      <w:proofErr w:type="spellStart"/>
      <w:r w:rsidRPr="00A64D3E">
        <w:rPr>
          <w:color w:val="000000" w:themeColor="text1"/>
          <w:sz w:val="16"/>
          <w:szCs w:val="16"/>
        </w:rPr>
        <w:t>GetSolar</w:t>
      </w:r>
      <w:proofErr w:type="spellEnd"/>
      <w:r w:rsidRPr="00A64D3E">
        <w:rPr>
          <w:color w:val="000000" w:themeColor="text1"/>
          <w:sz w:val="16"/>
          <w:szCs w:val="16"/>
        </w:rPr>
        <w:t xml:space="preserve"> (formerly Solar AI Technologies). (2023, October 30). https://getsolar.ai/blog/solar-financial-incentives-singapore-2/#:~:text=Under%20ECIS%2C%20solar%20energy%20surplus,a%20low%20of%20%240.0876%2FkWh! </w:t>
      </w:r>
    </w:p>
    <w:p w14:paraId="0D929F5E" w14:textId="77777777" w:rsidR="00603C59" w:rsidRPr="00A64D3E" w:rsidRDefault="00603C59" w:rsidP="00812FFB">
      <w:pPr>
        <w:rPr>
          <w:rStyle w:val="Hyperlink"/>
          <w:color w:val="000000" w:themeColor="text1"/>
          <w:sz w:val="16"/>
          <w:szCs w:val="16"/>
        </w:rPr>
      </w:pPr>
      <w:r w:rsidRPr="00A64D3E">
        <w:rPr>
          <w:i/>
          <w:iCs/>
          <w:color w:val="000000" w:themeColor="text1"/>
          <w:sz w:val="16"/>
          <w:szCs w:val="16"/>
        </w:rPr>
        <w:t>Terminal Growth Rate</w:t>
      </w:r>
      <w:r w:rsidRPr="00A64D3E">
        <w:rPr>
          <w:color w:val="000000" w:themeColor="text1"/>
          <w:sz w:val="16"/>
          <w:szCs w:val="16"/>
        </w:rPr>
        <w:t xml:space="preserve">. (n.d.). Corporate Finance Institute. Retrieved November 5, 2023, from </w:t>
      </w:r>
      <w:hyperlink r:id="rId31" w:history="1">
        <w:r w:rsidRPr="00A64D3E">
          <w:rPr>
            <w:rStyle w:val="Hyperlink"/>
            <w:color w:val="000000" w:themeColor="text1"/>
            <w:sz w:val="16"/>
            <w:szCs w:val="16"/>
          </w:rPr>
          <w:t>https://corporatefinanceinstitute.com/resources/valuation/what-is-terminal-growth-rate/</w:t>
        </w:r>
      </w:hyperlink>
    </w:p>
    <w:p w14:paraId="4CF89C22" w14:textId="77777777" w:rsidR="00603C59" w:rsidRPr="00A64D3E" w:rsidRDefault="00603C59" w:rsidP="00812FFB">
      <w:pPr>
        <w:ind w:left="567" w:hanging="567"/>
        <w:rPr>
          <w:rStyle w:val="Hyperlink"/>
          <w:rFonts w:eastAsiaTheme="minorEastAsia"/>
          <w:color w:val="000000" w:themeColor="text1"/>
          <w:sz w:val="16"/>
          <w:szCs w:val="16"/>
        </w:rPr>
      </w:pPr>
      <w:r w:rsidRPr="00A64D3E">
        <w:rPr>
          <w:rFonts w:eastAsiaTheme="minorEastAsia"/>
          <w:i/>
          <w:iCs/>
          <w:color w:val="000000" w:themeColor="text1"/>
          <w:sz w:val="16"/>
          <w:szCs w:val="16"/>
        </w:rPr>
        <w:t>The benefits of public spaces in cities</w:t>
      </w:r>
      <w:r w:rsidRPr="00A64D3E">
        <w:rPr>
          <w:rFonts w:eastAsiaTheme="minorEastAsia"/>
          <w:color w:val="000000" w:themeColor="text1"/>
          <w:sz w:val="16"/>
          <w:szCs w:val="16"/>
        </w:rPr>
        <w:t xml:space="preserve">. Evergreen. (2022). </w:t>
      </w:r>
      <w:hyperlink r:id="rId32">
        <w:r w:rsidRPr="00A64D3E">
          <w:rPr>
            <w:rStyle w:val="Hyperlink"/>
            <w:rFonts w:eastAsiaTheme="minorEastAsia"/>
            <w:color w:val="000000" w:themeColor="text1"/>
            <w:sz w:val="16"/>
            <w:szCs w:val="16"/>
          </w:rPr>
          <w:t>https://www.evergreen.ca/blog/entry/the-benefits-of-public-spaces-in-livable-cities/</w:t>
        </w:r>
      </w:hyperlink>
    </w:p>
    <w:p w14:paraId="788AAD06" w14:textId="77777777" w:rsidR="00603C59" w:rsidRPr="00A64D3E" w:rsidRDefault="00603C59" w:rsidP="00812FFB">
      <w:pPr>
        <w:ind w:left="567" w:hanging="567"/>
        <w:rPr>
          <w:rFonts w:eastAsiaTheme="minorEastAsia"/>
          <w:color w:val="000000" w:themeColor="text1"/>
          <w:sz w:val="16"/>
          <w:szCs w:val="16"/>
        </w:rPr>
      </w:pPr>
      <w:r w:rsidRPr="00A64D3E">
        <w:rPr>
          <w:rFonts w:eastAsiaTheme="minorEastAsia"/>
          <w:i/>
          <w:iCs/>
          <w:color w:val="000000" w:themeColor="text1"/>
          <w:sz w:val="16"/>
          <w:szCs w:val="16"/>
        </w:rPr>
        <w:t>The report: Students for a fossil free future</w:t>
      </w:r>
      <w:r w:rsidRPr="00A64D3E">
        <w:rPr>
          <w:rFonts w:eastAsiaTheme="minorEastAsia"/>
          <w:color w:val="000000" w:themeColor="text1"/>
          <w:sz w:val="16"/>
          <w:szCs w:val="16"/>
        </w:rPr>
        <w:t xml:space="preserve">. S4F. (n.d.). </w:t>
      </w:r>
      <w:hyperlink r:id="rId33">
        <w:r w:rsidRPr="00A64D3E">
          <w:rPr>
            <w:rStyle w:val="Hyperlink"/>
            <w:rFonts w:eastAsiaTheme="minorEastAsia"/>
            <w:color w:val="000000" w:themeColor="text1"/>
            <w:sz w:val="16"/>
            <w:szCs w:val="16"/>
          </w:rPr>
          <w:t>https://www.studentsforafossilfreefuture.org/the-report</w:t>
        </w:r>
      </w:hyperlink>
    </w:p>
    <w:p w14:paraId="1779D4B3" w14:textId="77777777" w:rsidR="00603C59" w:rsidRPr="00A64D3E" w:rsidRDefault="00603C59" w:rsidP="00812FFB">
      <w:pPr>
        <w:ind w:left="567" w:hanging="567"/>
        <w:rPr>
          <w:color w:val="000000" w:themeColor="text1"/>
          <w:sz w:val="16"/>
          <w:szCs w:val="16"/>
        </w:rPr>
      </w:pPr>
      <w:r w:rsidRPr="00A64D3E">
        <w:rPr>
          <w:i/>
          <w:iCs/>
          <w:color w:val="000000" w:themeColor="text1"/>
          <w:sz w:val="16"/>
          <w:szCs w:val="16"/>
        </w:rPr>
        <w:t>U.S. Energy Information Administration - EIA - independent statistics and analysis</w:t>
      </w:r>
      <w:r w:rsidRPr="00A64D3E">
        <w:rPr>
          <w:color w:val="000000" w:themeColor="text1"/>
          <w:sz w:val="16"/>
          <w:szCs w:val="16"/>
        </w:rPr>
        <w:t xml:space="preserve">. EIA. (2017, February 9). https://www.eia.gov/consumption/commercial/reports/2012/water/ </w:t>
      </w:r>
    </w:p>
    <w:p w14:paraId="37E1A2C8" w14:textId="77777777" w:rsidR="00603C59" w:rsidRPr="00A64D3E" w:rsidRDefault="00603C59" w:rsidP="00812FFB">
      <w:pPr>
        <w:ind w:left="567" w:hanging="567"/>
        <w:rPr>
          <w:rStyle w:val="Hyperlink"/>
          <w:rFonts w:eastAsiaTheme="minorEastAsia"/>
          <w:color w:val="000000" w:themeColor="text1"/>
          <w:sz w:val="16"/>
          <w:szCs w:val="16"/>
        </w:rPr>
      </w:pPr>
      <w:r w:rsidRPr="00A64D3E">
        <w:rPr>
          <w:rFonts w:eastAsiaTheme="minorEastAsia"/>
          <w:color w:val="000000" w:themeColor="text1"/>
          <w:sz w:val="16"/>
          <w:szCs w:val="16"/>
        </w:rPr>
        <w:t xml:space="preserve">Wagner, B. K. and J. (2023, June 17). </w:t>
      </w:r>
      <w:r w:rsidRPr="00A64D3E">
        <w:rPr>
          <w:rFonts w:eastAsiaTheme="minorEastAsia"/>
          <w:i/>
          <w:iCs/>
          <w:color w:val="000000" w:themeColor="text1"/>
          <w:sz w:val="16"/>
          <w:szCs w:val="16"/>
        </w:rPr>
        <w:t>The Rise of Innovation Districts</w:t>
      </w:r>
      <w:r w:rsidRPr="00A64D3E">
        <w:rPr>
          <w:rFonts w:eastAsiaTheme="minorEastAsia"/>
          <w:color w:val="000000" w:themeColor="text1"/>
          <w:sz w:val="16"/>
          <w:szCs w:val="16"/>
        </w:rPr>
        <w:t xml:space="preserve">. Brookings. </w:t>
      </w:r>
      <w:hyperlink r:id="rId34">
        <w:r w:rsidRPr="00A64D3E">
          <w:rPr>
            <w:rStyle w:val="Hyperlink"/>
            <w:rFonts w:eastAsiaTheme="minorEastAsia"/>
            <w:color w:val="000000" w:themeColor="text1"/>
            <w:sz w:val="16"/>
            <w:szCs w:val="16"/>
          </w:rPr>
          <w:t>https://www.brookings.edu/articles/rise-of-innovation-districts/</w:t>
        </w:r>
      </w:hyperlink>
    </w:p>
    <w:p w14:paraId="662E9EA2" w14:textId="77777777" w:rsidR="00603C59" w:rsidRPr="00A64D3E" w:rsidRDefault="00603C59" w:rsidP="00812FFB">
      <w:pPr>
        <w:ind w:left="567" w:hanging="567"/>
        <w:rPr>
          <w:rStyle w:val="Hyperlink"/>
          <w:rFonts w:eastAsiaTheme="minorEastAsia"/>
          <w:color w:val="000000" w:themeColor="text1"/>
          <w:sz w:val="16"/>
          <w:szCs w:val="16"/>
        </w:rPr>
      </w:pPr>
      <w:r w:rsidRPr="00A64D3E">
        <w:rPr>
          <w:rFonts w:eastAsiaTheme="minorEastAsia"/>
          <w:color w:val="000000" w:themeColor="text1"/>
          <w:sz w:val="16"/>
          <w:szCs w:val="16"/>
        </w:rPr>
        <w:t xml:space="preserve">Walkable bikeable cities - CLC. (n.d.). </w:t>
      </w:r>
      <w:hyperlink r:id="rId35">
        <w:r w:rsidRPr="00A64D3E">
          <w:rPr>
            <w:rStyle w:val="Hyperlink"/>
            <w:rFonts w:eastAsiaTheme="minorEastAsia"/>
            <w:color w:val="000000" w:themeColor="text1"/>
            <w:sz w:val="16"/>
            <w:szCs w:val="16"/>
          </w:rPr>
          <w:t>https://www.clc.gov.sg/docs/default-source/books/walkable-and-bikeable-cities.pdf</w:t>
        </w:r>
      </w:hyperlink>
    </w:p>
    <w:p w14:paraId="25888DBC" w14:textId="77777777" w:rsidR="00603C59" w:rsidRPr="00A64D3E" w:rsidRDefault="00603C59" w:rsidP="00812FFB">
      <w:pPr>
        <w:ind w:left="567" w:hanging="480"/>
        <w:rPr>
          <w:rFonts w:eastAsiaTheme="minorEastAsia"/>
          <w:color w:val="000000" w:themeColor="text1"/>
          <w:sz w:val="16"/>
          <w:szCs w:val="16"/>
        </w:rPr>
      </w:pPr>
      <w:r w:rsidRPr="00A64D3E">
        <w:rPr>
          <w:i/>
          <w:iCs/>
          <w:color w:val="000000" w:themeColor="text1"/>
          <w:sz w:val="16"/>
          <w:szCs w:val="16"/>
        </w:rPr>
        <w:t>Water price to rise from April 2024; Government to provide support for lower- and middle-income households</w:t>
      </w:r>
      <w:r w:rsidRPr="00A64D3E">
        <w:rPr>
          <w:color w:val="000000" w:themeColor="text1"/>
          <w:sz w:val="16"/>
          <w:szCs w:val="16"/>
        </w:rPr>
        <w:t xml:space="preserve">. (n.d.). Retrieved November 5, 2023, from </w:t>
      </w:r>
      <w:hyperlink r:id="rId36" w:history="1">
        <w:r w:rsidRPr="00A64D3E">
          <w:rPr>
            <w:rStyle w:val="Hyperlink"/>
            <w:color w:val="000000" w:themeColor="text1"/>
            <w:sz w:val="16"/>
            <w:szCs w:val="16"/>
          </w:rPr>
          <w:t>https://www.mse.gov.sg/resource-room/category/2023-09-27-water-price-to-increase-from-2024</w:t>
        </w:r>
      </w:hyperlink>
    </w:p>
    <w:p w14:paraId="0A60DC93" w14:textId="6DAD0E32" w:rsidR="00603C59" w:rsidRPr="00A64D3E" w:rsidRDefault="00603C59" w:rsidP="00812FFB">
      <w:pPr>
        <w:ind w:left="567" w:hanging="567"/>
        <w:rPr>
          <w:color w:val="000000" w:themeColor="text1"/>
          <w:sz w:val="16"/>
          <w:szCs w:val="16"/>
        </w:rPr>
      </w:pPr>
      <w:r w:rsidRPr="00A64D3E">
        <w:rPr>
          <w:i/>
          <w:iCs/>
          <w:color w:val="000000" w:themeColor="text1"/>
          <w:sz w:val="16"/>
          <w:szCs w:val="16"/>
        </w:rPr>
        <w:t>What size rainwater tank do I need?</w:t>
      </w:r>
      <w:r w:rsidRPr="00A64D3E">
        <w:rPr>
          <w:color w:val="000000" w:themeColor="text1"/>
          <w:sz w:val="16"/>
          <w:szCs w:val="16"/>
        </w:rPr>
        <w:t>. Owls Hall. (2023, July 14). https://www.owlshall.co.uk/guide/rainwater-harvesting/what-size-rainwater-tank-do-i-need/#:~:text=Basic%20Calculation%3A&amp;text=In%20most%20cases%20it%20works,x%200.05%20%3D%20recommended%20tank%</w:t>
      </w:r>
    </w:p>
    <w:p w14:paraId="40FA981F" w14:textId="77777777" w:rsidR="00603C59" w:rsidRPr="00A64D3E" w:rsidRDefault="00603C59" w:rsidP="00812FFB">
      <w:pPr>
        <w:ind w:left="567" w:hanging="567"/>
        <w:rPr>
          <w:rFonts w:eastAsiaTheme="minorEastAsia"/>
          <w:color w:val="000000" w:themeColor="text1"/>
          <w:sz w:val="16"/>
          <w:szCs w:val="16"/>
        </w:rPr>
      </w:pPr>
      <w:r w:rsidRPr="00A64D3E">
        <w:rPr>
          <w:rFonts w:eastAsiaTheme="minorEastAsia"/>
          <w:color w:val="000000" w:themeColor="text1"/>
          <w:sz w:val="16"/>
          <w:szCs w:val="16"/>
        </w:rPr>
        <w:t xml:space="preserve">Wu, P. (2019, December 29). </w:t>
      </w:r>
      <w:r w:rsidRPr="00A64D3E">
        <w:rPr>
          <w:rFonts w:eastAsiaTheme="minorEastAsia"/>
          <w:i/>
          <w:iCs/>
          <w:color w:val="000000" w:themeColor="text1"/>
          <w:sz w:val="16"/>
          <w:szCs w:val="16"/>
        </w:rPr>
        <w:t>NTU pulls money from Polluters</w:t>
      </w:r>
      <w:r w:rsidRPr="00A64D3E">
        <w:rPr>
          <w:rFonts w:eastAsiaTheme="minorEastAsia"/>
          <w:color w:val="000000" w:themeColor="text1"/>
          <w:sz w:val="16"/>
          <w:szCs w:val="16"/>
        </w:rPr>
        <w:t xml:space="preserve">. Taipei Times. </w:t>
      </w:r>
      <w:hyperlink r:id="rId37">
        <w:r w:rsidRPr="00A64D3E">
          <w:rPr>
            <w:rStyle w:val="Hyperlink"/>
            <w:rFonts w:eastAsiaTheme="minorEastAsia"/>
            <w:color w:val="000000" w:themeColor="text1"/>
            <w:sz w:val="16"/>
            <w:szCs w:val="16"/>
          </w:rPr>
          <w:t>https://www.taipeitimes.com/News/taiwan/archives/2019/12/30/2003728422</w:t>
        </w:r>
      </w:hyperlink>
    </w:p>
    <w:p w14:paraId="75F7505B" w14:textId="77777777" w:rsidR="00603C59" w:rsidRPr="00A64D3E" w:rsidRDefault="00603C59" w:rsidP="00812FFB">
      <w:pPr>
        <w:ind w:left="567" w:hanging="567"/>
        <w:rPr>
          <w:color w:val="000000" w:themeColor="text1"/>
          <w:sz w:val="16"/>
          <w:szCs w:val="16"/>
        </w:rPr>
      </w:pPr>
      <w:r w:rsidRPr="00A64D3E">
        <w:rPr>
          <w:color w:val="000000" w:themeColor="text1"/>
          <w:sz w:val="16"/>
          <w:szCs w:val="16"/>
        </w:rPr>
        <w:t xml:space="preserve">Yang, P., Zhang, Y., Wang, K., Doraiswamy, P., &amp; Cho, S.-H. (2019). Health impacts and cost-benefit analyses of surface O3 and PM2.5 over the U.S. under future climate and emission scenarios. </w:t>
      </w:r>
      <w:r w:rsidRPr="00A64D3E">
        <w:rPr>
          <w:i/>
          <w:iCs/>
          <w:color w:val="000000" w:themeColor="text1"/>
          <w:sz w:val="16"/>
          <w:szCs w:val="16"/>
        </w:rPr>
        <w:t>Environmental Research</w:t>
      </w:r>
      <w:r w:rsidRPr="00A64D3E">
        <w:rPr>
          <w:color w:val="000000" w:themeColor="text1"/>
          <w:sz w:val="16"/>
          <w:szCs w:val="16"/>
        </w:rPr>
        <w:t xml:space="preserve">, </w:t>
      </w:r>
      <w:r w:rsidRPr="00A64D3E">
        <w:rPr>
          <w:i/>
          <w:iCs/>
          <w:color w:val="000000" w:themeColor="text1"/>
          <w:sz w:val="16"/>
          <w:szCs w:val="16"/>
        </w:rPr>
        <w:t>178</w:t>
      </w:r>
      <w:r w:rsidRPr="00A64D3E">
        <w:rPr>
          <w:color w:val="000000" w:themeColor="text1"/>
          <w:sz w:val="16"/>
          <w:szCs w:val="16"/>
        </w:rPr>
        <w:t xml:space="preserve">, 108687. https://doi.org/10.1016/j.envres.2019.108687 </w:t>
      </w:r>
    </w:p>
    <w:p w14:paraId="2BD2A94C" w14:textId="77777777" w:rsidR="00603C59" w:rsidRPr="00A64D3E" w:rsidRDefault="00603C59" w:rsidP="00812FFB">
      <w:pPr>
        <w:rPr>
          <w:color w:val="000000" w:themeColor="text1"/>
          <w:sz w:val="16"/>
          <w:szCs w:val="16"/>
        </w:rPr>
      </w:pPr>
      <w:proofErr w:type="spellStart"/>
      <w:r w:rsidRPr="00A64D3E">
        <w:rPr>
          <w:color w:val="000000" w:themeColor="text1"/>
          <w:sz w:val="16"/>
          <w:szCs w:val="16"/>
        </w:rPr>
        <w:t>Yildizhan</w:t>
      </w:r>
      <w:proofErr w:type="spellEnd"/>
      <w:r w:rsidRPr="00A64D3E">
        <w:rPr>
          <w:color w:val="000000" w:themeColor="text1"/>
          <w:sz w:val="16"/>
          <w:szCs w:val="16"/>
        </w:rPr>
        <w:t xml:space="preserve">, F., &amp; </w:t>
      </w:r>
      <w:proofErr w:type="spellStart"/>
      <w:r w:rsidRPr="00A64D3E">
        <w:rPr>
          <w:color w:val="000000" w:themeColor="text1"/>
          <w:sz w:val="16"/>
          <w:szCs w:val="16"/>
        </w:rPr>
        <w:t>Karacasu</w:t>
      </w:r>
      <w:proofErr w:type="spellEnd"/>
      <w:r w:rsidRPr="00A64D3E">
        <w:rPr>
          <w:color w:val="000000" w:themeColor="text1"/>
          <w:sz w:val="16"/>
          <w:szCs w:val="16"/>
        </w:rPr>
        <w:t xml:space="preserve">, M. (2022). Monorail System Feasibility Study for Developing Countries: The Case Study of </w:t>
      </w:r>
      <w:proofErr w:type="spellStart"/>
      <w:r w:rsidRPr="00A64D3E">
        <w:rPr>
          <w:color w:val="000000" w:themeColor="text1"/>
          <w:sz w:val="16"/>
          <w:szCs w:val="16"/>
        </w:rPr>
        <w:t>Eskişehir</w:t>
      </w:r>
      <w:proofErr w:type="spellEnd"/>
      <w:r w:rsidRPr="00A64D3E">
        <w:rPr>
          <w:color w:val="000000" w:themeColor="text1"/>
          <w:sz w:val="16"/>
          <w:szCs w:val="16"/>
        </w:rPr>
        <w:t xml:space="preserve">-Turkey. </w:t>
      </w:r>
      <w:proofErr w:type="spellStart"/>
      <w:r w:rsidRPr="00A64D3E">
        <w:rPr>
          <w:i/>
          <w:iCs/>
          <w:color w:val="000000" w:themeColor="text1"/>
          <w:sz w:val="16"/>
          <w:szCs w:val="16"/>
        </w:rPr>
        <w:t>Politeknik</w:t>
      </w:r>
      <w:proofErr w:type="spellEnd"/>
      <w:r w:rsidRPr="00A64D3E">
        <w:rPr>
          <w:i/>
          <w:iCs/>
          <w:color w:val="000000" w:themeColor="text1"/>
          <w:sz w:val="16"/>
          <w:szCs w:val="16"/>
        </w:rPr>
        <w:t xml:space="preserve"> </w:t>
      </w:r>
      <w:proofErr w:type="spellStart"/>
      <w:r w:rsidRPr="00A64D3E">
        <w:rPr>
          <w:i/>
          <w:iCs/>
          <w:color w:val="000000" w:themeColor="text1"/>
          <w:sz w:val="16"/>
          <w:szCs w:val="16"/>
        </w:rPr>
        <w:t>Dergisi</w:t>
      </w:r>
      <w:proofErr w:type="spellEnd"/>
      <w:r w:rsidRPr="00A64D3E">
        <w:rPr>
          <w:color w:val="000000" w:themeColor="text1"/>
          <w:sz w:val="16"/>
          <w:szCs w:val="16"/>
        </w:rPr>
        <w:t xml:space="preserve">, </w:t>
      </w:r>
      <w:r w:rsidRPr="00A64D3E">
        <w:rPr>
          <w:i/>
          <w:iCs/>
          <w:color w:val="000000" w:themeColor="text1"/>
          <w:sz w:val="16"/>
          <w:szCs w:val="16"/>
        </w:rPr>
        <w:t>25</w:t>
      </w:r>
      <w:r w:rsidRPr="00A64D3E">
        <w:rPr>
          <w:color w:val="000000" w:themeColor="text1"/>
          <w:sz w:val="16"/>
          <w:szCs w:val="16"/>
        </w:rPr>
        <w:t xml:space="preserve">(2), 775–783. </w:t>
      </w:r>
      <w:hyperlink r:id="rId38" w:history="1">
        <w:r w:rsidRPr="00A64D3E">
          <w:rPr>
            <w:rStyle w:val="Hyperlink"/>
            <w:color w:val="000000" w:themeColor="text1"/>
            <w:sz w:val="16"/>
            <w:szCs w:val="16"/>
          </w:rPr>
          <w:t>https://doi.org/10.2339/politeknik.814239</w:t>
        </w:r>
      </w:hyperlink>
    </w:p>
    <w:p w14:paraId="2E04DED4" w14:textId="4A973882" w:rsidR="000812AC" w:rsidRPr="00A64D3E" w:rsidRDefault="00603C59" w:rsidP="00A64D3E">
      <w:pPr>
        <w:ind w:left="567" w:hanging="567"/>
        <w:rPr>
          <w:color w:val="000000" w:themeColor="text1"/>
          <w:sz w:val="16"/>
          <w:szCs w:val="16"/>
        </w:rPr>
      </w:pPr>
      <w:r w:rsidRPr="00A64D3E">
        <w:rPr>
          <w:color w:val="000000" w:themeColor="text1"/>
          <w:sz w:val="16"/>
          <w:szCs w:val="16"/>
        </w:rPr>
        <w:t xml:space="preserve">Yılmaz, D. (2022). </w:t>
      </w:r>
      <w:r w:rsidRPr="00A64D3E">
        <w:rPr>
          <w:i/>
          <w:iCs/>
          <w:color w:val="000000" w:themeColor="text1"/>
          <w:sz w:val="16"/>
          <w:szCs w:val="16"/>
        </w:rPr>
        <w:t>THE CHANGE OF UNIVERSITY STUDENTS’ PLACE ATTACHMENT IN PUBLIC SPACES DURING THE COVID-19 PANDEMIC: A CASE STUDY ON THE MIDDLE EAST TECHNICAL UNIVERSITY</w:t>
      </w:r>
      <w:r w:rsidRPr="00A64D3E">
        <w:rPr>
          <w:color w:val="000000" w:themeColor="text1"/>
          <w:sz w:val="16"/>
          <w:szCs w:val="16"/>
        </w:rPr>
        <w:t xml:space="preserve">. </w:t>
      </w:r>
    </w:p>
    <w:sectPr w:rsidR="000812AC" w:rsidRPr="00A64D3E" w:rsidSect="00A96FB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A859C" w14:textId="77777777" w:rsidR="00147990" w:rsidRDefault="00147990" w:rsidP="00162B68">
      <w:r>
        <w:separator/>
      </w:r>
    </w:p>
  </w:endnote>
  <w:endnote w:type="continuationSeparator" w:id="0">
    <w:p w14:paraId="5DA7A8A2" w14:textId="77777777" w:rsidR="00147990" w:rsidRDefault="00147990" w:rsidP="00162B68">
      <w:r>
        <w:continuationSeparator/>
      </w:r>
    </w:p>
  </w:endnote>
  <w:endnote w:type="continuationNotice" w:id="1">
    <w:p w14:paraId="25591A15" w14:textId="77777777" w:rsidR="00147990" w:rsidRDefault="001479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CC5A9" w14:textId="77777777" w:rsidR="00AA09C6" w:rsidRDefault="00AA09C6">
    <w:pPr>
      <w:jc w:val="center"/>
      <w:rPr>
        <w:b/>
        <w:u w:val="single"/>
      </w:rPr>
    </w:pPr>
    <w:r>
      <w:fldChar w:fldCharType="begin"/>
    </w:r>
    <w:r>
      <w:instrText>PAGE</w:instrText>
    </w:r>
    <w:r>
      <w:fldChar w:fldCharType="separate"/>
    </w:r>
    <w:r>
      <w:rPr>
        <w:noProof/>
      </w:rPr>
      <w:t>1</w:t>
    </w:r>
    <w:r>
      <w:fldChar w:fldCharType="end"/>
    </w:r>
  </w:p>
  <w:p w14:paraId="24E7C115" w14:textId="77777777" w:rsidR="00AA09C6" w:rsidRDefault="00AA09C6">
    <w:pPr>
      <w:jc w:val="center"/>
      <w:rPr>
        <w:b/>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4E7FA" w14:textId="77777777" w:rsidR="00147990" w:rsidRDefault="00147990" w:rsidP="00162B68">
      <w:r>
        <w:separator/>
      </w:r>
    </w:p>
  </w:footnote>
  <w:footnote w:type="continuationSeparator" w:id="0">
    <w:p w14:paraId="27414F80" w14:textId="77777777" w:rsidR="00147990" w:rsidRDefault="00147990" w:rsidP="00162B68">
      <w:r>
        <w:continuationSeparator/>
      </w:r>
    </w:p>
  </w:footnote>
  <w:footnote w:type="continuationNotice" w:id="1">
    <w:p w14:paraId="3127EE8C" w14:textId="77777777" w:rsidR="00147990" w:rsidRDefault="0014799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8064"/>
    <w:multiLevelType w:val="hybridMultilevel"/>
    <w:tmpl w:val="EAE0360E"/>
    <w:lvl w:ilvl="0" w:tplc="21EA643C">
      <w:start w:val="1"/>
      <w:numFmt w:val="decimal"/>
      <w:lvlText w:val="%1."/>
      <w:lvlJc w:val="left"/>
      <w:pPr>
        <w:ind w:left="720" w:hanging="360"/>
      </w:pPr>
    </w:lvl>
    <w:lvl w:ilvl="1" w:tplc="DFF2C6FE">
      <w:start w:val="1"/>
      <w:numFmt w:val="lowerLetter"/>
      <w:lvlText w:val="%2."/>
      <w:lvlJc w:val="left"/>
      <w:pPr>
        <w:ind w:left="1440" w:hanging="360"/>
      </w:pPr>
    </w:lvl>
    <w:lvl w:ilvl="2" w:tplc="B9326032">
      <w:start w:val="1"/>
      <w:numFmt w:val="lowerRoman"/>
      <w:lvlText w:val="%3."/>
      <w:lvlJc w:val="right"/>
      <w:pPr>
        <w:ind w:left="2160" w:hanging="180"/>
      </w:pPr>
    </w:lvl>
    <w:lvl w:ilvl="3" w:tplc="D0F2809E">
      <w:start w:val="1"/>
      <w:numFmt w:val="decimal"/>
      <w:lvlText w:val="%4."/>
      <w:lvlJc w:val="left"/>
      <w:pPr>
        <w:ind w:left="2880" w:hanging="360"/>
      </w:pPr>
    </w:lvl>
    <w:lvl w:ilvl="4" w:tplc="CE10F89A">
      <w:start w:val="1"/>
      <w:numFmt w:val="lowerLetter"/>
      <w:lvlText w:val="%5."/>
      <w:lvlJc w:val="left"/>
      <w:pPr>
        <w:ind w:left="3600" w:hanging="360"/>
      </w:pPr>
    </w:lvl>
    <w:lvl w:ilvl="5" w:tplc="AF48FA22">
      <w:start w:val="1"/>
      <w:numFmt w:val="lowerRoman"/>
      <w:lvlText w:val="%6."/>
      <w:lvlJc w:val="right"/>
      <w:pPr>
        <w:ind w:left="4320" w:hanging="180"/>
      </w:pPr>
    </w:lvl>
    <w:lvl w:ilvl="6" w:tplc="AF1401C2">
      <w:start w:val="1"/>
      <w:numFmt w:val="decimal"/>
      <w:lvlText w:val="%7."/>
      <w:lvlJc w:val="left"/>
      <w:pPr>
        <w:ind w:left="5040" w:hanging="360"/>
      </w:pPr>
    </w:lvl>
    <w:lvl w:ilvl="7" w:tplc="C6462526">
      <w:start w:val="1"/>
      <w:numFmt w:val="lowerLetter"/>
      <w:lvlText w:val="%8."/>
      <w:lvlJc w:val="left"/>
      <w:pPr>
        <w:ind w:left="5760" w:hanging="360"/>
      </w:pPr>
    </w:lvl>
    <w:lvl w:ilvl="8" w:tplc="A498D370">
      <w:start w:val="1"/>
      <w:numFmt w:val="lowerRoman"/>
      <w:lvlText w:val="%9."/>
      <w:lvlJc w:val="right"/>
      <w:pPr>
        <w:ind w:left="6480" w:hanging="180"/>
      </w:pPr>
    </w:lvl>
  </w:abstractNum>
  <w:abstractNum w:abstractNumId="1" w15:restartNumberingAfterBreak="0">
    <w:nsid w:val="10BE01E1"/>
    <w:multiLevelType w:val="hybridMultilevel"/>
    <w:tmpl w:val="0C14B04C"/>
    <w:lvl w:ilvl="0" w:tplc="F140E62A">
      <w:start w:val="1"/>
      <w:numFmt w:val="decimal"/>
      <w:lvlText w:val="4.%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4A8162C"/>
    <w:multiLevelType w:val="hybridMultilevel"/>
    <w:tmpl w:val="FFFFFFFF"/>
    <w:lvl w:ilvl="0" w:tplc="64E8AF8C">
      <w:start w:val="1"/>
      <w:numFmt w:val="lowerLetter"/>
      <w:lvlText w:val="%1."/>
      <w:lvlJc w:val="left"/>
      <w:pPr>
        <w:ind w:left="1440" w:hanging="360"/>
      </w:pPr>
    </w:lvl>
    <w:lvl w:ilvl="1" w:tplc="30E64A6A">
      <w:start w:val="1"/>
      <w:numFmt w:val="lowerLetter"/>
      <w:lvlText w:val="%2."/>
      <w:lvlJc w:val="left"/>
      <w:pPr>
        <w:ind w:left="2160" w:hanging="360"/>
      </w:pPr>
    </w:lvl>
    <w:lvl w:ilvl="2" w:tplc="4D400B84">
      <w:start w:val="1"/>
      <w:numFmt w:val="lowerRoman"/>
      <w:lvlText w:val="%3."/>
      <w:lvlJc w:val="right"/>
      <w:pPr>
        <w:ind w:left="2880" w:hanging="180"/>
      </w:pPr>
    </w:lvl>
    <w:lvl w:ilvl="3" w:tplc="481E1B58">
      <w:start w:val="1"/>
      <w:numFmt w:val="decimal"/>
      <w:lvlText w:val="%4."/>
      <w:lvlJc w:val="left"/>
      <w:pPr>
        <w:ind w:left="3600" w:hanging="360"/>
      </w:pPr>
    </w:lvl>
    <w:lvl w:ilvl="4" w:tplc="8940EAB0">
      <w:start w:val="1"/>
      <w:numFmt w:val="lowerLetter"/>
      <w:lvlText w:val="%5."/>
      <w:lvlJc w:val="left"/>
      <w:pPr>
        <w:ind w:left="4320" w:hanging="360"/>
      </w:pPr>
    </w:lvl>
    <w:lvl w:ilvl="5" w:tplc="E6C00786">
      <w:start w:val="1"/>
      <w:numFmt w:val="lowerRoman"/>
      <w:lvlText w:val="%6."/>
      <w:lvlJc w:val="right"/>
      <w:pPr>
        <w:ind w:left="5040" w:hanging="180"/>
      </w:pPr>
    </w:lvl>
    <w:lvl w:ilvl="6" w:tplc="E000F7B8">
      <w:start w:val="1"/>
      <w:numFmt w:val="decimal"/>
      <w:lvlText w:val="%7."/>
      <w:lvlJc w:val="left"/>
      <w:pPr>
        <w:ind w:left="5760" w:hanging="360"/>
      </w:pPr>
    </w:lvl>
    <w:lvl w:ilvl="7" w:tplc="FBFE0CF4">
      <w:start w:val="1"/>
      <w:numFmt w:val="lowerLetter"/>
      <w:lvlText w:val="%8."/>
      <w:lvlJc w:val="left"/>
      <w:pPr>
        <w:ind w:left="6480" w:hanging="360"/>
      </w:pPr>
    </w:lvl>
    <w:lvl w:ilvl="8" w:tplc="274AB17E">
      <w:start w:val="1"/>
      <w:numFmt w:val="lowerRoman"/>
      <w:lvlText w:val="%9."/>
      <w:lvlJc w:val="right"/>
      <w:pPr>
        <w:ind w:left="7200" w:hanging="180"/>
      </w:pPr>
    </w:lvl>
  </w:abstractNum>
  <w:abstractNum w:abstractNumId="3" w15:restartNumberingAfterBreak="0">
    <w:nsid w:val="1820FDD2"/>
    <w:multiLevelType w:val="hybridMultilevel"/>
    <w:tmpl w:val="FFFFFFFF"/>
    <w:lvl w:ilvl="0" w:tplc="437AFD82">
      <w:start w:val="1"/>
      <w:numFmt w:val="decimal"/>
      <w:lvlText w:val="%1."/>
      <w:lvlJc w:val="left"/>
      <w:pPr>
        <w:ind w:left="720" w:hanging="360"/>
      </w:pPr>
    </w:lvl>
    <w:lvl w:ilvl="1" w:tplc="1D022F96">
      <w:start w:val="1"/>
      <w:numFmt w:val="lowerLetter"/>
      <w:lvlText w:val="%2."/>
      <w:lvlJc w:val="left"/>
      <w:pPr>
        <w:ind w:left="1440" w:hanging="360"/>
      </w:pPr>
    </w:lvl>
    <w:lvl w:ilvl="2" w:tplc="16D66170">
      <w:start w:val="1"/>
      <w:numFmt w:val="lowerRoman"/>
      <w:lvlText w:val="%3."/>
      <w:lvlJc w:val="right"/>
      <w:pPr>
        <w:ind w:left="2160" w:hanging="180"/>
      </w:pPr>
    </w:lvl>
    <w:lvl w:ilvl="3" w:tplc="6CA8C92C">
      <w:start w:val="1"/>
      <w:numFmt w:val="decimal"/>
      <w:lvlText w:val="%4."/>
      <w:lvlJc w:val="left"/>
      <w:pPr>
        <w:ind w:left="2880" w:hanging="360"/>
      </w:pPr>
    </w:lvl>
    <w:lvl w:ilvl="4" w:tplc="41AA76A2">
      <w:start w:val="1"/>
      <w:numFmt w:val="lowerLetter"/>
      <w:lvlText w:val="%5."/>
      <w:lvlJc w:val="left"/>
      <w:pPr>
        <w:ind w:left="3600" w:hanging="360"/>
      </w:pPr>
    </w:lvl>
    <w:lvl w:ilvl="5" w:tplc="85F0F146">
      <w:start w:val="1"/>
      <w:numFmt w:val="lowerRoman"/>
      <w:lvlText w:val="%6."/>
      <w:lvlJc w:val="right"/>
      <w:pPr>
        <w:ind w:left="4320" w:hanging="180"/>
      </w:pPr>
    </w:lvl>
    <w:lvl w:ilvl="6" w:tplc="8B525D5A">
      <w:start w:val="1"/>
      <w:numFmt w:val="decimal"/>
      <w:lvlText w:val="%7."/>
      <w:lvlJc w:val="left"/>
      <w:pPr>
        <w:ind w:left="5040" w:hanging="360"/>
      </w:pPr>
    </w:lvl>
    <w:lvl w:ilvl="7" w:tplc="AE72F1D4">
      <w:start w:val="1"/>
      <w:numFmt w:val="lowerLetter"/>
      <w:lvlText w:val="%8."/>
      <w:lvlJc w:val="left"/>
      <w:pPr>
        <w:ind w:left="5760" w:hanging="360"/>
      </w:pPr>
    </w:lvl>
    <w:lvl w:ilvl="8" w:tplc="DB3E8928">
      <w:start w:val="1"/>
      <w:numFmt w:val="lowerRoman"/>
      <w:lvlText w:val="%9."/>
      <w:lvlJc w:val="right"/>
      <w:pPr>
        <w:ind w:left="6480" w:hanging="180"/>
      </w:pPr>
    </w:lvl>
  </w:abstractNum>
  <w:abstractNum w:abstractNumId="4" w15:restartNumberingAfterBreak="0">
    <w:nsid w:val="1A4C16AF"/>
    <w:multiLevelType w:val="hybridMultilevel"/>
    <w:tmpl w:val="76F61B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9BE35D"/>
    <w:multiLevelType w:val="hybridMultilevel"/>
    <w:tmpl w:val="FFFFFFFF"/>
    <w:lvl w:ilvl="0" w:tplc="299221A2">
      <w:start w:val="1"/>
      <w:numFmt w:val="decimal"/>
      <w:lvlText w:val="%1."/>
      <w:lvlJc w:val="left"/>
      <w:pPr>
        <w:ind w:left="720" w:hanging="360"/>
      </w:pPr>
    </w:lvl>
    <w:lvl w:ilvl="1" w:tplc="CA1627E2">
      <w:start w:val="1"/>
      <w:numFmt w:val="lowerLetter"/>
      <w:lvlText w:val="%2."/>
      <w:lvlJc w:val="left"/>
      <w:pPr>
        <w:ind w:left="1440" w:hanging="360"/>
      </w:pPr>
    </w:lvl>
    <w:lvl w:ilvl="2" w:tplc="7CE00482">
      <w:start w:val="1"/>
      <w:numFmt w:val="lowerRoman"/>
      <w:lvlText w:val="%3."/>
      <w:lvlJc w:val="right"/>
      <w:pPr>
        <w:ind w:left="2160" w:hanging="180"/>
      </w:pPr>
    </w:lvl>
    <w:lvl w:ilvl="3" w:tplc="4BE63B2E">
      <w:start w:val="1"/>
      <w:numFmt w:val="decimal"/>
      <w:lvlText w:val="%4."/>
      <w:lvlJc w:val="left"/>
      <w:pPr>
        <w:ind w:left="2880" w:hanging="360"/>
      </w:pPr>
    </w:lvl>
    <w:lvl w:ilvl="4" w:tplc="A53C9694">
      <w:start w:val="1"/>
      <w:numFmt w:val="lowerLetter"/>
      <w:lvlText w:val="%5."/>
      <w:lvlJc w:val="left"/>
      <w:pPr>
        <w:ind w:left="3600" w:hanging="360"/>
      </w:pPr>
    </w:lvl>
    <w:lvl w:ilvl="5" w:tplc="29C0F6F0">
      <w:start w:val="1"/>
      <w:numFmt w:val="lowerRoman"/>
      <w:lvlText w:val="%6."/>
      <w:lvlJc w:val="right"/>
      <w:pPr>
        <w:ind w:left="4320" w:hanging="180"/>
      </w:pPr>
    </w:lvl>
    <w:lvl w:ilvl="6" w:tplc="E04A11A2">
      <w:start w:val="1"/>
      <w:numFmt w:val="decimal"/>
      <w:lvlText w:val="%7."/>
      <w:lvlJc w:val="left"/>
      <w:pPr>
        <w:ind w:left="5040" w:hanging="360"/>
      </w:pPr>
    </w:lvl>
    <w:lvl w:ilvl="7" w:tplc="B518D22A">
      <w:start w:val="1"/>
      <w:numFmt w:val="lowerLetter"/>
      <w:lvlText w:val="%8."/>
      <w:lvlJc w:val="left"/>
      <w:pPr>
        <w:ind w:left="5760" w:hanging="360"/>
      </w:pPr>
    </w:lvl>
    <w:lvl w:ilvl="8" w:tplc="0CA6A1BA">
      <w:start w:val="1"/>
      <w:numFmt w:val="lowerRoman"/>
      <w:lvlText w:val="%9."/>
      <w:lvlJc w:val="right"/>
      <w:pPr>
        <w:ind w:left="6480" w:hanging="180"/>
      </w:pPr>
    </w:lvl>
  </w:abstractNum>
  <w:abstractNum w:abstractNumId="6" w15:restartNumberingAfterBreak="0">
    <w:nsid w:val="25171125"/>
    <w:multiLevelType w:val="hybridMultilevel"/>
    <w:tmpl w:val="7E004C5C"/>
    <w:lvl w:ilvl="0" w:tplc="CEA2AE1A">
      <w:start w:val="1"/>
      <w:numFmt w:val="decimal"/>
      <w:lvlText w:val="%1."/>
      <w:lvlJc w:val="left"/>
      <w:pPr>
        <w:ind w:left="720" w:hanging="360"/>
      </w:pPr>
    </w:lvl>
    <w:lvl w:ilvl="1" w:tplc="A6022916">
      <w:start w:val="1"/>
      <w:numFmt w:val="decimal"/>
      <w:lvlText w:val="%2."/>
      <w:lvlJc w:val="left"/>
      <w:pPr>
        <w:ind w:left="1440" w:hanging="360"/>
      </w:pPr>
    </w:lvl>
    <w:lvl w:ilvl="2" w:tplc="985802A2">
      <w:start w:val="1"/>
      <w:numFmt w:val="lowerRoman"/>
      <w:lvlText w:val="%3."/>
      <w:lvlJc w:val="right"/>
      <w:pPr>
        <w:ind w:left="2160" w:hanging="180"/>
      </w:pPr>
    </w:lvl>
    <w:lvl w:ilvl="3" w:tplc="44780614">
      <w:start w:val="1"/>
      <w:numFmt w:val="decimal"/>
      <w:lvlText w:val="%4."/>
      <w:lvlJc w:val="left"/>
      <w:pPr>
        <w:ind w:left="2880" w:hanging="360"/>
      </w:pPr>
    </w:lvl>
    <w:lvl w:ilvl="4" w:tplc="6FD49AF8">
      <w:start w:val="1"/>
      <w:numFmt w:val="lowerLetter"/>
      <w:lvlText w:val="%5."/>
      <w:lvlJc w:val="left"/>
      <w:pPr>
        <w:ind w:left="3600" w:hanging="360"/>
      </w:pPr>
    </w:lvl>
    <w:lvl w:ilvl="5" w:tplc="B0DA4F7A">
      <w:start w:val="1"/>
      <w:numFmt w:val="lowerRoman"/>
      <w:lvlText w:val="%6."/>
      <w:lvlJc w:val="right"/>
      <w:pPr>
        <w:ind w:left="4320" w:hanging="180"/>
      </w:pPr>
    </w:lvl>
    <w:lvl w:ilvl="6" w:tplc="4D6EE900">
      <w:start w:val="1"/>
      <w:numFmt w:val="decimal"/>
      <w:lvlText w:val="%7."/>
      <w:lvlJc w:val="left"/>
      <w:pPr>
        <w:ind w:left="5040" w:hanging="360"/>
      </w:pPr>
    </w:lvl>
    <w:lvl w:ilvl="7" w:tplc="29D64200">
      <w:start w:val="1"/>
      <w:numFmt w:val="lowerLetter"/>
      <w:lvlText w:val="%8."/>
      <w:lvlJc w:val="left"/>
      <w:pPr>
        <w:ind w:left="5760" w:hanging="360"/>
      </w:pPr>
    </w:lvl>
    <w:lvl w:ilvl="8" w:tplc="6DF6F754">
      <w:start w:val="1"/>
      <w:numFmt w:val="lowerRoman"/>
      <w:lvlText w:val="%9."/>
      <w:lvlJc w:val="right"/>
      <w:pPr>
        <w:ind w:left="6480" w:hanging="180"/>
      </w:pPr>
    </w:lvl>
  </w:abstractNum>
  <w:abstractNum w:abstractNumId="7" w15:restartNumberingAfterBreak="0">
    <w:nsid w:val="279842F7"/>
    <w:multiLevelType w:val="hybridMultilevel"/>
    <w:tmpl w:val="B858A0E2"/>
    <w:lvl w:ilvl="0" w:tplc="861C46B8">
      <w:start w:val="1"/>
      <w:numFmt w:val="decimal"/>
      <w:lvlText w:val="%1."/>
      <w:lvlJc w:val="left"/>
      <w:pPr>
        <w:ind w:left="720" w:hanging="360"/>
      </w:pPr>
    </w:lvl>
    <w:lvl w:ilvl="1" w:tplc="88801034">
      <w:start w:val="1"/>
      <w:numFmt w:val="lowerLetter"/>
      <w:lvlText w:val="%2."/>
      <w:lvlJc w:val="left"/>
      <w:pPr>
        <w:ind w:left="1440" w:hanging="360"/>
      </w:pPr>
    </w:lvl>
    <w:lvl w:ilvl="2" w:tplc="21B206E2">
      <w:start w:val="1"/>
      <w:numFmt w:val="lowerRoman"/>
      <w:lvlText w:val="%3."/>
      <w:lvlJc w:val="right"/>
      <w:pPr>
        <w:ind w:left="2160" w:hanging="180"/>
      </w:pPr>
    </w:lvl>
    <w:lvl w:ilvl="3" w:tplc="6E681332">
      <w:start w:val="1"/>
      <w:numFmt w:val="decimal"/>
      <w:lvlText w:val="%4."/>
      <w:lvlJc w:val="left"/>
      <w:pPr>
        <w:ind w:left="2880" w:hanging="360"/>
      </w:pPr>
    </w:lvl>
    <w:lvl w:ilvl="4" w:tplc="ACB076A8">
      <w:start w:val="1"/>
      <w:numFmt w:val="lowerLetter"/>
      <w:lvlText w:val="%5."/>
      <w:lvlJc w:val="left"/>
      <w:pPr>
        <w:ind w:left="3600" w:hanging="360"/>
      </w:pPr>
    </w:lvl>
    <w:lvl w:ilvl="5" w:tplc="A1641748">
      <w:start w:val="1"/>
      <w:numFmt w:val="lowerRoman"/>
      <w:lvlText w:val="%6."/>
      <w:lvlJc w:val="right"/>
      <w:pPr>
        <w:ind w:left="4320" w:hanging="180"/>
      </w:pPr>
    </w:lvl>
    <w:lvl w:ilvl="6" w:tplc="A15253A6">
      <w:start w:val="1"/>
      <w:numFmt w:val="decimal"/>
      <w:lvlText w:val="%7."/>
      <w:lvlJc w:val="left"/>
      <w:pPr>
        <w:ind w:left="5040" w:hanging="360"/>
      </w:pPr>
    </w:lvl>
    <w:lvl w:ilvl="7" w:tplc="A1EAF7CC">
      <w:start w:val="1"/>
      <w:numFmt w:val="lowerLetter"/>
      <w:lvlText w:val="%8."/>
      <w:lvlJc w:val="left"/>
      <w:pPr>
        <w:ind w:left="5760" w:hanging="360"/>
      </w:pPr>
    </w:lvl>
    <w:lvl w:ilvl="8" w:tplc="016E4F62">
      <w:start w:val="1"/>
      <w:numFmt w:val="lowerRoman"/>
      <w:lvlText w:val="%9."/>
      <w:lvlJc w:val="right"/>
      <w:pPr>
        <w:ind w:left="6480" w:hanging="180"/>
      </w:pPr>
    </w:lvl>
  </w:abstractNum>
  <w:abstractNum w:abstractNumId="8" w15:restartNumberingAfterBreak="0">
    <w:nsid w:val="2BCD876C"/>
    <w:multiLevelType w:val="multilevel"/>
    <w:tmpl w:val="8B4EAD88"/>
    <w:styleLink w:val="CurrentList1"/>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EAD932"/>
    <w:multiLevelType w:val="hybridMultilevel"/>
    <w:tmpl w:val="FFFFFFFF"/>
    <w:lvl w:ilvl="0" w:tplc="CCE64762">
      <w:start w:val="1"/>
      <w:numFmt w:val="decimal"/>
      <w:lvlText w:val="%1."/>
      <w:lvlJc w:val="left"/>
      <w:pPr>
        <w:ind w:left="720" w:hanging="360"/>
      </w:pPr>
    </w:lvl>
    <w:lvl w:ilvl="1" w:tplc="D38E7242">
      <w:start w:val="1"/>
      <w:numFmt w:val="lowerLetter"/>
      <w:lvlText w:val="%2."/>
      <w:lvlJc w:val="left"/>
      <w:pPr>
        <w:ind w:left="1440" w:hanging="360"/>
      </w:pPr>
    </w:lvl>
    <w:lvl w:ilvl="2" w:tplc="CD2A422E">
      <w:start w:val="1"/>
      <w:numFmt w:val="lowerRoman"/>
      <w:lvlText w:val="%3."/>
      <w:lvlJc w:val="right"/>
      <w:pPr>
        <w:ind w:left="2160" w:hanging="180"/>
      </w:pPr>
    </w:lvl>
    <w:lvl w:ilvl="3" w:tplc="5306A432">
      <w:start w:val="1"/>
      <w:numFmt w:val="decimal"/>
      <w:lvlText w:val="%4."/>
      <w:lvlJc w:val="left"/>
      <w:pPr>
        <w:ind w:left="2880" w:hanging="360"/>
      </w:pPr>
    </w:lvl>
    <w:lvl w:ilvl="4" w:tplc="C1A08984">
      <w:start w:val="1"/>
      <w:numFmt w:val="lowerLetter"/>
      <w:lvlText w:val="%5."/>
      <w:lvlJc w:val="left"/>
      <w:pPr>
        <w:ind w:left="3600" w:hanging="360"/>
      </w:pPr>
    </w:lvl>
    <w:lvl w:ilvl="5" w:tplc="F48E9DD8">
      <w:start w:val="1"/>
      <w:numFmt w:val="lowerRoman"/>
      <w:lvlText w:val="%6."/>
      <w:lvlJc w:val="right"/>
      <w:pPr>
        <w:ind w:left="4320" w:hanging="180"/>
      </w:pPr>
    </w:lvl>
    <w:lvl w:ilvl="6" w:tplc="D078275C">
      <w:start w:val="1"/>
      <w:numFmt w:val="decimal"/>
      <w:lvlText w:val="%7."/>
      <w:lvlJc w:val="left"/>
      <w:pPr>
        <w:ind w:left="5040" w:hanging="360"/>
      </w:pPr>
    </w:lvl>
    <w:lvl w:ilvl="7" w:tplc="74A8BC4C">
      <w:start w:val="1"/>
      <w:numFmt w:val="lowerLetter"/>
      <w:lvlText w:val="%8."/>
      <w:lvlJc w:val="left"/>
      <w:pPr>
        <w:ind w:left="5760" w:hanging="360"/>
      </w:pPr>
    </w:lvl>
    <w:lvl w:ilvl="8" w:tplc="67EA0B28">
      <w:start w:val="1"/>
      <w:numFmt w:val="lowerRoman"/>
      <w:lvlText w:val="%9."/>
      <w:lvlJc w:val="right"/>
      <w:pPr>
        <w:ind w:left="6480" w:hanging="180"/>
      </w:pPr>
    </w:lvl>
  </w:abstractNum>
  <w:abstractNum w:abstractNumId="10" w15:restartNumberingAfterBreak="0">
    <w:nsid w:val="4863327B"/>
    <w:multiLevelType w:val="multilevel"/>
    <w:tmpl w:val="1B4CB220"/>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D6A1F6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4C8152D"/>
    <w:multiLevelType w:val="hybridMultilevel"/>
    <w:tmpl w:val="BC408E5E"/>
    <w:lvl w:ilvl="0" w:tplc="495001EE">
      <w:start w:val="1"/>
      <w:numFmt w:val="decimal"/>
      <w:lvlText w:val="%1."/>
      <w:lvlJc w:val="left"/>
      <w:pPr>
        <w:ind w:left="720" w:hanging="360"/>
      </w:pPr>
    </w:lvl>
    <w:lvl w:ilvl="1" w:tplc="5A328C4E">
      <w:start w:val="1"/>
      <w:numFmt w:val="lowerLetter"/>
      <w:lvlText w:val="%2."/>
      <w:lvlJc w:val="left"/>
      <w:pPr>
        <w:ind w:left="1440" w:hanging="360"/>
      </w:pPr>
    </w:lvl>
    <w:lvl w:ilvl="2" w:tplc="344EE54A">
      <w:start w:val="1"/>
      <w:numFmt w:val="lowerRoman"/>
      <w:lvlText w:val="%3."/>
      <w:lvlJc w:val="right"/>
      <w:pPr>
        <w:ind w:left="2160" w:hanging="180"/>
      </w:pPr>
    </w:lvl>
    <w:lvl w:ilvl="3" w:tplc="D93ED732">
      <w:start w:val="1"/>
      <w:numFmt w:val="decimal"/>
      <w:lvlText w:val="%4."/>
      <w:lvlJc w:val="left"/>
      <w:pPr>
        <w:ind w:left="2880" w:hanging="360"/>
      </w:pPr>
    </w:lvl>
    <w:lvl w:ilvl="4" w:tplc="1040C528">
      <w:start w:val="1"/>
      <w:numFmt w:val="lowerLetter"/>
      <w:lvlText w:val="%5."/>
      <w:lvlJc w:val="left"/>
      <w:pPr>
        <w:ind w:left="3600" w:hanging="360"/>
      </w:pPr>
    </w:lvl>
    <w:lvl w:ilvl="5" w:tplc="302A0618">
      <w:start w:val="1"/>
      <w:numFmt w:val="lowerRoman"/>
      <w:lvlText w:val="%6."/>
      <w:lvlJc w:val="right"/>
      <w:pPr>
        <w:ind w:left="4320" w:hanging="180"/>
      </w:pPr>
    </w:lvl>
    <w:lvl w:ilvl="6" w:tplc="04709176">
      <w:start w:val="1"/>
      <w:numFmt w:val="decimal"/>
      <w:lvlText w:val="%7."/>
      <w:lvlJc w:val="left"/>
      <w:pPr>
        <w:ind w:left="5040" w:hanging="360"/>
      </w:pPr>
    </w:lvl>
    <w:lvl w:ilvl="7" w:tplc="0164B112">
      <w:start w:val="1"/>
      <w:numFmt w:val="lowerLetter"/>
      <w:lvlText w:val="%8."/>
      <w:lvlJc w:val="left"/>
      <w:pPr>
        <w:ind w:left="5760" w:hanging="360"/>
      </w:pPr>
    </w:lvl>
    <w:lvl w:ilvl="8" w:tplc="97EA8CD6">
      <w:start w:val="1"/>
      <w:numFmt w:val="lowerRoman"/>
      <w:lvlText w:val="%9."/>
      <w:lvlJc w:val="right"/>
      <w:pPr>
        <w:ind w:left="6480" w:hanging="180"/>
      </w:pPr>
    </w:lvl>
  </w:abstractNum>
  <w:abstractNum w:abstractNumId="13" w15:restartNumberingAfterBreak="0">
    <w:nsid w:val="5BE2382D"/>
    <w:multiLevelType w:val="multilevel"/>
    <w:tmpl w:val="80C0A4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CD4EC88"/>
    <w:multiLevelType w:val="hybridMultilevel"/>
    <w:tmpl w:val="FFFFFFFF"/>
    <w:lvl w:ilvl="0" w:tplc="99828640">
      <w:start w:val="1"/>
      <w:numFmt w:val="lowerLetter"/>
      <w:lvlText w:val="%1."/>
      <w:lvlJc w:val="left"/>
      <w:pPr>
        <w:ind w:left="1440" w:hanging="360"/>
      </w:pPr>
    </w:lvl>
    <w:lvl w:ilvl="1" w:tplc="D4AA314A">
      <w:start w:val="1"/>
      <w:numFmt w:val="lowerLetter"/>
      <w:lvlText w:val="%2."/>
      <w:lvlJc w:val="left"/>
      <w:pPr>
        <w:ind w:left="2160" w:hanging="360"/>
      </w:pPr>
    </w:lvl>
    <w:lvl w:ilvl="2" w:tplc="3D7C342A">
      <w:start w:val="1"/>
      <w:numFmt w:val="lowerRoman"/>
      <w:lvlText w:val="%3."/>
      <w:lvlJc w:val="right"/>
      <w:pPr>
        <w:ind w:left="2880" w:hanging="180"/>
      </w:pPr>
    </w:lvl>
    <w:lvl w:ilvl="3" w:tplc="788AC900">
      <w:start w:val="1"/>
      <w:numFmt w:val="decimal"/>
      <w:lvlText w:val="%4."/>
      <w:lvlJc w:val="left"/>
      <w:pPr>
        <w:ind w:left="3600" w:hanging="360"/>
      </w:pPr>
    </w:lvl>
    <w:lvl w:ilvl="4" w:tplc="A02AF48A">
      <w:start w:val="1"/>
      <w:numFmt w:val="lowerLetter"/>
      <w:lvlText w:val="%5."/>
      <w:lvlJc w:val="left"/>
      <w:pPr>
        <w:ind w:left="4320" w:hanging="360"/>
      </w:pPr>
    </w:lvl>
    <w:lvl w:ilvl="5" w:tplc="0FBAD6BE">
      <w:start w:val="1"/>
      <w:numFmt w:val="lowerRoman"/>
      <w:lvlText w:val="%6."/>
      <w:lvlJc w:val="right"/>
      <w:pPr>
        <w:ind w:left="5040" w:hanging="180"/>
      </w:pPr>
    </w:lvl>
    <w:lvl w:ilvl="6" w:tplc="C6E2732A">
      <w:start w:val="1"/>
      <w:numFmt w:val="decimal"/>
      <w:lvlText w:val="%7."/>
      <w:lvlJc w:val="left"/>
      <w:pPr>
        <w:ind w:left="5760" w:hanging="360"/>
      </w:pPr>
    </w:lvl>
    <w:lvl w:ilvl="7" w:tplc="6DAE373C">
      <w:start w:val="1"/>
      <w:numFmt w:val="lowerLetter"/>
      <w:lvlText w:val="%8."/>
      <w:lvlJc w:val="left"/>
      <w:pPr>
        <w:ind w:left="6480" w:hanging="360"/>
      </w:pPr>
    </w:lvl>
    <w:lvl w:ilvl="8" w:tplc="68447BC4">
      <w:start w:val="1"/>
      <w:numFmt w:val="lowerRoman"/>
      <w:lvlText w:val="%9."/>
      <w:lvlJc w:val="right"/>
      <w:pPr>
        <w:ind w:left="7200" w:hanging="180"/>
      </w:pPr>
    </w:lvl>
  </w:abstractNum>
  <w:abstractNum w:abstractNumId="15" w15:restartNumberingAfterBreak="0">
    <w:nsid w:val="5E6D56FA"/>
    <w:multiLevelType w:val="hybridMultilevel"/>
    <w:tmpl w:val="0FDE3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5B4046"/>
    <w:multiLevelType w:val="multilevel"/>
    <w:tmpl w:val="6ED09390"/>
    <w:styleLink w:val="CurrentList2"/>
    <w:lvl w:ilvl="0">
      <w:start w:val="4"/>
      <w:numFmt w:val="decimal"/>
      <w:lvlText w:val="%1"/>
      <w:lvlJc w:val="left"/>
      <w:pPr>
        <w:ind w:left="360" w:hanging="360"/>
      </w:pPr>
      <w:rPr>
        <w:rFonts w:hint="default"/>
      </w:rPr>
    </w:lvl>
    <w:lvl w:ilvl="1">
      <w:start w:val="2"/>
      <w:numFmt w:val="decimal"/>
      <w:lvlText w:val="%2%1.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7CB7C36"/>
    <w:multiLevelType w:val="multilevel"/>
    <w:tmpl w:val="C6EE19FA"/>
    <w:lvl w:ilvl="0">
      <w:start w:val="4"/>
      <w:numFmt w:val="decimal"/>
      <w:lvlText w:val="%1"/>
      <w:lvlJc w:val="left"/>
      <w:pPr>
        <w:ind w:left="360" w:hanging="360"/>
      </w:pPr>
      <w:rPr>
        <w:rFonts w:hint="default"/>
      </w:rPr>
    </w:lvl>
    <w:lvl w:ilvl="1">
      <w:start w:val="2"/>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438720770">
    <w:abstractNumId w:val="5"/>
  </w:num>
  <w:num w:numId="2" w16cid:durableId="1831477820">
    <w:abstractNumId w:val="9"/>
  </w:num>
  <w:num w:numId="3" w16cid:durableId="89395778">
    <w:abstractNumId w:val="14"/>
  </w:num>
  <w:num w:numId="4" w16cid:durableId="2027900230">
    <w:abstractNumId w:val="2"/>
  </w:num>
  <w:num w:numId="5" w16cid:durableId="1017846404">
    <w:abstractNumId w:val="0"/>
  </w:num>
  <w:num w:numId="6" w16cid:durableId="457262760">
    <w:abstractNumId w:val="11"/>
  </w:num>
  <w:num w:numId="7" w16cid:durableId="1670596338">
    <w:abstractNumId w:val="12"/>
  </w:num>
  <w:num w:numId="8" w16cid:durableId="1360887803">
    <w:abstractNumId w:val="7"/>
  </w:num>
  <w:num w:numId="9" w16cid:durableId="730154589">
    <w:abstractNumId w:val="8"/>
  </w:num>
  <w:num w:numId="10" w16cid:durableId="504438535">
    <w:abstractNumId w:val="6"/>
  </w:num>
  <w:num w:numId="11" w16cid:durableId="1527251760">
    <w:abstractNumId w:val="10"/>
  </w:num>
  <w:num w:numId="12" w16cid:durableId="1881626277">
    <w:abstractNumId w:val="3"/>
  </w:num>
  <w:num w:numId="13" w16cid:durableId="1032539671">
    <w:abstractNumId w:val="13"/>
  </w:num>
  <w:num w:numId="14" w16cid:durableId="62073329">
    <w:abstractNumId w:val="4"/>
  </w:num>
  <w:num w:numId="15" w16cid:durableId="1394238660">
    <w:abstractNumId w:val="15"/>
  </w:num>
  <w:num w:numId="16" w16cid:durableId="281691591">
    <w:abstractNumId w:val="17"/>
  </w:num>
  <w:num w:numId="17" w16cid:durableId="1400400451">
    <w:abstractNumId w:val="1"/>
  </w:num>
  <w:num w:numId="18" w16cid:durableId="2073851315">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DCB320"/>
    <w:rsid w:val="000005C6"/>
    <w:rsid w:val="00000D28"/>
    <w:rsid w:val="00001C15"/>
    <w:rsid w:val="00002985"/>
    <w:rsid w:val="0000332C"/>
    <w:rsid w:val="00003833"/>
    <w:rsid w:val="00003E1C"/>
    <w:rsid w:val="00004A6F"/>
    <w:rsid w:val="0000713F"/>
    <w:rsid w:val="00007252"/>
    <w:rsid w:val="000106D7"/>
    <w:rsid w:val="00010CD9"/>
    <w:rsid w:val="00011B37"/>
    <w:rsid w:val="000123CA"/>
    <w:rsid w:val="00012C19"/>
    <w:rsid w:val="00013341"/>
    <w:rsid w:val="000138E3"/>
    <w:rsid w:val="00013DFC"/>
    <w:rsid w:val="000145BD"/>
    <w:rsid w:val="000161AB"/>
    <w:rsid w:val="00016C2E"/>
    <w:rsid w:val="000173B1"/>
    <w:rsid w:val="00020B26"/>
    <w:rsid w:val="000228FC"/>
    <w:rsid w:val="00022CAE"/>
    <w:rsid w:val="00023B27"/>
    <w:rsid w:val="00023F10"/>
    <w:rsid w:val="0002429B"/>
    <w:rsid w:val="00026E7A"/>
    <w:rsid w:val="00027D13"/>
    <w:rsid w:val="00027D46"/>
    <w:rsid w:val="0003002A"/>
    <w:rsid w:val="000312FC"/>
    <w:rsid w:val="000316AC"/>
    <w:rsid w:val="00031B2E"/>
    <w:rsid w:val="00031DEE"/>
    <w:rsid w:val="00032848"/>
    <w:rsid w:val="00033250"/>
    <w:rsid w:val="0003432F"/>
    <w:rsid w:val="000344F4"/>
    <w:rsid w:val="000345A0"/>
    <w:rsid w:val="00034911"/>
    <w:rsid w:val="00034AB4"/>
    <w:rsid w:val="00035078"/>
    <w:rsid w:val="000352C3"/>
    <w:rsid w:val="00035B6B"/>
    <w:rsid w:val="000360B4"/>
    <w:rsid w:val="00037481"/>
    <w:rsid w:val="00041920"/>
    <w:rsid w:val="00043287"/>
    <w:rsid w:val="000435BA"/>
    <w:rsid w:val="00043A07"/>
    <w:rsid w:val="00044081"/>
    <w:rsid w:val="000447C2"/>
    <w:rsid w:val="00046B38"/>
    <w:rsid w:val="00047E1C"/>
    <w:rsid w:val="00050D63"/>
    <w:rsid w:val="00051A67"/>
    <w:rsid w:val="0005218E"/>
    <w:rsid w:val="00052717"/>
    <w:rsid w:val="00052BF6"/>
    <w:rsid w:val="000538C8"/>
    <w:rsid w:val="00053FAD"/>
    <w:rsid w:val="0005429A"/>
    <w:rsid w:val="00056C4E"/>
    <w:rsid w:val="00060072"/>
    <w:rsid w:val="0006159C"/>
    <w:rsid w:val="00062537"/>
    <w:rsid w:val="000649A6"/>
    <w:rsid w:val="000649F3"/>
    <w:rsid w:val="00064ABA"/>
    <w:rsid w:val="00064BAC"/>
    <w:rsid w:val="0006696A"/>
    <w:rsid w:val="00066E6C"/>
    <w:rsid w:val="00067738"/>
    <w:rsid w:val="00067FCC"/>
    <w:rsid w:val="0007012D"/>
    <w:rsid w:val="000701AD"/>
    <w:rsid w:val="00070560"/>
    <w:rsid w:val="00070E99"/>
    <w:rsid w:val="000717AF"/>
    <w:rsid w:val="00071925"/>
    <w:rsid w:val="000719EE"/>
    <w:rsid w:val="00071CAC"/>
    <w:rsid w:val="00073408"/>
    <w:rsid w:val="00074A43"/>
    <w:rsid w:val="00076C66"/>
    <w:rsid w:val="00080239"/>
    <w:rsid w:val="000812AC"/>
    <w:rsid w:val="0008153E"/>
    <w:rsid w:val="00081CC8"/>
    <w:rsid w:val="00083C06"/>
    <w:rsid w:val="00085171"/>
    <w:rsid w:val="00085AAD"/>
    <w:rsid w:val="00086137"/>
    <w:rsid w:val="000864AF"/>
    <w:rsid w:val="00087136"/>
    <w:rsid w:val="00087954"/>
    <w:rsid w:val="00090121"/>
    <w:rsid w:val="000906EF"/>
    <w:rsid w:val="00090896"/>
    <w:rsid w:val="00091394"/>
    <w:rsid w:val="000913B6"/>
    <w:rsid w:val="000928DF"/>
    <w:rsid w:val="00092AAC"/>
    <w:rsid w:val="000930A5"/>
    <w:rsid w:val="000951A8"/>
    <w:rsid w:val="00095AEF"/>
    <w:rsid w:val="0009652E"/>
    <w:rsid w:val="00097764"/>
    <w:rsid w:val="00097EE1"/>
    <w:rsid w:val="000A00FC"/>
    <w:rsid w:val="000A2D7C"/>
    <w:rsid w:val="000A4171"/>
    <w:rsid w:val="000A59F2"/>
    <w:rsid w:val="000A5ACD"/>
    <w:rsid w:val="000A6E29"/>
    <w:rsid w:val="000A7829"/>
    <w:rsid w:val="000A7A5B"/>
    <w:rsid w:val="000B229F"/>
    <w:rsid w:val="000B2567"/>
    <w:rsid w:val="000B3CE6"/>
    <w:rsid w:val="000B4772"/>
    <w:rsid w:val="000B58D8"/>
    <w:rsid w:val="000B60D7"/>
    <w:rsid w:val="000B6724"/>
    <w:rsid w:val="000B71AA"/>
    <w:rsid w:val="000B7629"/>
    <w:rsid w:val="000B7974"/>
    <w:rsid w:val="000B7F76"/>
    <w:rsid w:val="000C0E44"/>
    <w:rsid w:val="000C0E6B"/>
    <w:rsid w:val="000C16F2"/>
    <w:rsid w:val="000C2C78"/>
    <w:rsid w:val="000C59B5"/>
    <w:rsid w:val="000C5E33"/>
    <w:rsid w:val="000C627D"/>
    <w:rsid w:val="000C6A3D"/>
    <w:rsid w:val="000C6A6B"/>
    <w:rsid w:val="000C6BCE"/>
    <w:rsid w:val="000C7042"/>
    <w:rsid w:val="000C737E"/>
    <w:rsid w:val="000D04A1"/>
    <w:rsid w:val="000D0A7E"/>
    <w:rsid w:val="000D1825"/>
    <w:rsid w:val="000D19F8"/>
    <w:rsid w:val="000D2035"/>
    <w:rsid w:val="000D2931"/>
    <w:rsid w:val="000D42A3"/>
    <w:rsid w:val="000D45B6"/>
    <w:rsid w:val="000D65A4"/>
    <w:rsid w:val="000D6692"/>
    <w:rsid w:val="000D7C85"/>
    <w:rsid w:val="000E0EBD"/>
    <w:rsid w:val="000E18D4"/>
    <w:rsid w:val="000E2513"/>
    <w:rsid w:val="000E2B44"/>
    <w:rsid w:val="000E3039"/>
    <w:rsid w:val="000E32FE"/>
    <w:rsid w:val="000E437C"/>
    <w:rsid w:val="000F0B46"/>
    <w:rsid w:val="000F1915"/>
    <w:rsid w:val="000F196A"/>
    <w:rsid w:val="000F1D12"/>
    <w:rsid w:val="000F430A"/>
    <w:rsid w:val="000F480B"/>
    <w:rsid w:val="000F48D6"/>
    <w:rsid w:val="000F5632"/>
    <w:rsid w:val="000F6ACB"/>
    <w:rsid w:val="000F6FAC"/>
    <w:rsid w:val="0010040E"/>
    <w:rsid w:val="00100E03"/>
    <w:rsid w:val="001011A9"/>
    <w:rsid w:val="001021A7"/>
    <w:rsid w:val="00102DD1"/>
    <w:rsid w:val="00106462"/>
    <w:rsid w:val="0010671D"/>
    <w:rsid w:val="00106FD2"/>
    <w:rsid w:val="00107F97"/>
    <w:rsid w:val="00107FE7"/>
    <w:rsid w:val="0011176C"/>
    <w:rsid w:val="00111C88"/>
    <w:rsid w:val="0011292D"/>
    <w:rsid w:val="00112D4B"/>
    <w:rsid w:val="00113717"/>
    <w:rsid w:val="00113D73"/>
    <w:rsid w:val="00113E5C"/>
    <w:rsid w:val="0011497A"/>
    <w:rsid w:val="00115693"/>
    <w:rsid w:val="00115BDB"/>
    <w:rsid w:val="00117099"/>
    <w:rsid w:val="00117357"/>
    <w:rsid w:val="00117776"/>
    <w:rsid w:val="00117ED8"/>
    <w:rsid w:val="00120282"/>
    <w:rsid w:val="00121234"/>
    <w:rsid w:val="00123051"/>
    <w:rsid w:val="001236B7"/>
    <w:rsid w:val="00124735"/>
    <w:rsid w:val="00125166"/>
    <w:rsid w:val="001267C6"/>
    <w:rsid w:val="00127C86"/>
    <w:rsid w:val="001300DD"/>
    <w:rsid w:val="0013062D"/>
    <w:rsid w:val="00130B4F"/>
    <w:rsid w:val="00130CF4"/>
    <w:rsid w:val="00130DCE"/>
    <w:rsid w:val="001321E8"/>
    <w:rsid w:val="001327CD"/>
    <w:rsid w:val="00132CCD"/>
    <w:rsid w:val="00132DD7"/>
    <w:rsid w:val="00133489"/>
    <w:rsid w:val="001335A3"/>
    <w:rsid w:val="001337E5"/>
    <w:rsid w:val="00133C17"/>
    <w:rsid w:val="00135522"/>
    <w:rsid w:val="00136217"/>
    <w:rsid w:val="001405F1"/>
    <w:rsid w:val="001415E6"/>
    <w:rsid w:val="00141BF7"/>
    <w:rsid w:val="00142824"/>
    <w:rsid w:val="00142DF9"/>
    <w:rsid w:val="001430C3"/>
    <w:rsid w:val="0014392C"/>
    <w:rsid w:val="001441E0"/>
    <w:rsid w:val="0014492A"/>
    <w:rsid w:val="0014493C"/>
    <w:rsid w:val="00145308"/>
    <w:rsid w:val="00145B88"/>
    <w:rsid w:val="00145DDE"/>
    <w:rsid w:val="00146C97"/>
    <w:rsid w:val="001477F4"/>
    <w:rsid w:val="00147990"/>
    <w:rsid w:val="00150167"/>
    <w:rsid w:val="001507F6"/>
    <w:rsid w:val="00150D37"/>
    <w:rsid w:val="00152472"/>
    <w:rsid w:val="001525D4"/>
    <w:rsid w:val="00152A39"/>
    <w:rsid w:val="001530AB"/>
    <w:rsid w:val="001538F4"/>
    <w:rsid w:val="00155189"/>
    <w:rsid w:val="00155D96"/>
    <w:rsid w:val="001563C6"/>
    <w:rsid w:val="00160681"/>
    <w:rsid w:val="00160BC2"/>
    <w:rsid w:val="001617CD"/>
    <w:rsid w:val="00161EFC"/>
    <w:rsid w:val="00162B68"/>
    <w:rsid w:val="0016352F"/>
    <w:rsid w:val="00164EE1"/>
    <w:rsid w:val="0016510A"/>
    <w:rsid w:val="0016557D"/>
    <w:rsid w:val="00166F93"/>
    <w:rsid w:val="00167DAD"/>
    <w:rsid w:val="00170172"/>
    <w:rsid w:val="00170AF0"/>
    <w:rsid w:val="00171979"/>
    <w:rsid w:val="00171EB2"/>
    <w:rsid w:val="001726AA"/>
    <w:rsid w:val="00173278"/>
    <w:rsid w:val="00173332"/>
    <w:rsid w:val="001738AA"/>
    <w:rsid w:val="00173EF6"/>
    <w:rsid w:val="00173EF9"/>
    <w:rsid w:val="001754EE"/>
    <w:rsid w:val="00177877"/>
    <w:rsid w:val="00177A3F"/>
    <w:rsid w:val="001801E1"/>
    <w:rsid w:val="0018024C"/>
    <w:rsid w:val="00180B00"/>
    <w:rsid w:val="00180E9F"/>
    <w:rsid w:val="0018133D"/>
    <w:rsid w:val="001816E5"/>
    <w:rsid w:val="001829B8"/>
    <w:rsid w:val="00183488"/>
    <w:rsid w:val="00184BCA"/>
    <w:rsid w:val="0018543D"/>
    <w:rsid w:val="00185A67"/>
    <w:rsid w:val="001861C0"/>
    <w:rsid w:val="001871CD"/>
    <w:rsid w:val="00187234"/>
    <w:rsid w:val="001904C0"/>
    <w:rsid w:val="00190629"/>
    <w:rsid w:val="00190B6B"/>
    <w:rsid w:val="00191A00"/>
    <w:rsid w:val="001925EB"/>
    <w:rsid w:val="00192A1D"/>
    <w:rsid w:val="00193929"/>
    <w:rsid w:val="00194E3C"/>
    <w:rsid w:val="001959CD"/>
    <w:rsid w:val="00196254"/>
    <w:rsid w:val="001A0010"/>
    <w:rsid w:val="001A350E"/>
    <w:rsid w:val="001A3641"/>
    <w:rsid w:val="001A407A"/>
    <w:rsid w:val="001A4AA6"/>
    <w:rsid w:val="001A666D"/>
    <w:rsid w:val="001A6933"/>
    <w:rsid w:val="001A6C08"/>
    <w:rsid w:val="001A7449"/>
    <w:rsid w:val="001A7E41"/>
    <w:rsid w:val="001B0842"/>
    <w:rsid w:val="001B17E2"/>
    <w:rsid w:val="001B1C9D"/>
    <w:rsid w:val="001B1E17"/>
    <w:rsid w:val="001B295C"/>
    <w:rsid w:val="001B2CCD"/>
    <w:rsid w:val="001B3900"/>
    <w:rsid w:val="001B3ED3"/>
    <w:rsid w:val="001B4A77"/>
    <w:rsid w:val="001B4DD1"/>
    <w:rsid w:val="001B500D"/>
    <w:rsid w:val="001B5403"/>
    <w:rsid w:val="001B5627"/>
    <w:rsid w:val="001B575E"/>
    <w:rsid w:val="001B6229"/>
    <w:rsid w:val="001B6B4B"/>
    <w:rsid w:val="001C1897"/>
    <w:rsid w:val="001C2F8E"/>
    <w:rsid w:val="001C48F0"/>
    <w:rsid w:val="001C7716"/>
    <w:rsid w:val="001C78A2"/>
    <w:rsid w:val="001C7FCB"/>
    <w:rsid w:val="001D02D4"/>
    <w:rsid w:val="001D47AE"/>
    <w:rsid w:val="001D4BBC"/>
    <w:rsid w:val="001D5133"/>
    <w:rsid w:val="001D5A97"/>
    <w:rsid w:val="001D6806"/>
    <w:rsid w:val="001D6929"/>
    <w:rsid w:val="001D79C1"/>
    <w:rsid w:val="001E1430"/>
    <w:rsid w:val="001E1969"/>
    <w:rsid w:val="001E2C65"/>
    <w:rsid w:val="001E2E27"/>
    <w:rsid w:val="001E3183"/>
    <w:rsid w:val="001E31A1"/>
    <w:rsid w:val="001E32D9"/>
    <w:rsid w:val="001E3A6C"/>
    <w:rsid w:val="001E402D"/>
    <w:rsid w:val="001E4758"/>
    <w:rsid w:val="001E5135"/>
    <w:rsid w:val="001E59AB"/>
    <w:rsid w:val="001E5AC9"/>
    <w:rsid w:val="001E67BA"/>
    <w:rsid w:val="001E7254"/>
    <w:rsid w:val="001F0B77"/>
    <w:rsid w:val="001F0BCA"/>
    <w:rsid w:val="001F1A12"/>
    <w:rsid w:val="001F2D4D"/>
    <w:rsid w:val="001F2DCE"/>
    <w:rsid w:val="001F338C"/>
    <w:rsid w:val="001F366A"/>
    <w:rsid w:val="001F3AB0"/>
    <w:rsid w:val="001F4509"/>
    <w:rsid w:val="001F4F48"/>
    <w:rsid w:val="001F73E2"/>
    <w:rsid w:val="00200278"/>
    <w:rsid w:val="002015A5"/>
    <w:rsid w:val="00201934"/>
    <w:rsid w:val="00202251"/>
    <w:rsid w:val="0020337E"/>
    <w:rsid w:val="00204676"/>
    <w:rsid w:val="00204D63"/>
    <w:rsid w:val="00204F34"/>
    <w:rsid w:val="002060CD"/>
    <w:rsid w:val="00206360"/>
    <w:rsid w:val="00206DFA"/>
    <w:rsid w:val="002116AC"/>
    <w:rsid w:val="00212950"/>
    <w:rsid w:val="002129A7"/>
    <w:rsid w:val="00212D6C"/>
    <w:rsid w:val="00213FEE"/>
    <w:rsid w:val="002165A1"/>
    <w:rsid w:val="00216A8B"/>
    <w:rsid w:val="00217D4F"/>
    <w:rsid w:val="00217FCF"/>
    <w:rsid w:val="00220526"/>
    <w:rsid w:val="00220706"/>
    <w:rsid w:val="00222F64"/>
    <w:rsid w:val="00222FAF"/>
    <w:rsid w:val="002242EB"/>
    <w:rsid w:val="0022448D"/>
    <w:rsid w:val="002265B3"/>
    <w:rsid w:val="00227FEB"/>
    <w:rsid w:val="00230073"/>
    <w:rsid w:val="002302C6"/>
    <w:rsid w:val="002309B0"/>
    <w:rsid w:val="00231163"/>
    <w:rsid w:val="00232212"/>
    <w:rsid w:val="00232607"/>
    <w:rsid w:val="00232C1D"/>
    <w:rsid w:val="00233D46"/>
    <w:rsid w:val="002352D5"/>
    <w:rsid w:val="0023694D"/>
    <w:rsid w:val="00237A65"/>
    <w:rsid w:val="00237DDF"/>
    <w:rsid w:val="002407E7"/>
    <w:rsid w:val="002414FE"/>
    <w:rsid w:val="00241828"/>
    <w:rsid w:val="00242765"/>
    <w:rsid w:val="00242DD9"/>
    <w:rsid w:val="0024456F"/>
    <w:rsid w:val="002463C3"/>
    <w:rsid w:val="002502EB"/>
    <w:rsid w:val="00250543"/>
    <w:rsid w:val="00250918"/>
    <w:rsid w:val="0025231C"/>
    <w:rsid w:val="00252ED4"/>
    <w:rsid w:val="00253B29"/>
    <w:rsid w:val="002547B9"/>
    <w:rsid w:val="0025488F"/>
    <w:rsid w:val="002602AE"/>
    <w:rsid w:val="0026105C"/>
    <w:rsid w:val="00261205"/>
    <w:rsid w:val="002612C4"/>
    <w:rsid w:val="0026165A"/>
    <w:rsid w:val="002617A9"/>
    <w:rsid w:val="00261958"/>
    <w:rsid w:val="0026315C"/>
    <w:rsid w:val="002636C5"/>
    <w:rsid w:val="002638BB"/>
    <w:rsid w:val="00263BAC"/>
    <w:rsid w:val="00267D63"/>
    <w:rsid w:val="00270D9A"/>
    <w:rsid w:val="00272B14"/>
    <w:rsid w:val="002732FE"/>
    <w:rsid w:val="00274846"/>
    <w:rsid w:val="0027792C"/>
    <w:rsid w:val="00277F84"/>
    <w:rsid w:val="002801A3"/>
    <w:rsid w:val="002809E0"/>
    <w:rsid w:val="002814B3"/>
    <w:rsid w:val="00281B8A"/>
    <w:rsid w:val="00281DC1"/>
    <w:rsid w:val="002834B0"/>
    <w:rsid w:val="00284DD6"/>
    <w:rsid w:val="00284F9B"/>
    <w:rsid w:val="00285287"/>
    <w:rsid w:val="00285B42"/>
    <w:rsid w:val="00286855"/>
    <w:rsid w:val="0029118D"/>
    <w:rsid w:val="002921FE"/>
    <w:rsid w:val="002937D2"/>
    <w:rsid w:val="00293EDC"/>
    <w:rsid w:val="00294B8D"/>
    <w:rsid w:val="00295713"/>
    <w:rsid w:val="00295792"/>
    <w:rsid w:val="00295CAB"/>
    <w:rsid w:val="00296627"/>
    <w:rsid w:val="0029739A"/>
    <w:rsid w:val="00297E82"/>
    <w:rsid w:val="002A05DA"/>
    <w:rsid w:val="002A1B32"/>
    <w:rsid w:val="002A20AA"/>
    <w:rsid w:val="002A2260"/>
    <w:rsid w:val="002A2B1F"/>
    <w:rsid w:val="002A3063"/>
    <w:rsid w:val="002A4709"/>
    <w:rsid w:val="002A71DD"/>
    <w:rsid w:val="002B0821"/>
    <w:rsid w:val="002B1997"/>
    <w:rsid w:val="002B2EC4"/>
    <w:rsid w:val="002B345E"/>
    <w:rsid w:val="002B3A72"/>
    <w:rsid w:val="002B43E4"/>
    <w:rsid w:val="002B54B4"/>
    <w:rsid w:val="002B74D6"/>
    <w:rsid w:val="002B7A64"/>
    <w:rsid w:val="002C0DC3"/>
    <w:rsid w:val="002C109F"/>
    <w:rsid w:val="002C18AB"/>
    <w:rsid w:val="002C19DF"/>
    <w:rsid w:val="002C1BA5"/>
    <w:rsid w:val="002C2BC0"/>
    <w:rsid w:val="002C36BB"/>
    <w:rsid w:val="002C5A0C"/>
    <w:rsid w:val="002C60EA"/>
    <w:rsid w:val="002C7218"/>
    <w:rsid w:val="002C7235"/>
    <w:rsid w:val="002C7394"/>
    <w:rsid w:val="002D0FFE"/>
    <w:rsid w:val="002D239A"/>
    <w:rsid w:val="002D3386"/>
    <w:rsid w:val="002D390D"/>
    <w:rsid w:val="002D4CE2"/>
    <w:rsid w:val="002D567B"/>
    <w:rsid w:val="002D587C"/>
    <w:rsid w:val="002D661A"/>
    <w:rsid w:val="002E042A"/>
    <w:rsid w:val="002E1CD3"/>
    <w:rsid w:val="002E3F81"/>
    <w:rsid w:val="002E4230"/>
    <w:rsid w:val="002E4E4C"/>
    <w:rsid w:val="002E5ACF"/>
    <w:rsid w:val="002E75CD"/>
    <w:rsid w:val="002F03CA"/>
    <w:rsid w:val="002F32B9"/>
    <w:rsid w:val="002F6093"/>
    <w:rsid w:val="002F6E8C"/>
    <w:rsid w:val="002F70F6"/>
    <w:rsid w:val="002F7FC8"/>
    <w:rsid w:val="00301878"/>
    <w:rsid w:val="003018E4"/>
    <w:rsid w:val="00301C97"/>
    <w:rsid w:val="0030230D"/>
    <w:rsid w:val="00302632"/>
    <w:rsid w:val="003030A7"/>
    <w:rsid w:val="00303102"/>
    <w:rsid w:val="003031F6"/>
    <w:rsid w:val="003055D8"/>
    <w:rsid w:val="003064A6"/>
    <w:rsid w:val="00306D99"/>
    <w:rsid w:val="0030764A"/>
    <w:rsid w:val="003079AD"/>
    <w:rsid w:val="00307C93"/>
    <w:rsid w:val="00310BD3"/>
    <w:rsid w:val="003112CA"/>
    <w:rsid w:val="00312374"/>
    <w:rsid w:val="00314AD7"/>
    <w:rsid w:val="00316D53"/>
    <w:rsid w:val="00323C5B"/>
    <w:rsid w:val="00323EB4"/>
    <w:rsid w:val="003245AE"/>
    <w:rsid w:val="00325202"/>
    <w:rsid w:val="00326562"/>
    <w:rsid w:val="00326862"/>
    <w:rsid w:val="00326F15"/>
    <w:rsid w:val="00331742"/>
    <w:rsid w:val="0033177D"/>
    <w:rsid w:val="00331CE5"/>
    <w:rsid w:val="00331D60"/>
    <w:rsid w:val="00332425"/>
    <w:rsid w:val="00333024"/>
    <w:rsid w:val="00333881"/>
    <w:rsid w:val="0033434A"/>
    <w:rsid w:val="003364CD"/>
    <w:rsid w:val="00337BE6"/>
    <w:rsid w:val="00340F43"/>
    <w:rsid w:val="00342500"/>
    <w:rsid w:val="00342D12"/>
    <w:rsid w:val="0034303D"/>
    <w:rsid w:val="0034331A"/>
    <w:rsid w:val="00343431"/>
    <w:rsid w:val="003436A6"/>
    <w:rsid w:val="00343A71"/>
    <w:rsid w:val="00343BA0"/>
    <w:rsid w:val="003441DC"/>
    <w:rsid w:val="003442D9"/>
    <w:rsid w:val="00346143"/>
    <w:rsid w:val="0034723E"/>
    <w:rsid w:val="003500E1"/>
    <w:rsid w:val="00351185"/>
    <w:rsid w:val="00351EEF"/>
    <w:rsid w:val="00352A1B"/>
    <w:rsid w:val="00353A82"/>
    <w:rsid w:val="00353B8C"/>
    <w:rsid w:val="00354A4F"/>
    <w:rsid w:val="003557D2"/>
    <w:rsid w:val="003560C6"/>
    <w:rsid w:val="00356A43"/>
    <w:rsid w:val="003604C5"/>
    <w:rsid w:val="00361C0D"/>
    <w:rsid w:val="00361E5A"/>
    <w:rsid w:val="00361F42"/>
    <w:rsid w:val="0036227C"/>
    <w:rsid w:val="00362AE6"/>
    <w:rsid w:val="0036313F"/>
    <w:rsid w:val="00363DBE"/>
    <w:rsid w:val="003650C1"/>
    <w:rsid w:val="00365D01"/>
    <w:rsid w:val="00366225"/>
    <w:rsid w:val="003704EE"/>
    <w:rsid w:val="0037274E"/>
    <w:rsid w:val="0037309E"/>
    <w:rsid w:val="00373A44"/>
    <w:rsid w:val="00373B65"/>
    <w:rsid w:val="00374BAA"/>
    <w:rsid w:val="00375007"/>
    <w:rsid w:val="00376C02"/>
    <w:rsid w:val="0037717C"/>
    <w:rsid w:val="003778F8"/>
    <w:rsid w:val="00377CF8"/>
    <w:rsid w:val="00380972"/>
    <w:rsid w:val="00381940"/>
    <w:rsid w:val="00381C2F"/>
    <w:rsid w:val="00383DDE"/>
    <w:rsid w:val="0038437D"/>
    <w:rsid w:val="003848A0"/>
    <w:rsid w:val="00384E07"/>
    <w:rsid w:val="00385709"/>
    <w:rsid w:val="00385CE7"/>
    <w:rsid w:val="00386712"/>
    <w:rsid w:val="00387959"/>
    <w:rsid w:val="003909ED"/>
    <w:rsid w:val="003911A9"/>
    <w:rsid w:val="003914E1"/>
    <w:rsid w:val="00391773"/>
    <w:rsid w:val="003922FF"/>
    <w:rsid w:val="00395974"/>
    <w:rsid w:val="003961EE"/>
    <w:rsid w:val="00397799"/>
    <w:rsid w:val="003A13EF"/>
    <w:rsid w:val="003A1676"/>
    <w:rsid w:val="003A19CF"/>
    <w:rsid w:val="003A2290"/>
    <w:rsid w:val="003A22D3"/>
    <w:rsid w:val="003A273C"/>
    <w:rsid w:val="003A284E"/>
    <w:rsid w:val="003A5008"/>
    <w:rsid w:val="003A511A"/>
    <w:rsid w:val="003A553C"/>
    <w:rsid w:val="003A6413"/>
    <w:rsid w:val="003A7D90"/>
    <w:rsid w:val="003A7DDF"/>
    <w:rsid w:val="003B08A7"/>
    <w:rsid w:val="003B0AF8"/>
    <w:rsid w:val="003B12C7"/>
    <w:rsid w:val="003B15E3"/>
    <w:rsid w:val="003B443F"/>
    <w:rsid w:val="003B4696"/>
    <w:rsid w:val="003B4E6F"/>
    <w:rsid w:val="003B556F"/>
    <w:rsid w:val="003B558F"/>
    <w:rsid w:val="003B5B6B"/>
    <w:rsid w:val="003B5CE2"/>
    <w:rsid w:val="003B7FF6"/>
    <w:rsid w:val="003C00EC"/>
    <w:rsid w:val="003C223F"/>
    <w:rsid w:val="003C26AF"/>
    <w:rsid w:val="003C2C15"/>
    <w:rsid w:val="003C3D80"/>
    <w:rsid w:val="003C4284"/>
    <w:rsid w:val="003C4504"/>
    <w:rsid w:val="003C469C"/>
    <w:rsid w:val="003C4D8D"/>
    <w:rsid w:val="003C4DB4"/>
    <w:rsid w:val="003C4E03"/>
    <w:rsid w:val="003C551B"/>
    <w:rsid w:val="003C5875"/>
    <w:rsid w:val="003C5E3D"/>
    <w:rsid w:val="003C67B1"/>
    <w:rsid w:val="003C67D2"/>
    <w:rsid w:val="003C6DF4"/>
    <w:rsid w:val="003D0A6B"/>
    <w:rsid w:val="003D1440"/>
    <w:rsid w:val="003D316C"/>
    <w:rsid w:val="003D31A4"/>
    <w:rsid w:val="003D3942"/>
    <w:rsid w:val="003D3BE9"/>
    <w:rsid w:val="003D3D40"/>
    <w:rsid w:val="003D6082"/>
    <w:rsid w:val="003D66FE"/>
    <w:rsid w:val="003D6F0B"/>
    <w:rsid w:val="003D6FD7"/>
    <w:rsid w:val="003D7469"/>
    <w:rsid w:val="003E1A36"/>
    <w:rsid w:val="003E2EAE"/>
    <w:rsid w:val="003E332B"/>
    <w:rsid w:val="003E336F"/>
    <w:rsid w:val="003E4A75"/>
    <w:rsid w:val="003E4E44"/>
    <w:rsid w:val="003E551F"/>
    <w:rsid w:val="003E6947"/>
    <w:rsid w:val="003E7080"/>
    <w:rsid w:val="003F0A37"/>
    <w:rsid w:val="003F15BB"/>
    <w:rsid w:val="003F18FC"/>
    <w:rsid w:val="003F197F"/>
    <w:rsid w:val="003F2452"/>
    <w:rsid w:val="003F341E"/>
    <w:rsid w:val="003F3FB5"/>
    <w:rsid w:val="003F5768"/>
    <w:rsid w:val="003F586B"/>
    <w:rsid w:val="003F5C73"/>
    <w:rsid w:val="003F6CDE"/>
    <w:rsid w:val="003F6F8C"/>
    <w:rsid w:val="003F799B"/>
    <w:rsid w:val="00400C36"/>
    <w:rsid w:val="004016BC"/>
    <w:rsid w:val="004019AD"/>
    <w:rsid w:val="00402764"/>
    <w:rsid w:val="00404436"/>
    <w:rsid w:val="00404671"/>
    <w:rsid w:val="00404893"/>
    <w:rsid w:val="00405FCE"/>
    <w:rsid w:val="0040620D"/>
    <w:rsid w:val="00406820"/>
    <w:rsid w:val="004071C7"/>
    <w:rsid w:val="0041071C"/>
    <w:rsid w:val="00410AB5"/>
    <w:rsid w:val="00415558"/>
    <w:rsid w:val="004155B2"/>
    <w:rsid w:val="00415689"/>
    <w:rsid w:val="0041656A"/>
    <w:rsid w:val="00420053"/>
    <w:rsid w:val="0042006A"/>
    <w:rsid w:val="00420D07"/>
    <w:rsid w:val="004210C5"/>
    <w:rsid w:val="004214C4"/>
    <w:rsid w:val="004218D0"/>
    <w:rsid w:val="00421DE1"/>
    <w:rsid w:val="004225B0"/>
    <w:rsid w:val="004227FC"/>
    <w:rsid w:val="00423588"/>
    <w:rsid w:val="004247AF"/>
    <w:rsid w:val="00425C73"/>
    <w:rsid w:val="00427246"/>
    <w:rsid w:val="00430A1E"/>
    <w:rsid w:val="00431D05"/>
    <w:rsid w:val="0043406E"/>
    <w:rsid w:val="0043529B"/>
    <w:rsid w:val="0043645E"/>
    <w:rsid w:val="004366FB"/>
    <w:rsid w:val="0044011B"/>
    <w:rsid w:val="004408FB"/>
    <w:rsid w:val="004418AA"/>
    <w:rsid w:val="004418C2"/>
    <w:rsid w:val="00441D68"/>
    <w:rsid w:val="00442B94"/>
    <w:rsid w:val="00443279"/>
    <w:rsid w:val="004445D4"/>
    <w:rsid w:val="00445A1C"/>
    <w:rsid w:val="00445C81"/>
    <w:rsid w:val="004464E0"/>
    <w:rsid w:val="0044722A"/>
    <w:rsid w:val="004473E9"/>
    <w:rsid w:val="00447B31"/>
    <w:rsid w:val="00447CBE"/>
    <w:rsid w:val="00450436"/>
    <w:rsid w:val="004506FF"/>
    <w:rsid w:val="004511B9"/>
    <w:rsid w:val="00451B8A"/>
    <w:rsid w:val="00452760"/>
    <w:rsid w:val="0045491D"/>
    <w:rsid w:val="00454D96"/>
    <w:rsid w:val="00454F28"/>
    <w:rsid w:val="00457884"/>
    <w:rsid w:val="00457B6D"/>
    <w:rsid w:val="00457C04"/>
    <w:rsid w:val="00457C5A"/>
    <w:rsid w:val="00460487"/>
    <w:rsid w:val="00461F26"/>
    <w:rsid w:val="00462314"/>
    <w:rsid w:val="00463B08"/>
    <w:rsid w:val="00464FA6"/>
    <w:rsid w:val="004650A4"/>
    <w:rsid w:val="0046516A"/>
    <w:rsid w:val="004651C0"/>
    <w:rsid w:val="004652BD"/>
    <w:rsid w:val="004661B9"/>
    <w:rsid w:val="00466977"/>
    <w:rsid w:val="004670EB"/>
    <w:rsid w:val="00470B30"/>
    <w:rsid w:val="004713C4"/>
    <w:rsid w:val="004720F0"/>
    <w:rsid w:val="00473705"/>
    <w:rsid w:val="00473767"/>
    <w:rsid w:val="00473D25"/>
    <w:rsid w:val="00473F0C"/>
    <w:rsid w:val="0047400B"/>
    <w:rsid w:val="00474902"/>
    <w:rsid w:val="004749E9"/>
    <w:rsid w:val="004749FF"/>
    <w:rsid w:val="0047500C"/>
    <w:rsid w:val="00475621"/>
    <w:rsid w:val="00475A50"/>
    <w:rsid w:val="00476B37"/>
    <w:rsid w:val="0048140B"/>
    <w:rsid w:val="0048160A"/>
    <w:rsid w:val="00482C49"/>
    <w:rsid w:val="00483CA9"/>
    <w:rsid w:val="0048459C"/>
    <w:rsid w:val="00484628"/>
    <w:rsid w:val="0049054A"/>
    <w:rsid w:val="00490A44"/>
    <w:rsid w:val="00490B78"/>
    <w:rsid w:val="00490C48"/>
    <w:rsid w:val="004922AB"/>
    <w:rsid w:val="00492CCD"/>
    <w:rsid w:val="00493891"/>
    <w:rsid w:val="0049410F"/>
    <w:rsid w:val="0049556E"/>
    <w:rsid w:val="004956D4"/>
    <w:rsid w:val="00495725"/>
    <w:rsid w:val="00495F2B"/>
    <w:rsid w:val="004964AC"/>
    <w:rsid w:val="0049695B"/>
    <w:rsid w:val="0049712E"/>
    <w:rsid w:val="00497837"/>
    <w:rsid w:val="004A0F01"/>
    <w:rsid w:val="004A20A1"/>
    <w:rsid w:val="004A2380"/>
    <w:rsid w:val="004A322F"/>
    <w:rsid w:val="004A45A1"/>
    <w:rsid w:val="004A4D94"/>
    <w:rsid w:val="004A59F0"/>
    <w:rsid w:val="004A5B44"/>
    <w:rsid w:val="004A5B73"/>
    <w:rsid w:val="004A698A"/>
    <w:rsid w:val="004A6CE5"/>
    <w:rsid w:val="004B0000"/>
    <w:rsid w:val="004B13C7"/>
    <w:rsid w:val="004B1790"/>
    <w:rsid w:val="004B3DEC"/>
    <w:rsid w:val="004B40E9"/>
    <w:rsid w:val="004B4487"/>
    <w:rsid w:val="004B5AFE"/>
    <w:rsid w:val="004B5B80"/>
    <w:rsid w:val="004B610F"/>
    <w:rsid w:val="004B645E"/>
    <w:rsid w:val="004B6C05"/>
    <w:rsid w:val="004B755A"/>
    <w:rsid w:val="004B772B"/>
    <w:rsid w:val="004B7B8F"/>
    <w:rsid w:val="004C011B"/>
    <w:rsid w:val="004C0133"/>
    <w:rsid w:val="004C05D8"/>
    <w:rsid w:val="004C078D"/>
    <w:rsid w:val="004C0C0F"/>
    <w:rsid w:val="004C1890"/>
    <w:rsid w:val="004C32FB"/>
    <w:rsid w:val="004C412E"/>
    <w:rsid w:val="004C5984"/>
    <w:rsid w:val="004C5E7D"/>
    <w:rsid w:val="004C5F4B"/>
    <w:rsid w:val="004C5F71"/>
    <w:rsid w:val="004C5F83"/>
    <w:rsid w:val="004D2925"/>
    <w:rsid w:val="004D3232"/>
    <w:rsid w:val="004D3A90"/>
    <w:rsid w:val="004D436A"/>
    <w:rsid w:val="004D4A3D"/>
    <w:rsid w:val="004D4DCF"/>
    <w:rsid w:val="004D58C1"/>
    <w:rsid w:val="004D6B38"/>
    <w:rsid w:val="004E1A9A"/>
    <w:rsid w:val="004E2967"/>
    <w:rsid w:val="004E2E57"/>
    <w:rsid w:val="004E3A08"/>
    <w:rsid w:val="004E4AF2"/>
    <w:rsid w:val="004E5AEC"/>
    <w:rsid w:val="004E5BB4"/>
    <w:rsid w:val="004E5E58"/>
    <w:rsid w:val="004E6388"/>
    <w:rsid w:val="004E6A9F"/>
    <w:rsid w:val="004E75DE"/>
    <w:rsid w:val="004E7A85"/>
    <w:rsid w:val="004E7ACA"/>
    <w:rsid w:val="004F020D"/>
    <w:rsid w:val="004F0E9F"/>
    <w:rsid w:val="004F260C"/>
    <w:rsid w:val="004F2CF5"/>
    <w:rsid w:val="004F2E09"/>
    <w:rsid w:val="004F30A1"/>
    <w:rsid w:val="004F3259"/>
    <w:rsid w:val="004F47D9"/>
    <w:rsid w:val="004F6253"/>
    <w:rsid w:val="004F6BE3"/>
    <w:rsid w:val="004F70AD"/>
    <w:rsid w:val="00500BC2"/>
    <w:rsid w:val="00500D1D"/>
    <w:rsid w:val="0050117C"/>
    <w:rsid w:val="00501887"/>
    <w:rsid w:val="00502B71"/>
    <w:rsid w:val="00502E1F"/>
    <w:rsid w:val="005030D4"/>
    <w:rsid w:val="00503501"/>
    <w:rsid w:val="0050545B"/>
    <w:rsid w:val="00505DEB"/>
    <w:rsid w:val="00506039"/>
    <w:rsid w:val="005109AA"/>
    <w:rsid w:val="0051376C"/>
    <w:rsid w:val="005140C4"/>
    <w:rsid w:val="005140E3"/>
    <w:rsid w:val="005150CF"/>
    <w:rsid w:val="00515291"/>
    <w:rsid w:val="005154A7"/>
    <w:rsid w:val="00515D62"/>
    <w:rsid w:val="00515E80"/>
    <w:rsid w:val="00515FC6"/>
    <w:rsid w:val="00517AAC"/>
    <w:rsid w:val="00517AEC"/>
    <w:rsid w:val="005206DC"/>
    <w:rsid w:val="005215C0"/>
    <w:rsid w:val="005224D4"/>
    <w:rsid w:val="00522578"/>
    <w:rsid w:val="005227D1"/>
    <w:rsid w:val="0052280D"/>
    <w:rsid w:val="00522C0F"/>
    <w:rsid w:val="00523700"/>
    <w:rsid w:val="00523AE1"/>
    <w:rsid w:val="00524C65"/>
    <w:rsid w:val="00524CB6"/>
    <w:rsid w:val="00524F4B"/>
    <w:rsid w:val="0052520F"/>
    <w:rsid w:val="005258B1"/>
    <w:rsid w:val="0052597B"/>
    <w:rsid w:val="00525A71"/>
    <w:rsid w:val="00525A97"/>
    <w:rsid w:val="00526A56"/>
    <w:rsid w:val="00526B30"/>
    <w:rsid w:val="00526C8F"/>
    <w:rsid w:val="005277E8"/>
    <w:rsid w:val="00530A83"/>
    <w:rsid w:val="0053223F"/>
    <w:rsid w:val="0053246F"/>
    <w:rsid w:val="0053271A"/>
    <w:rsid w:val="00532BE6"/>
    <w:rsid w:val="00532F86"/>
    <w:rsid w:val="00533181"/>
    <w:rsid w:val="005354CF"/>
    <w:rsid w:val="0053551E"/>
    <w:rsid w:val="005368E7"/>
    <w:rsid w:val="00536C5F"/>
    <w:rsid w:val="0054162F"/>
    <w:rsid w:val="00541C03"/>
    <w:rsid w:val="00542414"/>
    <w:rsid w:val="0054281E"/>
    <w:rsid w:val="00542B4B"/>
    <w:rsid w:val="005446A4"/>
    <w:rsid w:val="00544795"/>
    <w:rsid w:val="00544E20"/>
    <w:rsid w:val="0054504B"/>
    <w:rsid w:val="005452A7"/>
    <w:rsid w:val="00545999"/>
    <w:rsid w:val="005463C0"/>
    <w:rsid w:val="005465DC"/>
    <w:rsid w:val="005503A9"/>
    <w:rsid w:val="0055080B"/>
    <w:rsid w:val="00551A8E"/>
    <w:rsid w:val="005530F8"/>
    <w:rsid w:val="00554525"/>
    <w:rsid w:val="00554DD6"/>
    <w:rsid w:val="005550C1"/>
    <w:rsid w:val="00560DFA"/>
    <w:rsid w:val="00561316"/>
    <w:rsid w:val="005618DA"/>
    <w:rsid w:val="00563391"/>
    <w:rsid w:val="00563BA8"/>
    <w:rsid w:val="0056435E"/>
    <w:rsid w:val="00564545"/>
    <w:rsid w:val="005647FA"/>
    <w:rsid w:val="005650FD"/>
    <w:rsid w:val="00565205"/>
    <w:rsid w:val="00567E66"/>
    <w:rsid w:val="005708DF"/>
    <w:rsid w:val="00571723"/>
    <w:rsid w:val="00571BF8"/>
    <w:rsid w:val="00572175"/>
    <w:rsid w:val="00572250"/>
    <w:rsid w:val="0057436F"/>
    <w:rsid w:val="00574907"/>
    <w:rsid w:val="005761A2"/>
    <w:rsid w:val="00577713"/>
    <w:rsid w:val="00577E36"/>
    <w:rsid w:val="005802A4"/>
    <w:rsid w:val="005816AE"/>
    <w:rsid w:val="00582AD4"/>
    <w:rsid w:val="00584725"/>
    <w:rsid w:val="00587258"/>
    <w:rsid w:val="00587D3B"/>
    <w:rsid w:val="00590477"/>
    <w:rsid w:val="00590744"/>
    <w:rsid w:val="00590A4A"/>
    <w:rsid w:val="00591881"/>
    <w:rsid w:val="00591FE4"/>
    <w:rsid w:val="005921E1"/>
    <w:rsid w:val="00592332"/>
    <w:rsid w:val="005933F8"/>
    <w:rsid w:val="0059363F"/>
    <w:rsid w:val="00593A16"/>
    <w:rsid w:val="00593BFC"/>
    <w:rsid w:val="0059573E"/>
    <w:rsid w:val="00597CEF"/>
    <w:rsid w:val="005A21BF"/>
    <w:rsid w:val="005A2380"/>
    <w:rsid w:val="005A4343"/>
    <w:rsid w:val="005A4655"/>
    <w:rsid w:val="005A48CF"/>
    <w:rsid w:val="005A504C"/>
    <w:rsid w:val="005A51B5"/>
    <w:rsid w:val="005A73DF"/>
    <w:rsid w:val="005A79F4"/>
    <w:rsid w:val="005A7B53"/>
    <w:rsid w:val="005B09C6"/>
    <w:rsid w:val="005B1873"/>
    <w:rsid w:val="005B277C"/>
    <w:rsid w:val="005B3487"/>
    <w:rsid w:val="005B46A3"/>
    <w:rsid w:val="005B4C47"/>
    <w:rsid w:val="005B5397"/>
    <w:rsid w:val="005B55A9"/>
    <w:rsid w:val="005B5865"/>
    <w:rsid w:val="005B5F34"/>
    <w:rsid w:val="005B630E"/>
    <w:rsid w:val="005B7DC6"/>
    <w:rsid w:val="005C00FD"/>
    <w:rsid w:val="005C2465"/>
    <w:rsid w:val="005C2B44"/>
    <w:rsid w:val="005C2C8D"/>
    <w:rsid w:val="005C3613"/>
    <w:rsid w:val="005C5383"/>
    <w:rsid w:val="005C5CA1"/>
    <w:rsid w:val="005C632C"/>
    <w:rsid w:val="005C6F86"/>
    <w:rsid w:val="005C739A"/>
    <w:rsid w:val="005D01A2"/>
    <w:rsid w:val="005D09C1"/>
    <w:rsid w:val="005D12B0"/>
    <w:rsid w:val="005D1305"/>
    <w:rsid w:val="005D1C59"/>
    <w:rsid w:val="005D3030"/>
    <w:rsid w:val="005D37D3"/>
    <w:rsid w:val="005D39EF"/>
    <w:rsid w:val="005D6EDC"/>
    <w:rsid w:val="005D7492"/>
    <w:rsid w:val="005D7C00"/>
    <w:rsid w:val="005E0317"/>
    <w:rsid w:val="005E1C17"/>
    <w:rsid w:val="005E2001"/>
    <w:rsid w:val="005E26D9"/>
    <w:rsid w:val="005E4C38"/>
    <w:rsid w:val="005E505F"/>
    <w:rsid w:val="005E51AB"/>
    <w:rsid w:val="005E67CD"/>
    <w:rsid w:val="005E6FF7"/>
    <w:rsid w:val="005E756A"/>
    <w:rsid w:val="005E7DCD"/>
    <w:rsid w:val="005E7DEB"/>
    <w:rsid w:val="005F1337"/>
    <w:rsid w:val="005F1841"/>
    <w:rsid w:val="005F3952"/>
    <w:rsid w:val="005F47B5"/>
    <w:rsid w:val="005F482C"/>
    <w:rsid w:val="005F4DE2"/>
    <w:rsid w:val="005F5EC4"/>
    <w:rsid w:val="005F65DF"/>
    <w:rsid w:val="005F65ED"/>
    <w:rsid w:val="005F6A33"/>
    <w:rsid w:val="005F6DAE"/>
    <w:rsid w:val="005F6E8C"/>
    <w:rsid w:val="005F715D"/>
    <w:rsid w:val="005F7848"/>
    <w:rsid w:val="00600D58"/>
    <w:rsid w:val="00600F58"/>
    <w:rsid w:val="00601389"/>
    <w:rsid w:val="006014E9"/>
    <w:rsid w:val="006026A7"/>
    <w:rsid w:val="006034D6"/>
    <w:rsid w:val="00603C59"/>
    <w:rsid w:val="006057A3"/>
    <w:rsid w:val="00605B19"/>
    <w:rsid w:val="00606433"/>
    <w:rsid w:val="00606798"/>
    <w:rsid w:val="0060689A"/>
    <w:rsid w:val="00606942"/>
    <w:rsid w:val="006071AE"/>
    <w:rsid w:val="00607D4C"/>
    <w:rsid w:val="00607DA8"/>
    <w:rsid w:val="006106D3"/>
    <w:rsid w:val="0061123A"/>
    <w:rsid w:val="00613362"/>
    <w:rsid w:val="006139C1"/>
    <w:rsid w:val="00614C0B"/>
    <w:rsid w:val="0061694C"/>
    <w:rsid w:val="006169D9"/>
    <w:rsid w:val="00616F51"/>
    <w:rsid w:val="00617AD5"/>
    <w:rsid w:val="006205C9"/>
    <w:rsid w:val="00620B4B"/>
    <w:rsid w:val="0062147B"/>
    <w:rsid w:val="00621609"/>
    <w:rsid w:val="006222B6"/>
    <w:rsid w:val="00623764"/>
    <w:rsid w:val="0062401E"/>
    <w:rsid w:val="0062588F"/>
    <w:rsid w:val="00625C1F"/>
    <w:rsid w:val="006265C5"/>
    <w:rsid w:val="00630119"/>
    <w:rsid w:val="006302B7"/>
    <w:rsid w:val="00630380"/>
    <w:rsid w:val="006303A0"/>
    <w:rsid w:val="00631A0A"/>
    <w:rsid w:val="006326FC"/>
    <w:rsid w:val="00632FA8"/>
    <w:rsid w:val="0063472F"/>
    <w:rsid w:val="006349FB"/>
    <w:rsid w:val="00634AF7"/>
    <w:rsid w:val="00634DFD"/>
    <w:rsid w:val="00634FC4"/>
    <w:rsid w:val="00637625"/>
    <w:rsid w:val="00637CB0"/>
    <w:rsid w:val="006400E5"/>
    <w:rsid w:val="00640AE1"/>
    <w:rsid w:val="00640DA2"/>
    <w:rsid w:val="00640EB9"/>
    <w:rsid w:val="0064135A"/>
    <w:rsid w:val="00641AE0"/>
    <w:rsid w:val="00641BDF"/>
    <w:rsid w:val="00641D60"/>
    <w:rsid w:val="0064338C"/>
    <w:rsid w:val="00643C17"/>
    <w:rsid w:val="00644B1A"/>
    <w:rsid w:val="006474EE"/>
    <w:rsid w:val="006475A5"/>
    <w:rsid w:val="00651E15"/>
    <w:rsid w:val="00651EA8"/>
    <w:rsid w:val="00652440"/>
    <w:rsid w:val="00652572"/>
    <w:rsid w:val="006541CC"/>
    <w:rsid w:val="00655795"/>
    <w:rsid w:val="00656967"/>
    <w:rsid w:val="00656E38"/>
    <w:rsid w:val="00657784"/>
    <w:rsid w:val="006602C3"/>
    <w:rsid w:val="0066088A"/>
    <w:rsid w:val="00661217"/>
    <w:rsid w:val="006619C4"/>
    <w:rsid w:val="00661C8D"/>
    <w:rsid w:val="00662172"/>
    <w:rsid w:val="00662EA3"/>
    <w:rsid w:val="006631C0"/>
    <w:rsid w:val="00663D6F"/>
    <w:rsid w:val="00664038"/>
    <w:rsid w:val="00665B96"/>
    <w:rsid w:val="006664BA"/>
    <w:rsid w:val="006664D8"/>
    <w:rsid w:val="00672AFF"/>
    <w:rsid w:val="00673018"/>
    <w:rsid w:val="00673972"/>
    <w:rsid w:val="00674EE6"/>
    <w:rsid w:val="006752FF"/>
    <w:rsid w:val="00676091"/>
    <w:rsid w:val="0067656A"/>
    <w:rsid w:val="0067684D"/>
    <w:rsid w:val="00676FC9"/>
    <w:rsid w:val="00677429"/>
    <w:rsid w:val="00677F4F"/>
    <w:rsid w:val="006802D8"/>
    <w:rsid w:val="00681E74"/>
    <w:rsid w:val="0068211C"/>
    <w:rsid w:val="006822CB"/>
    <w:rsid w:val="006828AC"/>
    <w:rsid w:val="006839AC"/>
    <w:rsid w:val="006840A5"/>
    <w:rsid w:val="00684CE6"/>
    <w:rsid w:val="00686B28"/>
    <w:rsid w:val="0068768A"/>
    <w:rsid w:val="00687B92"/>
    <w:rsid w:val="00690F3D"/>
    <w:rsid w:val="0069292F"/>
    <w:rsid w:val="006938DF"/>
    <w:rsid w:val="00695836"/>
    <w:rsid w:val="00695F1E"/>
    <w:rsid w:val="006A1D75"/>
    <w:rsid w:val="006A2356"/>
    <w:rsid w:val="006A30EB"/>
    <w:rsid w:val="006A38FD"/>
    <w:rsid w:val="006A395E"/>
    <w:rsid w:val="006A3D84"/>
    <w:rsid w:val="006A3EBB"/>
    <w:rsid w:val="006A3F03"/>
    <w:rsid w:val="006A4642"/>
    <w:rsid w:val="006A4D29"/>
    <w:rsid w:val="006A682E"/>
    <w:rsid w:val="006A6CB1"/>
    <w:rsid w:val="006A7835"/>
    <w:rsid w:val="006A79C6"/>
    <w:rsid w:val="006A79D5"/>
    <w:rsid w:val="006A7A45"/>
    <w:rsid w:val="006A7FAC"/>
    <w:rsid w:val="006B039D"/>
    <w:rsid w:val="006B18CE"/>
    <w:rsid w:val="006B2DCA"/>
    <w:rsid w:val="006B309E"/>
    <w:rsid w:val="006B31A5"/>
    <w:rsid w:val="006B4945"/>
    <w:rsid w:val="006B4979"/>
    <w:rsid w:val="006B4EFA"/>
    <w:rsid w:val="006B51AF"/>
    <w:rsid w:val="006B6ED6"/>
    <w:rsid w:val="006B6F61"/>
    <w:rsid w:val="006B7D6B"/>
    <w:rsid w:val="006C04FC"/>
    <w:rsid w:val="006C2E4A"/>
    <w:rsid w:val="006C36E0"/>
    <w:rsid w:val="006C38BC"/>
    <w:rsid w:val="006C4FF5"/>
    <w:rsid w:val="006C51D2"/>
    <w:rsid w:val="006C576D"/>
    <w:rsid w:val="006C5B21"/>
    <w:rsid w:val="006D38F6"/>
    <w:rsid w:val="006D4154"/>
    <w:rsid w:val="006D491D"/>
    <w:rsid w:val="006D4FF3"/>
    <w:rsid w:val="006D6C3B"/>
    <w:rsid w:val="006D7713"/>
    <w:rsid w:val="006E04FE"/>
    <w:rsid w:val="006E0EB7"/>
    <w:rsid w:val="006E108C"/>
    <w:rsid w:val="006E189C"/>
    <w:rsid w:val="006E1CB1"/>
    <w:rsid w:val="006E1CD6"/>
    <w:rsid w:val="006E22B7"/>
    <w:rsid w:val="006E2D58"/>
    <w:rsid w:val="006E3784"/>
    <w:rsid w:val="006E3E86"/>
    <w:rsid w:val="006E42A4"/>
    <w:rsid w:val="006E453C"/>
    <w:rsid w:val="006E4B5F"/>
    <w:rsid w:val="006E4BEE"/>
    <w:rsid w:val="006E4DB4"/>
    <w:rsid w:val="006E5695"/>
    <w:rsid w:val="006E5E26"/>
    <w:rsid w:val="006E6209"/>
    <w:rsid w:val="006E645C"/>
    <w:rsid w:val="006E64DB"/>
    <w:rsid w:val="006E64F2"/>
    <w:rsid w:val="006F03B7"/>
    <w:rsid w:val="006F0D29"/>
    <w:rsid w:val="006F0E18"/>
    <w:rsid w:val="006F11A0"/>
    <w:rsid w:val="006F3589"/>
    <w:rsid w:val="006F3B48"/>
    <w:rsid w:val="006F3E6A"/>
    <w:rsid w:val="006F3FE3"/>
    <w:rsid w:val="006F457C"/>
    <w:rsid w:val="006F5E99"/>
    <w:rsid w:val="006F62AF"/>
    <w:rsid w:val="006F7D70"/>
    <w:rsid w:val="00700485"/>
    <w:rsid w:val="00700BC7"/>
    <w:rsid w:val="00700BDB"/>
    <w:rsid w:val="00701088"/>
    <w:rsid w:val="007017FC"/>
    <w:rsid w:val="00701CCB"/>
    <w:rsid w:val="0070269A"/>
    <w:rsid w:val="00704654"/>
    <w:rsid w:val="0070604C"/>
    <w:rsid w:val="00706CEF"/>
    <w:rsid w:val="0070729B"/>
    <w:rsid w:val="00707D72"/>
    <w:rsid w:val="00710889"/>
    <w:rsid w:val="00710980"/>
    <w:rsid w:val="0071201A"/>
    <w:rsid w:val="007122D6"/>
    <w:rsid w:val="00712C7A"/>
    <w:rsid w:val="00713779"/>
    <w:rsid w:val="00713A67"/>
    <w:rsid w:val="00716536"/>
    <w:rsid w:val="00717B21"/>
    <w:rsid w:val="00720018"/>
    <w:rsid w:val="007202FC"/>
    <w:rsid w:val="00720AA5"/>
    <w:rsid w:val="00721174"/>
    <w:rsid w:val="0072129A"/>
    <w:rsid w:val="007225EC"/>
    <w:rsid w:val="00722E9B"/>
    <w:rsid w:val="00723245"/>
    <w:rsid w:val="0072337A"/>
    <w:rsid w:val="0072416E"/>
    <w:rsid w:val="00724B96"/>
    <w:rsid w:val="0072700C"/>
    <w:rsid w:val="00727488"/>
    <w:rsid w:val="007279B2"/>
    <w:rsid w:val="00730023"/>
    <w:rsid w:val="00731624"/>
    <w:rsid w:val="00732340"/>
    <w:rsid w:val="0073426C"/>
    <w:rsid w:val="00734925"/>
    <w:rsid w:val="00734CA8"/>
    <w:rsid w:val="007350BC"/>
    <w:rsid w:val="00735647"/>
    <w:rsid w:val="0073637A"/>
    <w:rsid w:val="0073645D"/>
    <w:rsid w:val="00737EA0"/>
    <w:rsid w:val="00740008"/>
    <w:rsid w:val="00740A9E"/>
    <w:rsid w:val="007417DD"/>
    <w:rsid w:val="0074216F"/>
    <w:rsid w:val="007444D5"/>
    <w:rsid w:val="00744F35"/>
    <w:rsid w:val="00745655"/>
    <w:rsid w:val="00745B20"/>
    <w:rsid w:val="007465C9"/>
    <w:rsid w:val="00746B1E"/>
    <w:rsid w:val="00746C9B"/>
    <w:rsid w:val="00746CC7"/>
    <w:rsid w:val="0074725A"/>
    <w:rsid w:val="00747701"/>
    <w:rsid w:val="007478DD"/>
    <w:rsid w:val="007501BE"/>
    <w:rsid w:val="007516DF"/>
    <w:rsid w:val="00751C9A"/>
    <w:rsid w:val="00751EA7"/>
    <w:rsid w:val="0075256D"/>
    <w:rsid w:val="007525E3"/>
    <w:rsid w:val="007546B9"/>
    <w:rsid w:val="007569E0"/>
    <w:rsid w:val="00757439"/>
    <w:rsid w:val="00760B05"/>
    <w:rsid w:val="0076148E"/>
    <w:rsid w:val="00762001"/>
    <w:rsid w:val="007648CE"/>
    <w:rsid w:val="007654E2"/>
    <w:rsid w:val="0076554A"/>
    <w:rsid w:val="007673CD"/>
    <w:rsid w:val="007675D3"/>
    <w:rsid w:val="00770737"/>
    <w:rsid w:val="00771462"/>
    <w:rsid w:val="00771892"/>
    <w:rsid w:val="00773580"/>
    <w:rsid w:val="007737A7"/>
    <w:rsid w:val="007739EF"/>
    <w:rsid w:val="00775986"/>
    <w:rsid w:val="00775A88"/>
    <w:rsid w:val="00780050"/>
    <w:rsid w:val="007802F5"/>
    <w:rsid w:val="007827EF"/>
    <w:rsid w:val="00782F3B"/>
    <w:rsid w:val="007832F2"/>
    <w:rsid w:val="0078342B"/>
    <w:rsid w:val="00783DDE"/>
    <w:rsid w:val="00784AC9"/>
    <w:rsid w:val="007865B2"/>
    <w:rsid w:val="00786850"/>
    <w:rsid w:val="00787C7B"/>
    <w:rsid w:val="007902B7"/>
    <w:rsid w:val="00790FF1"/>
    <w:rsid w:val="0079244F"/>
    <w:rsid w:val="00792ED3"/>
    <w:rsid w:val="007939D8"/>
    <w:rsid w:val="00793A18"/>
    <w:rsid w:val="00795B88"/>
    <w:rsid w:val="007A1D34"/>
    <w:rsid w:val="007A255A"/>
    <w:rsid w:val="007A30D5"/>
    <w:rsid w:val="007A35B1"/>
    <w:rsid w:val="007A38D3"/>
    <w:rsid w:val="007A4144"/>
    <w:rsid w:val="007A44C7"/>
    <w:rsid w:val="007A5868"/>
    <w:rsid w:val="007A5BC7"/>
    <w:rsid w:val="007A5D85"/>
    <w:rsid w:val="007A61E3"/>
    <w:rsid w:val="007A6698"/>
    <w:rsid w:val="007A6C69"/>
    <w:rsid w:val="007A6C78"/>
    <w:rsid w:val="007A7B91"/>
    <w:rsid w:val="007B060E"/>
    <w:rsid w:val="007B0696"/>
    <w:rsid w:val="007B0D5B"/>
    <w:rsid w:val="007B1975"/>
    <w:rsid w:val="007B3B91"/>
    <w:rsid w:val="007B3F31"/>
    <w:rsid w:val="007B4429"/>
    <w:rsid w:val="007B4683"/>
    <w:rsid w:val="007B4F3B"/>
    <w:rsid w:val="007B52BB"/>
    <w:rsid w:val="007B6418"/>
    <w:rsid w:val="007B7A8D"/>
    <w:rsid w:val="007C0573"/>
    <w:rsid w:val="007C0733"/>
    <w:rsid w:val="007C1A1F"/>
    <w:rsid w:val="007C2A80"/>
    <w:rsid w:val="007C39E0"/>
    <w:rsid w:val="007C41B7"/>
    <w:rsid w:val="007C423B"/>
    <w:rsid w:val="007C4479"/>
    <w:rsid w:val="007C49B5"/>
    <w:rsid w:val="007C52DE"/>
    <w:rsid w:val="007C716B"/>
    <w:rsid w:val="007C7504"/>
    <w:rsid w:val="007C75FD"/>
    <w:rsid w:val="007C76AA"/>
    <w:rsid w:val="007D17BE"/>
    <w:rsid w:val="007D1B3A"/>
    <w:rsid w:val="007D2318"/>
    <w:rsid w:val="007D237C"/>
    <w:rsid w:val="007D2C12"/>
    <w:rsid w:val="007D329D"/>
    <w:rsid w:val="007D3935"/>
    <w:rsid w:val="007D4354"/>
    <w:rsid w:val="007D56A9"/>
    <w:rsid w:val="007D59B9"/>
    <w:rsid w:val="007D5ED0"/>
    <w:rsid w:val="007D611F"/>
    <w:rsid w:val="007E08A3"/>
    <w:rsid w:val="007E0E9E"/>
    <w:rsid w:val="007E1879"/>
    <w:rsid w:val="007E1FBD"/>
    <w:rsid w:val="007E28E0"/>
    <w:rsid w:val="007E296E"/>
    <w:rsid w:val="007E3284"/>
    <w:rsid w:val="007E33E5"/>
    <w:rsid w:val="007E479A"/>
    <w:rsid w:val="007E488D"/>
    <w:rsid w:val="007E596D"/>
    <w:rsid w:val="007E5986"/>
    <w:rsid w:val="007E6D85"/>
    <w:rsid w:val="007E7398"/>
    <w:rsid w:val="007E7777"/>
    <w:rsid w:val="007F0608"/>
    <w:rsid w:val="007F408C"/>
    <w:rsid w:val="007F54F9"/>
    <w:rsid w:val="007F5631"/>
    <w:rsid w:val="007F5B7F"/>
    <w:rsid w:val="007F608B"/>
    <w:rsid w:val="007F6092"/>
    <w:rsid w:val="007F67EC"/>
    <w:rsid w:val="00800C23"/>
    <w:rsid w:val="00801056"/>
    <w:rsid w:val="00801329"/>
    <w:rsid w:val="00801570"/>
    <w:rsid w:val="008037ED"/>
    <w:rsid w:val="00803835"/>
    <w:rsid w:val="00803B66"/>
    <w:rsid w:val="008040E4"/>
    <w:rsid w:val="00804656"/>
    <w:rsid w:val="008048E3"/>
    <w:rsid w:val="00804DE4"/>
    <w:rsid w:val="008053F3"/>
    <w:rsid w:val="008054CF"/>
    <w:rsid w:val="008059D0"/>
    <w:rsid w:val="00805F95"/>
    <w:rsid w:val="00806476"/>
    <w:rsid w:val="00806761"/>
    <w:rsid w:val="00806F19"/>
    <w:rsid w:val="0080716E"/>
    <w:rsid w:val="008072BF"/>
    <w:rsid w:val="00807FE6"/>
    <w:rsid w:val="00810113"/>
    <w:rsid w:val="008112CA"/>
    <w:rsid w:val="00812FFB"/>
    <w:rsid w:val="008144B4"/>
    <w:rsid w:val="00820DAD"/>
    <w:rsid w:val="0082296F"/>
    <w:rsid w:val="00822B4E"/>
    <w:rsid w:val="008244A5"/>
    <w:rsid w:val="00824988"/>
    <w:rsid w:val="00825630"/>
    <w:rsid w:val="008257BA"/>
    <w:rsid w:val="00825E44"/>
    <w:rsid w:val="008272FF"/>
    <w:rsid w:val="00830E88"/>
    <w:rsid w:val="008317CE"/>
    <w:rsid w:val="00831A4C"/>
    <w:rsid w:val="00832B2F"/>
    <w:rsid w:val="008344A9"/>
    <w:rsid w:val="008344E8"/>
    <w:rsid w:val="0083488F"/>
    <w:rsid w:val="00834E75"/>
    <w:rsid w:val="008352ED"/>
    <w:rsid w:val="00835B71"/>
    <w:rsid w:val="0083645D"/>
    <w:rsid w:val="00836523"/>
    <w:rsid w:val="008365D1"/>
    <w:rsid w:val="00836FB2"/>
    <w:rsid w:val="00840154"/>
    <w:rsid w:val="008407E9"/>
    <w:rsid w:val="008411C0"/>
    <w:rsid w:val="00842A80"/>
    <w:rsid w:val="00845748"/>
    <w:rsid w:val="008461BF"/>
    <w:rsid w:val="0084702A"/>
    <w:rsid w:val="00850C87"/>
    <w:rsid w:val="00850EFE"/>
    <w:rsid w:val="00852C04"/>
    <w:rsid w:val="00853BC0"/>
    <w:rsid w:val="00853BCE"/>
    <w:rsid w:val="00855100"/>
    <w:rsid w:val="00855534"/>
    <w:rsid w:val="008561E8"/>
    <w:rsid w:val="00857587"/>
    <w:rsid w:val="00862214"/>
    <w:rsid w:val="0086290A"/>
    <w:rsid w:val="0086337F"/>
    <w:rsid w:val="00864C8D"/>
    <w:rsid w:val="008664B8"/>
    <w:rsid w:val="0086FC77"/>
    <w:rsid w:val="0087199B"/>
    <w:rsid w:val="00871B28"/>
    <w:rsid w:val="00872134"/>
    <w:rsid w:val="008723C2"/>
    <w:rsid w:val="008724D6"/>
    <w:rsid w:val="00873274"/>
    <w:rsid w:val="00874D43"/>
    <w:rsid w:val="0087603E"/>
    <w:rsid w:val="0087668E"/>
    <w:rsid w:val="008768D3"/>
    <w:rsid w:val="0088196F"/>
    <w:rsid w:val="00881A01"/>
    <w:rsid w:val="00881C4D"/>
    <w:rsid w:val="00881DC2"/>
    <w:rsid w:val="008834EF"/>
    <w:rsid w:val="00885963"/>
    <w:rsid w:val="00886589"/>
    <w:rsid w:val="008868F1"/>
    <w:rsid w:val="00886DFB"/>
    <w:rsid w:val="00887458"/>
    <w:rsid w:val="00890397"/>
    <w:rsid w:val="00891C4A"/>
    <w:rsid w:val="00892022"/>
    <w:rsid w:val="008926C1"/>
    <w:rsid w:val="008939B2"/>
    <w:rsid w:val="00893D55"/>
    <w:rsid w:val="00894998"/>
    <w:rsid w:val="008A0C1F"/>
    <w:rsid w:val="008A2C0E"/>
    <w:rsid w:val="008A31DE"/>
    <w:rsid w:val="008A37A4"/>
    <w:rsid w:val="008A3ED5"/>
    <w:rsid w:val="008A40EB"/>
    <w:rsid w:val="008A446D"/>
    <w:rsid w:val="008A4769"/>
    <w:rsid w:val="008A47AA"/>
    <w:rsid w:val="008A4EAB"/>
    <w:rsid w:val="008A4F24"/>
    <w:rsid w:val="008A50FB"/>
    <w:rsid w:val="008A5E10"/>
    <w:rsid w:val="008A6731"/>
    <w:rsid w:val="008A79CB"/>
    <w:rsid w:val="008B03A3"/>
    <w:rsid w:val="008B0BD9"/>
    <w:rsid w:val="008B17C3"/>
    <w:rsid w:val="008B18A6"/>
    <w:rsid w:val="008B3E06"/>
    <w:rsid w:val="008B3FA0"/>
    <w:rsid w:val="008B5A05"/>
    <w:rsid w:val="008B5A98"/>
    <w:rsid w:val="008B6B56"/>
    <w:rsid w:val="008B7378"/>
    <w:rsid w:val="008C03A9"/>
    <w:rsid w:val="008C0747"/>
    <w:rsid w:val="008C1099"/>
    <w:rsid w:val="008C1ABE"/>
    <w:rsid w:val="008C248E"/>
    <w:rsid w:val="008C24C9"/>
    <w:rsid w:val="008C2AD4"/>
    <w:rsid w:val="008C337C"/>
    <w:rsid w:val="008C36DC"/>
    <w:rsid w:val="008C3C76"/>
    <w:rsid w:val="008C3E10"/>
    <w:rsid w:val="008C4072"/>
    <w:rsid w:val="008C4770"/>
    <w:rsid w:val="008C5B1E"/>
    <w:rsid w:val="008C767A"/>
    <w:rsid w:val="008C7716"/>
    <w:rsid w:val="008C7F68"/>
    <w:rsid w:val="008D28FE"/>
    <w:rsid w:val="008D2C22"/>
    <w:rsid w:val="008D2D99"/>
    <w:rsid w:val="008D3007"/>
    <w:rsid w:val="008D3327"/>
    <w:rsid w:val="008D3362"/>
    <w:rsid w:val="008D339C"/>
    <w:rsid w:val="008D42C9"/>
    <w:rsid w:val="008D4925"/>
    <w:rsid w:val="008D4EAD"/>
    <w:rsid w:val="008D7485"/>
    <w:rsid w:val="008E0840"/>
    <w:rsid w:val="008E0A88"/>
    <w:rsid w:val="008E11FC"/>
    <w:rsid w:val="008E17B1"/>
    <w:rsid w:val="008E1CB3"/>
    <w:rsid w:val="008E24A0"/>
    <w:rsid w:val="008E4AB8"/>
    <w:rsid w:val="008E51DA"/>
    <w:rsid w:val="008E58D8"/>
    <w:rsid w:val="008E5A07"/>
    <w:rsid w:val="008E5C22"/>
    <w:rsid w:val="008E6209"/>
    <w:rsid w:val="008E6BAF"/>
    <w:rsid w:val="008E6F79"/>
    <w:rsid w:val="008F0C1D"/>
    <w:rsid w:val="008F155D"/>
    <w:rsid w:val="008F1CEC"/>
    <w:rsid w:val="008F35CA"/>
    <w:rsid w:val="008F4431"/>
    <w:rsid w:val="008F5192"/>
    <w:rsid w:val="008F5281"/>
    <w:rsid w:val="008F75F5"/>
    <w:rsid w:val="008F7865"/>
    <w:rsid w:val="0090093D"/>
    <w:rsid w:val="00901199"/>
    <w:rsid w:val="0090238A"/>
    <w:rsid w:val="00903277"/>
    <w:rsid w:val="009040ED"/>
    <w:rsid w:val="00904897"/>
    <w:rsid w:val="00905245"/>
    <w:rsid w:val="009054FD"/>
    <w:rsid w:val="0090568B"/>
    <w:rsid w:val="00906510"/>
    <w:rsid w:val="009068B6"/>
    <w:rsid w:val="00906D84"/>
    <w:rsid w:val="0090799F"/>
    <w:rsid w:val="00910644"/>
    <w:rsid w:val="00912639"/>
    <w:rsid w:val="00914BF6"/>
    <w:rsid w:val="00914FF8"/>
    <w:rsid w:val="0091584D"/>
    <w:rsid w:val="0091630E"/>
    <w:rsid w:val="0091704F"/>
    <w:rsid w:val="00921F45"/>
    <w:rsid w:val="00922684"/>
    <w:rsid w:val="0092282E"/>
    <w:rsid w:val="00922A71"/>
    <w:rsid w:val="009236A2"/>
    <w:rsid w:val="009237A6"/>
    <w:rsid w:val="00924E69"/>
    <w:rsid w:val="0092548D"/>
    <w:rsid w:val="00926F60"/>
    <w:rsid w:val="00927979"/>
    <w:rsid w:val="00927E2D"/>
    <w:rsid w:val="009305C4"/>
    <w:rsid w:val="00931282"/>
    <w:rsid w:val="00931B47"/>
    <w:rsid w:val="00931E6F"/>
    <w:rsid w:val="00932C1C"/>
    <w:rsid w:val="009358E7"/>
    <w:rsid w:val="00935C73"/>
    <w:rsid w:val="00936727"/>
    <w:rsid w:val="00941B7A"/>
    <w:rsid w:val="00942535"/>
    <w:rsid w:val="00943492"/>
    <w:rsid w:val="00945193"/>
    <w:rsid w:val="00945AE3"/>
    <w:rsid w:val="00947AC2"/>
    <w:rsid w:val="00947C1C"/>
    <w:rsid w:val="009501CC"/>
    <w:rsid w:val="00950464"/>
    <w:rsid w:val="009509F1"/>
    <w:rsid w:val="00950F28"/>
    <w:rsid w:val="009515FD"/>
    <w:rsid w:val="00952221"/>
    <w:rsid w:val="00952ED0"/>
    <w:rsid w:val="00956765"/>
    <w:rsid w:val="00957272"/>
    <w:rsid w:val="009578B4"/>
    <w:rsid w:val="00957B17"/>
    <w:rsid w:val="00960A6F"/>
    <w:rsid w:val="00960DAA"/>
    <w:rsid w:val="00961B4F"/>
    <w:rsid w:val="009625DE"/>
    <w:rsid w:val="00964B92"/>
    <w:rsid w:val="00964F73"/>
    <w:rsid w:val="009654EB"/>
    <w:rsid w:val="00965C1B"/>
    <w:rsid w:val="00965E7B"/>
    <w:rsid w:val="00965FF5"/>
    <w:rsid w:val="00966571"/>
    <w:rsid w:val="00966627"/>
    <w:rsid w:val="00966B0D"/>
    <w:rsid w:val="00967955"/>
    <w:rsid w:val="00970061"/>
    <w:rsid w:val="00970E19"/>
    <w:rsid w:val="00971667"/>
    <w:rsid w:val="00971820"/>
    <w:rsid w:val="00971913"/>
    <w:rsid w:val="00972BDA"/>
    <w:rsid w:val="009743A2"/>
    <w:rsid w:val="0097441E"/>
    <w:rsid w:val="0097581E"/>
    <w:rsid w:val="009759B2"/>
    <w:rsid w:val="0097612E"/>
    <w:rsid w:val="009767A7"/>
    <w:rsid w:val="00976D8B"/>
    <w:rsid w:val="00976EB4"/>
    <w:rsid w:val="00977544"/>
    <w:rsid w:val="00977562"/>
    <w:rsid w:val="00977E67"/>
    <w:rsid w:val="00982BE6"/>
    <w:rsid w:val="00983F2A"/>
    <w:rsid w:val="00985594"/>
    <w:rsid w:val="00985A83"/>
    <w:rsid w:val="00986EA5"/>
    <w:rsid w:val="00987F04"/>
    <w:rsid w:val="009918D7"/>
    <w:rsid w:val="00991DD3"/>
    <w:rsid w:val="00993CC0"/>
    <w:rsid w:val="00994C3B"/>
    <w:rsid w:val="00995578"/>
    <w:rsid w:val="00996FEB"/>
    <w:rsid w:val="00997A4F"/>
    <w:rsid w:val="00997FFC"/>
    <w:rsid w:val="009A018C"/>
    <w:rsid w:val="009A143D"/>
    <w:rsid w:val="009A1FBB"/>
    <w:rsid w:val="009A1FD9"/>
    <w:rsid w:val="009A21D7"/>
    <w:rsid w:val="009A21ED"/>
    <w:rsid w:val="009A327B"/>
    <w:rsid w:val="009A4273"/>
    <w:rsid w:val="009A42C5"/>
    <w:rsid w:val="009A4CC7"/>
    <w:rsid w:val="009A5758"/>
    <w:rsid w:val="009A57A0"/>
    <w:rsid w:val="009A5B89"/>
    <w:rsid w:val="009A6616"/>
    <w:rsid w:val="009A7306"/>
    <w:rsid w:val="009B15AA"/>
    <w:rsid w:val="009B19C3"/>
    <w:rsid w:val="009B1DC7"/>
    <w:rsid w:val="009B2321"/>
    <w:rsid w:val="009B3A3D"/>
    <w:rsid w:val="009B46D0"/>
    <w:rsid w:val="009B5030"/>
    <w:rsid w:val="009B54BE"/>
    <w:rsid w:val="009B6734"/>
    <w:rsid w:val="009B6849"/>
    <w:rsid w:val="009B6FB6"/>
    <w:rsid w:val="009B7420"/>
    <w:rsid w:val="009B76C1"/>
    <w:rsid w:val="009B7FE0"/>
    <w:rsid w:val="009C08EC"/>
    <w:rsid w:val="009C0A09"/>
    <w:rsid w:val="009C1245"/>
    <w:rsid w:val="009C1470"/>
    <w:rsid w:val="009C1A24"/>
    <w:rsid w:val="009C235E"/>
    <w:rsid w:val="009C2A01"/>
    <w:rsid w:val="009C3800"/>
    <w:rsid w:val="009C3AC5"/>
    <w:rsid w:val="009C48EB"/>
    <w:rsid w:val="009C4E29"/>
    <w:rsid w:val="009C4EEA"/>
    <w:rsid w:val="009C5219"/>
    <w:rsid w:val="009C5468"/>
    <w:rsid w:val="009C5E28"/>
    <w:rsid w:val="009C6692"/>
    <w:rsid w:val="009C700B"/>
    <w:rsid w:val="009C70DE"/>
    <w:rsid w:val="009C7439"/>
    <w:rsid w:val="009C7491"/>
    <w:rsid w:val="009C79C5"/>
    <w:rsid w:val="009D0D42"/>
    <w:rsid w:val="009D149A"/>
    <w:rsid w:val="009D2A64"/>
    <w:rsid w:val="009D2B4B"/>
    <w:rsid w:val="009D2C29"/>
    <w:rsid w:val="009D372C"/>
    <w:rsid w:val="009D3C10"/>
    <w:rsid w:val="009D3F6E"/>
    <w:rsid w:val="009D5F05"/>
    <w:rsid w:val="009D6337"/>
    <w:rsid w:val="009D6E11"/>
    <w:rsid w:val="009D6FF0"/>
    <w:rsid w:val="009D7075"/>
    <w:rsid w:val="009D75D7"/>
    <w:rsid w:val="009D76CD"/>
    <w:rsid w:val="009E0371"/>
    <w:rsid w:val="009E0920"/>
    <w:rsid w:val="009E1229"/>
    <w:rsid w:val="009E2F93"/>
    <w:rsid w:val="009E31E8"/>
    <w:rsid w:val="009E3210"/>
    <w:rsid w:val="009E3963"/>
    <w:rsid w:val="009E417D"/>
    <w:rsid w:val="009E43FE"/>
    <w:rsid w:val="009E49EE"/>
    <w:rsid w:val="009E4A82"/>
    <w:rsid w:val="009E4DD8"/>
    <w:rsid w:val="009E4E80"/>
    <w:rsid w:val="009E5C9C"/>
    <w:rsid w:val="009E6499"/>
    <w:rsid w:val="009E6CDA"/>
    <w:rsid w:val="009F01D5"/>
    <w:rsid w:val="009F0CD5"/>
    <w:rsid w:val="009F1B4B"/>
    <w:rsid w:val="009F661F"/>
    <w:rsid w:val="00A010A2"/>
    <w:rsid w:val="00A014B6"/>
    <w:rsid w:val="00A01AB3"/>
    <w:rsid w:val="00A01FE7"/>
    <w:rsid w:val="00A02164"/>
    <w:rsid w:val="00A026F9"/>
    <w:rsid w:val="00A0373D"/>
    <w:rsid w:val="00A03FEF"/>
    <w:rsid w:val="00A07083"/>
    <w:rsid w:val="00A108A9"/>
    <w:rsid w:val="00A1268E"/>
    <w:rsid w:val="00A13A54"/>
    <w:rsid w:val="00A13A87"/>
    <w:rsid w:val="00A13E33"/>
    <w:rsid w:val="00A13EB3"/>
    <w:rsid w:val="00A163E5"/>
    <w:rsid w:val="00A16B11"/>
    <w:rsid w:val="00A20121"/>
    <w:rsid w:val="00A20539"/>
    <w:rsid w:val="00A232ED"/>
    <w:rsid w:val="00A23B7D"/>
    <w:rsid w:val="00A240CA"/>
    <w:rsid w:val="00A24B24"/>
    <w:rsid w:val="00A25630"/>
    <w:rsid w:val="00A259CB"/>
    <w:rsid w:val="00A3112D"/>
    <w:rsid w:val="00A319B7"/>
    <w:rsid w:val="00A31ED7"/>
    <w:rsid w:val="00A31FA5"/>
    <w:rsid w:val="00A32DAE"/>
    <w:rsid w:val="00A33ADC"/>
    <w:rsid w:val="00A33E49"/>
    <w:rsid w:val="00A3426C"/>
    <w:rsid w:val="00A3517A"/>
    <w:rsid w:val="00A35511"/>
    <w:rsid w:val="00A35A81"/>
    <w:rsid w:val="00A35F22"/>
    <w:rsid w:val="00A36787"/>
    <w:rsid w:val="00A36C64"/>
    <w:rsid w:val="00A36F40"/>
    <w:rsid w:val="00A37DD2"/>
    <w:rsid w:val="00A40ECE"/>
    <w:rsid w:val="00A42BE6"/>
    <w:rsid w:val="00A43823"/>
    <w:rsid w:val="00A441E9"/>
    <w:rsid w:val="00A44690"/>
    <w:rsid w:val="00A46D68"/>
    <w:rsid w:val="00A46F93"/>
    <w:rsid w:val="00A4705B"/>
    <w:rsid w:val="00A479C5"/>
    <w:rsid w:val="00A510F2"/>
    <w:rsid w:val="00A51721"/>
    <w:rsid w:val="00A51B9F"/>
    <w:rsid w:val="00A52780"/>
    <w:rsid w:val="00A54591"/>
    <w:rsid w:val="00A5509C"/>
    <w:rsid w:val="00A57676"/>
    <w:rsid w:val="00A609CD"/>
    <w:rsid w:val="00A61F58"/>
    <w:rsid w:val="00A634CA"/>
    <w:rsid w:val="00A63F88"/>
    <w:rsid w:val="00A64AB8"/>
    <w:rsid w:val="00A64C4F"/>
    <w:rsid w:val="00A64D3E"/>
    <w:rsid w:val="00A64E7B"/>
    <w:rsid w:val="00A64F8B"/>
    <w:rsid w:val="00A665EF"/>
    <w:rsid w:val="00A67433"/>
    <w:rsid w:val="00A67E86"/>
    <w:rsid w:val="00A70BD3"/>
    <w:rsid w:val="00A72EE8"/>
    <w:rsid w:val="00A73BB0"/>
    <w:rsid w:val="00A75E56"/>
    <w:rsid w:val="00A761AD"/>
    <w:rsid w:val="00A76671"/>
    <w:rsid w:val="00A76A42"/>
    <w:rsid w:val="00A80401"/>
    <w:rsid w:val="00A80717"/>
    <w:rsid w:val="00A809FD"/>
    <w:rsid w:val="00A80D6C"/>
    <w:rsid w:val="00A8146E"/>
    <w:rsid w:val="00A8161B"/>
    <w:rsid w:val="00A81AF8"/>
    <w:rsid w:val="00A8205D"/>
    <w:rsid w:val="00A82D99"/>
    <w:rsid w:val="00A84198"/>
    <w:rsid w:val="00A84462"/>
    <w:rsid w:val="00A845BE"/>
    <w:rsid w:val="00A847D3"/>
    <w:rsid w:val="00A85BDC"/>
    <w:rsid w:val="00A86020"/>
    <w:rsid w:val="00A86737"/>
    <w:rsid w:val="00A8758F"/>
    <w:rsid w:val="00A906CA"/>
    <w:rsid w:val="00A90E6B"/>
    <w:rsid w:val="00A910EF"/>
    <w:rsid w:val="00A91294"/>
    <w:rsid w:val="00A9152D"/>
    <w:rsid w:val="00A9265A"/>
    <w:rsid w:val="00A92695"/>
    <w:rsid w:val="00A9562E"/>
    <w:rsid w:val="00A95719"/>
    <w:rsid w:val="00A9590A"/>
    <w:rsid w:val="00A95DFD"/>
    <w:rsid w:val="00A963FD"/>
    <w:rsid w:val="00A96FBC"/>
    <w:rsid w:val="00A97582"/>
    <w:rsid w:val="00AA09C6"/>
    <w:rsid w:val="00AA0F3A"/>
    <w:rsid w:val="00AA10D8"/>
    <w:rsid w:val="00AA1413"/>
    <w:rsid w:val="00AA16C8"/>
    <w:rsid w:val="00AA329B"/>
    <w:rsid w:val="00AA3A43"/>
    <w:rsid w:val="00AA41B8"/>
    <w:rsid w:val="00AA46B0"/>
    <w:rsid w:val="00AA5FA7"/>
    <w:rsid w:val="00AA6B95"/>
    <w:rsid w:val="00AA70AA"/>
    <w:rsid w:val="00AA7175"/>
    <w:rsid w:val="00AAB00E"/>
    <w:rsid w:val="00AB0103"/>
    <w:rsid w:val="00AB1996"/>
    <w:rsid w:val="00AB1FE8"/>
    <w:rsid w:val="00AB22BD"/>
    <w:rsid w:val="00AB2646"/>
    <w:rsid w:val="00AB312B"/>
    <w:rsid w:val="00AB3721"/>
    <w:rsid w:val="00AB3810"/>
    <w:rsid w:val="00AB3CA5"/>
    <w:rsid w:val="00AB3CFE"/>
    <w:rsid w:val="00AB4A53"/>
    <w:rsid w:val="00AB4D6A"/>
    <w:rsid w:val="00AB539C"/>
    <w:rsid w:val="00AB56C9"/>
    <w:rsid w:val="00AB583A"/>
    <w:rsid w:val="00AB59AD"/>
    <w:rsid w:val="00AB5E24"/>
    <w:rsid w:val="00AB5E36"/>
    <w:rsid w:val="00AB6047"/>
    <w:rsid w:val="00AB6546"/>
    <w:rsid w:val="00AB66EB"/>
    <w:rsid w:val="00AC16D6"/>
    <w:rsid w:val="00AC181E"/>
    <w:rsid w:val="00AC1ECD"/>
    <w:rsid w:val="00AC278C"/>
    <w:rsid w:val="00AC7E04"/>
    <w:rsid w:val="00AD03ED"/>
    <w:rsid w:val="00AD0638"/>
    <w:rsid w:val="00AD0B29"/>
    <w:rsid w:val="00AD0EC3"/>
    <w:rsid w:val="00AD1363"/>
    <w:rsid w:val="00AD15D2"/>
    <w:rsid w:val="00AD185F"/>
    <w:rsid w:val="00AD3AEE"/>
    <w:rsid w:val="00AD4471"/>
    <w:rsid w:val="00AD598F"/>
    <w:rsid w:val="00AD6995"/>
    <w:rsid w:val="00AD6BAC"/>
    <w:rsid w:val="00AE040D"/>
    <w:rsid w:val="00AE1F08"/>
    <w:rsid w:val="00AE244B"/>
    <w:rsid w:val="00AE27AB"/>
    <w:rsid w:val="00AE323D"/>
    <w:rsid w:val="00AE3FB5"/>
    <w:rsid w:val="00AE4FB2"/>
    <w:rsid w:val="00AE590C"/>
    <w:rsid w:val="00AE5B34"/>
    <w:rsid w:val="00AE6A01"/>
    <w:rsid w:val="00AE78EF"/>
    <w:rsid w:val="00AE79FA"/>
    <w:rsid w:val="00AF0241"/>
    <w:rsid w:val="00AF07EA"/>
    <w:rsid w:val="00AF1C19"/>
    <w:rsid w:val="00AF29F3"/>
    <w:rsid w:val="00AF2B4E"/>
    <w:rsid w:val="00AF2D3C"/>
    <w:rsid w:val="00AF36B2"/>
    <w:rsid w:val="00AF4488"/>
    <w:rsid w:val="00AF481C"/>
    <w:rsid w:val="00AF52B2"/>
    <w:rsid w:val="00AF59AA"/>
    <w:rsid w:val="00B00746"/>
    <w:rsid w:val="00B01700"/>
    <w:rsid w:val="00B0319E"/>
    <w:rsid w:val="00B037E3"/>
    <w:rsid w:val="00B04E6C"/>
    <w:rsid w:val="00B051EE"/>
    <w:rsid w:val="00B05CC0"/>
    <w:rsid w:val="00B06F1D"/>
    <w:rsid w:val="00B07507"/>
    <w:rsid w:val="00B10960"/>
    <w:rsid w:val="00B114D0"/>
    <w:rsid w:val="00B11C1F"/>
    <w:rsid w:val="00B11F3F"/>
    <w:rsid w:val="00B12C4D"/>
    <w:rsid w:val="00B13950"/>
    <w:rsid w:val="00B13F62"/>
    <w:rsid w:val="00B14BD3"/>
    <w:rsid w:val="00B1507A"/>
    <w:rsid w:val="00B15482"/>
    <w:rsid w:val="00B16534"/>
    <w:rsid w:val="00B16D59"/>
    <w:rsid w:val="00B17620"/>
    <w:rsid w:val="00B17C1D"/>
    <w:rsid w:val="00B2019F"/>
    <w:rsid w:val="00B2057A"/>
    <w:rsid w:val="00B21413"/>
    <w:rsid w:val="00B218C9"/>
    <w:rsid w:val="00B23F96"/>
    <w:rsid w:val="00B2471D"/>
    <w:rsid w:val="00B25084"/>
    <w:rsid w:val="00B256E5"/>
    <w:rsid w:val="00B2596B"/>
    <w:rsid w:val="00B25A64"/>
    <w:rsid w:val="00B25CD3"/>
    <w:rsid w:val="00B269A9"/>
    <w:rsid w:val="00B274BE"/>
    <w:rsid w:val="00B30568"/>
    <w:rsid w:val="00B30663"/>
    <w:rsid w:val="00B30713"/>
    <w:rsid w:val="00B30D3C"/>
    <w:rsid w:val="00B311F3"/>
    <w:rsid w:val="00B31862"/>
    <w:rsid w:val="00B3214C"/>
    <w:rsid w:val="00B32E8C"/>
    <w:rsid w:val="00B33322"/>
    <w:rsid w:val="00B33425"/>
    <w:rsid w:val="00B34335"/>
    <w:rsid w:val="00B344CF"/>
    <w:rsid w:val="00B352C3"/>
    <w:rsid w:val="00B37B3C"/>
    <w:rsid w:val="00B40009"/>
    <w:rsid w:val="00B4083D"/>
    <w:rsid w:val="00B40855"/>
    <w:rsid w:val="00B40DB2"/>
    <w:rsid w:val="00B40E50"/>
    <w:rsid w:val="00B417E2"/>
    <w:rsid w:val="00B41946"/>
    <w:rsid w:val="00B4352D"/>
    <w:rsid w:val="00B43E84"/>
    <w:rsid w:val="00B4412C"/>
    <w:rsid w:val="00B46F67"/>
    <w:rsid w:val="00B47ECF"/>
    <w:rsid w:val="00B4A915"/>
    <w:rsid w:val="00B51069"/>
    <w:rsid w:val="00B51CDF"/>
    <w:rsid w:val="00B52586"/>
    <w:rsid w:val="00B52CBE"/>
    <w:rsid w:val="00B54CE3"/>
    <w:rsid w:val="00B5547D"/>
    <w:rsid w:val="00B56F42"/>
    <w:rsid w:val="00B570B8"/>
    <w:rsid w:val="00B57583"/>
    <w:rsid w:val="00B5760A"/>
    <w:rsid w:val="00B57A61"/>
    <w:rsid w:val="00B618E0"/>
    <w:rsid w:val="00B64677"/>
    <w:rsid w:val="00B649DD"/>
    <w:rsid w:val="00B64CC1"/>
    <w:rsid w:val="00B65546"/>
    <w:rsid w:val="00B659F6"/>
    <w:rsid w:val="00B65CC4"/>
    <w:rsid w:val="00B65D7F"/>
    <w:rsid w:val="00B66842"/>
    <w:rsid w:val="00B66F7F"/>
    <w:rsid w:val="00B678C1"/>
    <w:rsid w:val="00B701C0"/>
    <w:rsid w:val="00B703CB"/>
    <w:rsid w:val="00B71B2C"/>
    <w:rsid w:val="00B71C0D"/>
    <w:rsid w:val="00B722F9"/>
    <w:rsid w:val="00B72CA9"/>
    <w:rsid w:val="00B736A2"/>
    <w:rsid w:val="00B73E36"/>
    <w:rsid w:val="00B747F1"/>
    <w:rsid w:val="00B74ED1"/>
    <w:rsid w:val="00B77649"/>
    <w:rsid w:val="00B778FA"/>
    <w:rsid w:val="00B8046C"/>
    <w:rsid w:val="00B80525"/>
    <w:rsid w:val="00B806B9"/>
    <w:rsid w:val="00B822DB"/>
    <w:rsid w:val="00B84529"/>
    <w:rsid w:val="00B847C4"/>
    <w:rsid w:val="00B863FB"/>
    <w:rsid w:val="00B8659D"/>
    <w:rsid w:val="00B86EF1"/>
    <w:rsid w:val="00B8718D"/>
    <w:rsid w:val="00B875FC"/>
    <w:rsid w:val="00B9126F"/>
    <w:rsid w:val="00B917AC"/>
    <w:rsid w:val="00B9207F"/>
    <w:rsid w:val="00B933FC"/>
    <w:rsid w:val="00B94854"/>
    <w:rsid w:val="00B96B9A"/>
    <w:rsid w:val="00B970BD"/>
    <w:rsid w:val="00B976B1"/>
    <w:rsid w:val="00B97826"/>
    <w:rsid w:val="00B97D35"/>
    <w:rsid w:val="00BA3538"/>
    <w:rsid w:val="00BA3E26"/>
    <w:rsid w:val="00BA511F"/>
    <w:rsid w:val="00BA5598"/>
    <w:rsid w:val="00BA57BA"/>
    <w:rsid w:val="00BA6305"/>
    <w:rsid w:val="00BB0727"/>
    <w:rsid w:val="00BB0B4B"/>
    <w:rsid w:val="00BB1010"/>
    <w:rsid w:val="00BB213F"/>
    <w:rsid w:val="00BB2698"/>
    <w:rsid w:val="00BB3D4A"/>
    <w:rsid w:val="00BB53C1"/>
    <w:rsid w:val="00BB5695"/>
    <w:rsid w:val="00BB58F9"/>
    <w:rsid w:val="00BB5CDD"/>
    <w:rsid w:val="00BB7540"/>
    <w:rsid w:val="00BC0085"/>
    <w:rsid w:val="00BC0966"/>
    <w:rsid w:val="00BC0D16"/>
    <w:rsid w:val="00BC1340"/>
    <w:rsid w:val="00BC24FA"/>
    <w:rsid w:val="00BC3E13"/>
    <w:rsid w:val="00BC4827"/>
    <w:rsid w:val="00BC5462"/>
    <w:rsid w:val="00BC5DE9"/>
    <w:rsid w:val="00BC686B"/>
    <w:rsid w:val="00BC6984"/>
    <w:rsid w:val="00BC6BEA"/>
    <w:rsid w:val="00BC6F40"/>
    <w:rsid w:val="00BD12AF"/>
    <w:rsid w:val="00BD19AC"/>
    <w:rsid w:val="00BD270D"/>
    <w:rsid w:val="00BD2C5F"/>
    <w:rsid w:val="00BD4840"/>
    <w:rsid w:val="00BD4B5D"/>
    <w:rsid w:val="00BD585A"/>
    <w:rsid w:val="00BD5872"/>
    <w:rsid w:val="00BD5B69"/>
    <w:rsid w:val="00BD6BB6"/>
    <w:rsid w:val="00BE1191"/>
    <w:rsid w:val="00BE3028"/>
    <w:rsid w:val="00BE30A5"/>
    <w:rsid w:val="00BE33CD"/>
    <w:rsid w:val="00BE3A8B"/>
    <w:rsid w:val="00BE488A"/>
    <w:rsid w:val="00BE7EC4"/>
    <w:rsid w:val="00BF05AB"/>
    <w:rsid w:val="00BF14F3"/>
    <w:rsid w:val="00BF18B1"/>
    <w:rsid w:val="00BF1A9E"/>
    <w:rsid w:val="00BF1AC5"/>
    <w:rsid w:val="00BF3D4E"/>
    <w:rsid w:val="00BF40BE"/>
    <w:rsid w:val="00BF45C2"/>
    <w:rsid w:val="00BF5091"/>
    <w:rsid w:val="00BF5E6D"/>
    <w:rsid w:val="00BF657C"/>
    <w:rsid w:val="00BF6DB4"/>
    <w:rsid w:val="00BF6E50"/>
    <w:rsid w:val="00BF6F82"/>
    <w:rsid w:val="00C02CDC"/>
    <w:rsid w:val="00C03B76"/>
    <w:rsid w:val="00C03DBB"/>
    <w:rsid w:val="00C041E3"/>
    <w:rsid w:val="00C04596"/>
    <w:rsid w:val="00C052B9"/>
    <w:rsid w:val="00C05460"/>
    <w:rsid w:val="00C06EE1"/>
    <w:rsid w:val="00C076BE"/>
    <w:rsid w:val="00C07C79"/>
    <w:rsid w:val="00C1268B"/>
    <w:rsid w:val="00C12ED4"/>
    <w:rsid w:val="00C12F3F"/>
    <w:rsid w:val="00C1305F"/>
    <w:rsid w:val="00C13488"/>
    <w:rsid w:val="00C1411E"/>
    <w:rsid w:val="00C14236"/>
    <w:rsid w:val="00C1445A"/>
    <w:rsid w:val="00C14A13"/>
    <w:rsid w:val="00C14D59"/>
    <w:rsid w:val="00C1585F"/>
    <w:rsid w:val="00C15CAB"/>
    <w:rsid w:val="00C166C8"/>
    <w:rsid w:val="00C178DC"/>
    <w:rsid w:val="00C2034F"/>
    <w:rsid w:val="00C21634"/>
    <w:rsid w:val="00C216CA"/>
    <w:rsid w:val="00C21852"/>
    <w:rsid w:val="00C21972"/>
    <w:rsid w:val="00C21D5C"/>
    <w:rsid w:val="00C22AC5"/>
    <w:rsid w:val="00C232C4"/>
    <w:rsid w:val="00C23CE5"/>
    <w:rsid w:val="00C23F79"/>
    <w:rsid w:val="00C24E66"/>
    <w:rsid w:val="00C24ECC"/>
    <w:rsid w:val="00C26FDD"/>
    <w:rsid w:val="00C27377"/>
    <w:rsid w:val="00C311BA"/>
    <w:rsid w:val="00C320B1"/>
    <w:rsid w:val="00C321C5"/>
    <w:rsid w:val="00C324FB"/>
    <w:rsid w:val="00C32B96"/>
    <w:rsid w:val="00C33F1F"/>
    <w:rsid w:val="00C34720"/>
    <w:rsid w:val="00C407AF"/>
    <w:rsid w:val="00C4231C"/>
    <w:rsid w:val="00C43CE0"/>
    <w:rsid w:val="00C440E4"/>
    <w:rsid w:val="00C4512F"/>
    <w:rsid w:val="00C465F5"/>
    <w:rsid w:val="00C46E78"/>
    <w:rsid w:val="00C46E84"/>
    <w:rsid w:val="00C470A1"/>
    <w:rsid w:val="00C47A5E"/>
    <w:rsid w:val="00C47CEC"/>
    <w:rsid w:val="00C47D02"/>
    <w:rsid w:val="00C502C0"/>
    <w:rsid w:val="00C50D6A"/>
    <w:rsid w:val="00C512B6"/>
    <w:rsid w:val="00C513C5"/>
    <w:rsid w:val="00C51CF9"/>
    <w:rsid w:val="00C5294A"/>
    <w:rsid w:val="00C53939"/>
    <w:rsid w:val="00C55A69"/>
    <w:rsid w:val="00C55D96"/>
    <w:rsid w:val="00C60231"/>
    <w:rsid w:val="00C625F4"/>
    <w:rsid w:val="00C62BDB"/>
    <w:rsid w:val="00C637E6"/>
    <w:rsid w:val="00C641EA"/>
    <w:rsid w:val="00C64649"/>
    <w:rsid w:val="00C65F29"/>
    <w:rsid w:val="00C665C3"/>
    <w:rsid w:val="00C678E6"/>
    <w:rsid w:val="00C716A5"/>
    <w:rsid w:val="00C72D1F"/>
    <w:rsid w:val="00C74FFD"/>
    <w:rsid w:val="00C751E7"/>
    <w:rsid w:val="00C7529B"/>
    <w:rsid w:val="00C7627D"/>
    <w:rsid w:val="00C76E50"/>
    <w:rsid w:val="00C76F1D"/>
    <w:rsid w:val="00C7724D"/>
    <w:rsid w:val="00C77AF4"/>
    <w:rsid w:val="00C77CB3"/>
    <w:rsid w:val="00C806DD"/>
    <w:rsid w:val="00C80D68"/>
    <w:rsid w:val="00C815DB"/>
    <w:rsid w:val="00C816FF"/>
    <w:rsid w:val="00C81B31"/>
    <w:rsid w:val="00C8258D"/>
    <w:rsid w:val="00C82ABD"/>
    <w:rsid w:val="00C82B04"/>
    <w:rsid w:val="00C85077"/>
    <w:rsid w:val="00C85D3F"/>
    <w:rsid w:val="00C8666C"/>
    <w:rsid w:val="00C87323"/>
    <w:rsid w:val="00C914FD"/>
    <w:rsid w:val="00C924CF"/>
    <w:rsid w:val="00C93A9A"/>
    <w:rsid w:val="00C943FC"/>
    <w:rsid w:val="00C94F0E"/>
    <w:rsid w:val="00C95E2C"/>
    <w:rsid w:val="00C9658C"/>
    <w:rsid w:val="00C96961"/>
    <w:rsid w:val="00C97015"/>
    <w:rsid w:val="00CA0147"/>
    <w:rsid w:val="00CA0F61"/>
    <w:rsid w:val="00CA126C"/>
    <w:rsid w:val="00CA169F"/>
    <w:rsid w:val="00CA16DF"/>
    <w:rsid w:val="00CA1E85"/>
    <w:rsid w:val="00CA37F7"/>
    <w:rsid w:val="00CA52DE"/>
    <w:rsid w:val="00CA6D91"/>
    <w:rsid w:val="00CA75CA"/>
    <w:rsid w:val="00CA76EA"/>
    <w:rsid w:val="00CA7780"/>
    <w:rsid w:val="00CA7DEF"/>
    <w:rsid w:val="00CB06BD"/>
    <w:rsid w:val="00CB07DC"/>
    <w:rsid w:val="00CB12B2"/>
    <w:rsid w:val="00CB3E26"/>
    <w:rsid w:val="00CB486B"/>
    <w:rsid w:val="00CB491E"/>
    <w:rsid w:val="00CB6B0E"/>
    <w:rsid w:val="00CB748B"/>
    <w:rsid w:val="00CB7796"/>
    <w:rsid w:val="00CB7C98"/>
    <w:rsid w:val="00CC0EB1"/>
    <w:rsid w:val="00CC198C"/>
    <w:rsid w:val="00CC24B7"/>
    <w:rsid w:val="00CC2641"/>
    <w:rsid w:val="00CC3332"/>
    <w:rsid w:val="00CC38CD"/>
    <w:rsid w:val="00CC49B6"/>
    <w:rsid w:val="00CC55BD"/>
    <w:rsid w:val="00CC6541"/>
    <w:rsid w:val="00CC685C"/>
    <w:rsid w:val="00CC69D6"/>
    <w:rsid w:val="00CC75CF"/>
    <w:rsid w:val="00CC7B43"/>
    <w:rsid w:val="00CC7BF6"/>
    <w:rsid w:val="00CC7E26"/>
    <w:rsid w:val="00CD1EFD"/>
    <w:rsid w:val="00CD24F5"/>
    <w:rsid w:val="00CD4100"/>
    <w:rsid w:val="00CD54AF"/>
    <w:rsid w:val="00CD7C9D"/>
    <w:rsid w:val="00CD7DE4"/>
    <w:rsid w:val="00CE16C2"/>
    <w:rsid w:val="00CE18BA"/>
    <w:rsid w:val="00CE1909"/>
    <w:rsid w:val="00CE260C"/>
    <w:rsid w:val="00CE43CA"/>
    <w:rsid w:val="00CE631E"/>
    <w:rsid w:val="00CE78C5"/>
    <w:rsid w:val="00CF0625"/>
    <w:rsid w:val="00CF1485"/>
    <w:rsid w:val="00CF1DC7"/>
    <w:rsid w:val="00CF33D0"/>
    <w:rsid w:val="00CF7A64"/>
    <w:rsid w:val="00CF7EFB"/>
    <w:rsid w:val="00D009F7"/>
    <w:rsid w:val="00D00DCE"/>
    <w:rsid w:val="00D0188B"/>
    <w:rsid w:val="00D0245E"/>
    <w:rsid w:val="00D026BC"/>
    <w:rsid w:val="00D02D28"/>
    <w:rsid w:val="00D02E73"/>
    <w:rsid w:val="00D03DE8"/>
    <w:rsid w:val="00D0574A"/>
    <w:rsid w:val="00D06008"/>
    <w:rsid w:val="00D068FD"/>
    <w:rsid w:val="00D0797E"/>
    <w:rsid w:val="00D10547"/>
    <w:rsid w:val="00D115F8"/>
    <w:rsid w:val="00D116F8"/>
    <w:rsid w:val="00D120CC"/>
    <w:rsid w:val="00D122A7"/>
    <w:rsid w:val="00D1477D"/>
    <w:rsid w:val="00D14A4B"/>
    <w:rsid w:val="00D1548F"/>
    <w:rsid w:val="00D15AA0"/>
    <w:rsid w:val="00D17070"/>
    <w:rsid w:val="00D2036F"/>
    <w:rsid w:val="00D221FC"/>
    <w:rsid w:val="00D2380E"/>
    <w:rsid w:val="00D2401A"/>
    <w:rsid w:val="00D24F3E"/>
    <w:rsid w:val="00D2604E"/>
    <w:rsid w:val="00D26DCF"/>
    <w:rsid w:val="00D27FF4"/>
    <w:rsid w:val="00D30EFB"/>
    <w:rsid w:val="00D319DA"/>
    <w:rsid w:val="00D31C6A"/>
    <w:rsid w:val="00D3267E"/>
    <w:rsid w:val="00D32DF3"/>
    <w:rsid w:val="00D3365D"/>
    <w:rsid w:val="00D3581A"/>
    <w:rsid w:val="00D3650F"/>
    <w:rsid w:val="00D36AB4"/>
    <w:rsid w:val="00D37A9F"/>
    <w:rsid w:val="00D4004C"/>
    <w:rsid w:val="00D40F17"/>
    <w:rsid w:val="00D417BC"/>
    <w:rsid w:val="00D41AE0"/>
    <w:rsid w:val="00D428EA"/>
    <w:rsid w:val="00D434C5"/>
    <w:rsid w:val="00D43624"/>
    <w:rsid w:val="00D440BA"/>
    <w:rsid w:val="00D44A1B"/>
    <w:rsid w:val="00D452E9"/>
    <w:rsid w:val="00D45BEF"/>
    <w:rsid w:val="00D45C37"/>
    <w:rsid w:val="00D47554"/>
    <w:rsid w:val="00D509FA"/>
    <w:rsid w:val="00D51253"/>
    <w:rsid w:val="00D51ED1"/>
    <w:rsid w:val="00D525F9"/>
    <w:rsid w:val="00D534D5"/>
    <w:rsid w:val="00D53A0E"/>
    <w:rsid w:val="00D54052"/>
    <w:rsid w:val="00D54BD2"/>
    <w:rsid w:val="00D54EBA"/>
    <w:rsid w:val="00D552B5"/>
    <w:rsid w:val="00D5619E"/>
    <w:rsid w:val="00D60242"/>
    <w:rsid w:val="00D609CD"/>
    <w:rsid w:val="00D61B8F"/>
    <w:rsid w:val="00D63113"/>
    <w:rsid w:val="00D6436E"/>
    <w:rsid w:val="00D6522E"/>
    <w:rsid w:val="00D65D7A"/>
    <w:rsid w:val="00D66721"/>
    <w:rsid w:val="00D67F6C"/>
    <w:rsid w:val="00D67FE7"/>
    <w:rsid w:val="00D715AD"/>
    <w:rsid w:val="00D71BE7"/>
    <w:rsid w:val="00D72839"/>
    <w:rsid w:val="00D73512"/>
    <w:rsid w:val="00D73C73"/>
    <w:rsid w:val="00D74F66"/>
    <w:rsid w:val="00D757A0"/>
    <w:rsid w:val="00D760F0"/>
    <w:rsid w:val="00D77230"/>
    <w:rsid w:val="00D77FC4"/>
    <w:rsid w:val="00D803B1"/>
    <w:rsid w:val="00D80E6F"/>
    <w:rsid w:val="00D82964"/>
    <w:rsid w:val="00D82D4B"/>
    <w:rsid w:val="00D835AD"/>
    <w:rsid w:val="00D835D9"/>
    <w:rsid w:val="00D85552"/>
    <w:rsid w:val="00D860BF"/>
    <w:rsid w:val="00D8632D"/>
    <w:rsid w:val="00D91848"/>
    <w:rsid w:val="00D91A91"/>
    <w:rsid w:val="00D926FA"/>
    <w:rsid w:val="00D92A5D"/>
    <w:rsid w:val="00D92BEF"/>
    <w:rsid w:val="00D93498"/>
    <w:rsid w:val="00D93EC3"/>
    <w:rsid w:val="00D9424F"/>
    <w:rsid w:val="00D95250"/>
    <w:rsid w:val="00D968DD"/>
    <w:rsid w:val="00D96A98"/>
    <w:rsid w:val="00D96E62"/>
    <w:rsid w:val="00D96FE4"/>
    <w:rsid w:val="00D975D1"/>
    <w:rsid w:val="00D97635"/>
    <w:rsid w:val="00DA26BE"/>
    <w:rsid w:val="00DA3CA6"/>
    <w:rsid w:val="00DA3E54"/>
    <w:rsid w:val="00DA56DD"/>
    <w:rsid w:val="00DA6A07"/>
    <w:rsid w:val="00DA748C"/>
    <w:rsid w:val="00DA78BA"/>
    <w:rsid w:val="00DB17CF"/>
    <w:rsid w:val="00DB2135"/>
    <w:rsid w:val="00DB250E"/>
    <w:rsid w:val="00DB2B7A"/>
    <w:rsid w:val="00DB3460"/>
    <w:rsid w:val="00DB388A"/>
    <w:rsid w:val="00DB3F1D"/>
    <w:rsid w:val="00DB466A"/>
    <w:rsid w:val="00DB470C"/>
    <w:rsid w:val="00DB4907"/>
    <w:rsid w:val="00DB4B0A"/>
    <w:rsid w:val="00DB64EF"/>
    <w:rsid w:val="00DB6A2A"/>
    <w:rsid w:val="00DB73B1"/>
    <w:rsid w:val="00DC05B8"/>
    <w:rsid w:val="00DC16C0"/>
    <w:rsid w:val="00DC1811"/>
    <w:rsid w:val="00DC1819"/>
    <w:rsid w:val="00DC1E0C"/>
    <w:rsid w:val="00DC2143"/>
    <w:rsid w:val="00DC23AA"/>
    <w:rsid w:val="00DC3F4C"/>
    <w:rsid w:val="00DC4955"/>
    <w:rsid w:val="00DC5E65"/>
    <w:rsid w:val="00DC6147"/>
    <w:rsid w:val="00DC7E21"/>
    <w:rsid w:val="00DD0601"/>
    <w:rsid w:val="00DD08BB"/>
    <w:rsid w:val="00DD0AA2"/>
    <w:rsid w:val="00DD0CFF"/>
    <w:rsid w:val="00DD0FD0"/>
    <w:rsid w:val="00DD10FE"/>
    <w:rsid w:val="00DD1941"/>
    <w:rsid w:val="00DD2119"/>
    <w:rsid w:val="00DD34AA"/>
    <w:rsid w:val="00DD4951"/>
    <w:rsid w:val="00DD66BE"/>
    <w:rsid w:val="00DE04CF"/>
    <w:rsid w:val="00DE16A6"/>
    <w:rsid w:val="00DE1C6B"/>
    <w:rsid w:val="00DE23D9"/>
    <w:rsid w:val="00DE248D"/>
    <w:rsid w:val="00DE2885"/>
    <w:rsid w:val="00DE3107"/>
    <w:rsid w:val="00DE3230"/>
    <w:rsid w:val="00DE486F"/>
    <w:rsid w:val="00DE4EE4"/>
    <w:rsid w:val="00DE6210"/>
    <w:rsid w:val="00DE6565"/>
    <w:rsid w:val="00DE6612"/>
    <w:rsid w:val="00DE6CB0"/>
    <w:rsid w:val="00DE7C79"/>
    <w:rsid w:val="00DF0CCB"/>
    <w:rsid w:val="00DF168C"/>
    <w:rsid w:val="00DF1784"/>
    <w:rsid w:val="00DF2BC3"/>
    <w:rsid w:val="00DF33DA"/>
    <w:rsid w:val="00DF397B"/>
    <w:rsid w:val="00DF3EF1"/>
    <w:rsid w:val="00DF40FF"/>
    <w:rsid w:val="00DF4649"/>
    <w:rsid w:val="00DF4B19"/>
    <w:rsid w:val="00DF4B7C"/>
    <w:rsid w:val="00DF5036"/>
    <w:rsid w:val="00DF6335"/>
    <w:rsid w:val="00DF6C0F"/>
    <w:rsid w:val="00E00118"/>
    <w:rsid w:val="00E01676"/>
    <w:rsid w:val="00E016A6"/>
    <w:rsid w:val="00E01776"/>
    <w:rsid w:val="00E021F9"/>
    <w:rsid w:val="00E02E7F"/>
    <w:rsid w:val="00E03DA0"/>
    <w:rsid w:val="00E05A88"/>
    <w:rsid w:val="00E06108"/>
    <w:rsid w:val="00E074F2"/>
    <w:rsid w:val="00E07B1A"/>
    <w:rsid w:val="00E1144E"/>
    <w:rsid w:val="00E12283"/>
    <w:rsid w:val="00E13130"/>
    <w:rsid w:val="00E1401B"/>
    <w:rsid w:val="00E14FEE"/>
    <w:rsid w:val="00E1550D"/>
    <w:rsid w:val="00E158E6"/>
    <w:rsid w:val="00E16818"/>
    <w:rsid w:val="00E16C09"/>
    <w:rsid w:val="00E1798B"/>
    <w:rsid w:val="00E20AC2"/>
    <w:rsid w:val="00E2167C"/>
    <w:rsid w:val="00E226A1"/>
    <w:rsid w:val="00E22DDC"/>
    <w:rsid w:val="00E24930"/>
    <w:rsid w:val="00E24939"/>
    <w:rsid w:val="00E2498D"/>
    <w:rsid w:val="00E255E0"/>
    <w:rsid w:val="00E26549"/>
    <w:rsid w:val="00E30661"/>
    <w:rsid w:val="00E316D1"/>
    <w:rsid w:val="00E31B32"/>
    <w:rsid w:val="00E330FD"/>
    <w:rsid w:val="00E334D3"/>
    <w:rsid w:val="00E33760"/>
    <w:rsid w:val="00E3419D"/>
    <w:rsid w:val="00E3540B"/>
    <w:rsid w:val="00E356A2"/>
    <w:rsid w:val="00E37ABB"/>
    <w:rsid w:val="00E40A44"/>
    <w:rsid w:val="00E413F9"/>
    <w:rsid w:val="00E41ABC"/>
    <w:rsid w:val="00E420AB"/>
    <w:rsid w:val="00E423EE"/>
    <w:rsid w:val="00E42A5A"/>
    <w:rsid w:val="00E42D8C"/>
    <w:rsid w:val="00E4300D"/>
    <w:rsid w:val="00E456C8"/>
    <w:rsid w:val="00E457E6"/>
    <w:rsid w:val="00E458F2"/>
    <w:rsid w:val="00E46693"/>
    <w:rsid w:val="00E47771"/>
    <w:rsid w:val="00E5071A"/>
    <w:rsid w:val="00E51182"/>
    <w:rsid w:val="00E52100"/>
    <w:rsid w:val="00E53454"/>
    <w:rsid w:val="00E53A52"/>
    <w:rsid w:val="00E5444A"/>
    <w:rsid w:val="00E54E1F"/>
    <w:rsid w:val="00E56C0D"/>
    <w:rsid w:val="00E56DCC"/>
    <w:rsid w:val="00E6031F"/>
    <w:rsid w:val="00E60937"/>
    <w:rsid w:val="00E60F5A"/>
    <w:rsid w:val="00E61B0A"/>
    <w:rsid w:val="00E61BF8"/>
    <w:rsid w:val="00E61C2B"/>
    <w:rsid w:val="00E62420"/>
    <w:rsid w:val="00E62596"/>
    <w:rsid w:val="00E62958"/>
    <w:rsid w:val="00E637E5"/>
    <w:rsid w:val="00E63E39"/>
    <w:rsid w:val="00E64989"/>
    <w:rsid w:val="00E64ABC"/>
    <w:rsid w:val="00E64EF3"/>
    <w:rsid w:val="00E65049"/>
    <w:rsid w:val="00E6693E"/>
    <w:rsid w:val="00E6768E"/>
    <w:rsid w:val="00E6784D"/>
    <w:rsid w:val="00E703A0"/>
    <w:rsid w:val="00E707D4"/>
    <w:rsid w:val="00E708B4"/>
    <w:rsid w:val="00E70E48"/>
    <w:rsid w:val="00E712AB"/>
    <w:rsid w:val="00E71BA0"/>
    <w:rsid w:val="00E723FF"/>
    <w:rsid w:val="00E72E9D"/>
    <w:rsid w:val="00E742B7"/>
    <w:rsid w:val="00E7580B"/>
    <w:rsid w:val="00E76025"/>
    <w:rsid w:val="00E763D3"/>
    <w:rsid w:val="00E76905"/>
    <w:rsid w:val="00E77246"/>
    <w:rsid w:val="00E77B79"/>
    <w:rsid w:val="00E81A34"/>
    <w:rsid w:val="00E8293F"/>
    <w:rsid w:val="00E82FBE"/>
    <w:rsid w:val="00E83B0E"/>
    <w:rsid w:val="00E84266"/>
    <w:rsid w:val="00E844CB"/>
    <w:rsid w:val="00E84CAB"/>
    <w:rsid w:val="00E86D2D"/>
    <w:rsid w:val="00E8704D"/>
    <w:rsid w:val="00E875F1"/>
    <w:rsid w:val="00E87994"/>
    <w:rsid w:val="00E9014D"/>
    <w:rsid w:val="00E90FBE"/>
    <w:rsid w:val="00E92229"/>
    <w:rsid w:val="00E92593"/>
    <w:rsid w:val="00E9357C"/>
    <w:rsid w:val="00E93D4C"/>
    <w:rsid w:val="00E93F0C"/>
    <w:rsid w:val="00E94676"/>
    <w:rsid w:val="00E94703"/>
    <w:rsid w:val="00E94FB2"/>
    <w:rsid w:val="00E965A5"/>
    <w:rsid w:val="00E978DC"/>
    <w:rsid w:val="00EA030B"/>
    <w:rsid w:val="00EA07E6"/>
    <w:rsid w:val="00EA0D42"/>
    <w:rsid w:val="00EA1D9B"/>
    <w:rsid w:val="00EA3342"/>
    <w:rsid w:val="00EA39B9"/>
    <w:rsid w:val="00EA3BED"/>
    <w:rsid w:val="00EA3BF6"/>
    <w:rsid w:val="00EA43E7"/>
    <w:rsid w:val="00EA4CB5"/>
    <w:rsid w:val="00EA531A"/>
    <w:rsid w:val="00EA5537"/>
    <w:rsid w:val="00EA58A7"/>
    <w:rsid w:val="00EA65D4"/>
    <w:rsid w:val="00EA6BBB"/>
    <w:rsid w:val="00EA6D4F"/>
    <w:rsid w:val="00EA7313"/>
    <w:rsid w:val="00EB203D"/>
    <w:rsid w:val="00EB37B1"/>
    <w:rsid w:val="00EB3BFC"/>
    <w:rsid w:val="00EB3D05"/>
    <w:rsid w:val="00EB43D9"/>
    <w:rsid w:val="00EB561C"/>
    <w:rsid w:val="00EB6571"/>
    <w:rsid w:val="00EB6AD4"/>
    <w:rsid w:val="00EB7AF5"/>
    <w:rsid w:val="00EC0515"/>
    <w:rsid w:val="00EC06E5"/>
    <w:rsid w:val="00EC09AE"/>
    <w:rsid w:val="00EC1A50"/>
    <w:rsid w:val="00EC27D6"/>
    <w:rsid w:val="00EC2A1F"/>
    <w:rsid w:val="00EC2A41"/>
    <w:rsid w:val="00EC2E43"/>
    <w:rsid w:val="00EC4A31"/>
    <w:rsid w:val="00EC4D1B"/>
    <w:rsid w:val="00EC57A2"/>
    <w:rsid w:val="00EC5B69"/>
    <w:rsid w:val="00EC6018"/>
    <w:rsid w:val="00ED0C58"/>
    <w:rsid w:val="00ED1482"/>
    <w:rsid w:val="00ED17CB"/>
    <w:rsid w:val="00ED18B0"/>
    <w:rsid w:val="00ED2A7D"/>
    <w:rsid w:val="00ED2EE2"/>
    <w:rsid w:val="00ED3087"/>
    <w:rsid w:val="00ED3954"/>
    <w:rsid w:val="00ED4412"/>
    <w:rsid w:val="00ED4643"/>
    <w:rsid w:val="00ED55DC"/>
    <w:rsid w:val="00ED6800"/>
    <w:rsid w:val="00ED6CB1"/>
    <w:rsid w:val="00ED758F"/>
    <w:rsid w:val="00ED7656"/>
    <w:rsid w:val="00ED7FEA"/>
    <w:rsid w:val="00EE20D7"/>
    <w:rsid w:val="00EE45A9"/>
    <w:rsid w:val="00EE517F"/>
    <w:rsid w:val="00EE5F2A"/>
    <w:rsid w:val="00EE6BEA"/>
    <w:rsid w:val="00EF0D4A"/>
    <w:rsid w:val="00EF0F7F"/>
    <w:rsid w:val="00EF1562"/>
    <w:rsid w:val="00EF1EA7"/>
    <w:rsid w:val="00EF21D0"/>
    <w:rsid w:val="00EF24AD"/>
    <w:rsid w:val="00EF3C24"/>
    <w:rsid w:val="00EF5E13"/>
    <w:rsid w:val="00EF65C6"/>
    <w:rsid w:val="00EF6719"/>
    <w:rsid w:val="00EF6882"/>
    <w:rsid w:val="00EF6E19"/>
    <w:rsid w:val="00EF74E2"/>
    <w:rsid w:val="00F00F82"/>
    <w:rsid w:val="00F015B2"/>
    <w:rsid w:val="00F029FA"/>
    <w:rsid w:val="00F03E6D"/>
    <w:rsid w:val="00F042C6"/>
    <w:rsid w:val="00F04B06"/>
    <w:rsid w:val="00F0535A"/>
    <w:rsid w:val="00F05898"/>
    <w:rsid w:val="00F05E47"/>
    <w:rsid w:val="00F06838"/>
    <w:rsid w:val="00F07113"/>
    <w:rsid w:val="00F10A58"/>
    <w:rsid w:val="00F1200E"/>
    <w:rsid w:val="00F121E8"/>
    <w:rsid w:val="00F12645"/>
    <w:rsid w:val="00F128F7"/>
    <w:rsid w:val="00F13162"/>
    <w:rsid w:val="00F136D7"/>
    <w:rsid w:val="00F15107"/>
    <w:rsid w:val="00F16720"/>
    <w:rsid w:val="00F167A5"/>
    <w:rsid w:val="00F16E0C"/>
    <w:rsid w:val="00F16E5A"/>
    <w:rsid w:val="00F179CD"/>
    <w:rsid w:val="00F200BC"/>
    <w:rsid w:val="00F20607"/>
    <w:rsid w:val="00F226A5"/>
    <w:rsid w:val="00F24875"/>
    <w:rsid w:val="00F255D4"/>
    <w:rsid w:val="00F25C5D"/>
    <w:rsid w:val="00F27590"/>
    <w:rsid w:val="00F27B5E"/>
    <w:rsid w:val="00F315EC"/>
    <w:rsid w:val="00F32BB9"/>
    <w:rsid w:val="00F3414C"/>
    <w:rsid w:val="00F343B3"/>
    <w:rsid w:val="00F3461E"/>
    <w:rsid w:val="00F34E9C"/>
    <w:rsid w:val="00F365BB"/>
    <w:rsid w:val="00F3687A"/>
    <w:rsid w:val="00F36AAA"/>
    <w:rsid w:val="00F36D32"/>
    <w:rsid w:val="00F37395"/>
    <w:rsid w:val="00F400AE"/>
    <w:rsid w:val="00F40492"/>
    <w:rsid w:val="00F41222"/>
    <w:rsid w:val="00F41550"/>
    <w:rsid w:val="00F41DCF"/>
    <w:rsid w:val="00F41EF7"/>
    <w:rsid w:val="00F43F82"/>
    <w:rsid w:val="00F44D9D"/>
    <w:rsid w:val="00F44E00"/>
    <w:rsid w:val="00F46789"/>
    <w:rsid w:val="00F46859"/>
    <w:rsid w:val="00F5232E"/>
    <w:rsid w:val="00F52D3C"/>
    <w:rsid w:val="00F53DA1"/>
    <w:rsid w:val="00F53E0F"/>
    <w:rsid w:val="00F5453D"/>
    <w:rsid w:val="00F5568F"/>
    <w:rsid w:val="00F612EB"/>
    <w:rsid w:val="00F61D8A"/>
    <w:rsid w:val="00F6290D"/>
    <w:rsid w:val="00F62E7B"/>
    <w:rsid w:val="00F62EF2"/>
    <w:rsid w:val="00F63AC8"/>
    <w:rsid w:val="00F63DD3"/>
    <w:rsid w:val="00F648D2"/>
    <w:rsid w:val="00F64F0D"/>
    <w:rsid w:val="00F65409"/>
    <w:rsid w:val="00F65E25"/>
    <w:rsid w:val="00F66F86"/>
    <w:rsid w:val="00F70873"/>
    <w:rsid w:val="00F70958"/>
    <w:rsid w:val="00F71123"/>
    <w:rsid w:val="00F7163A"/>
    <w:rsid w:val="00F72325"/>
    <w:rsid w:val="00F723D1"/>
    <w:rsid w:val="00F73512"/>
    <w:rsid w:val="00F73708"/>
    <w:rsid w:val="00F7382D"/>
    <w:rsid w:val="00F73CF6"/>
    <w:rsid w:val="00F74AA5"/>
    <w:rsid w:val="00F75B99"/>
    <w:rsid w:val="00F75C4A"/>
    <w:rsid w:val="00F75DE0"/>
    <w:rsid w:val="00F76318"/>
    <w:rsid w:val="00F763AD"/>
    <w:rsid w:val="00F77063"/>
    <w:rsid w:val="00F77249"/>
    <w:rsid w:val="00F77B85"/>
    <w:rsid w:val="00F77EB9"/>
    <w:rsid w:val="00F8040E"/>
    <w:rsid w:val="00F80746"/>
    <w:rsid w:val="00F818EC"/>
    <w:rsid w:val="00F81B8E"/>
    <w:rsid w:val="00F82BDB"/>
    <w:rsid w:val="00F8430C"/>
    <w:rsid w:val="00F85EBB"/>
    <w:rsid w:val="00F8610B"/>
    <w:rsid w:val="00F87228"/>
    <w:rsid w:val="00F906CF"/>
    <w:rsid w:val="00F90CD7"/>
    <w:rsid w:val="00F918FE"/>
    <w:rsid w:val="00F92C4B"/>
    <w:rsid w:val="00F92CC7"/>
    <w:rsid w:val="00F92D81"/>
    <w:rsid w:val="00F93575"/>
    <w:rsid w:val="00F94747"/>
    <w:rsid w:val="00F96ED5"/>
    <w:rsid w:val="00F97663"/>
    <w:rsid w:val="00F97D23"/>
    <w:rsid w:val="00FA066C"/>
    <w:rsid w:val="00FA089C"/>
    <w:rsid w:val="00FA0BEA"/>
    <w:rsid w:val="00FA1179"/>
    <w:rsid w:val="00FA155F"/>
    <w:rsid w:val="00FA15DA"/>
    <w:rsid w:val="00FA22B8"/>
    <w:rsid w:val="00FA29A9"/>
    <w:rsid w:val="00FA2AD8"/>
    <w:rsid w:val="00FA2C54"/>
    <w:rsid w:val="00FA367B"/>
    <w:rsid w:val="00FA4267"/>
    <w:rsid w:val="00FA44B5"/>
    <w:rsid w:val="00FA5539"/>
    <w:rsid w:val="00FA60B8"/>
    <w:rsid w:val="00FA60CC"/>
    <w:rsid w:val="00FA6351"/>
    <w:rsid w:val="00FA6444"/>
    <w:rsid w:val="00FA66FC"/>
    <w:rsid w:val="00FA7DFA"/>
    <w:rsid w:val="00FB0304"/>
    <w:rsid w:val="00FB11DA"/>
    <w:rsid w:val="00FB232E"/>
    <w:rsid w:val="00FB2C7F"/>
    <w:rsid w:val="00FB3F2C"/>
    <w:rsid w:val="00FB55D0"/>
    <w:rsid w:val="00FB5A22"/>
    <w:rsid w:val="00FB6363"/>
    <w:rsid w:val="00FB6617"/>
    <w:rsid w:val="00FB6A54"/>
    <w:rsid w:val="00FB6DE0"/>
    <w:rsid w:val="00FB7308"/>
    <w:rsid w:val="00FC0C35"/>
    <w:rsid w:val="00FC185F"/>
    <w:rsid w:val="00FC1C5B"/>
    <w:rsid w:val="00FC1F10"/>
    <w:rsid w:val="00FC3563"/>
    <w:rsid w:val="00FC3DA3"/>
    <w:rsid w:val="00FC47A9"/>
    <w:rsid w:val="00FC5B8F"/>
    <w:rsid w:val="00FC6B67"/>
    <w:rsid w:val="00FC7D03"/>
    <w:rsid w:val="00FD0B67"/>
    <w:rsid w:val="00FD0C90"/>
    <w:rsid w:val="00FD0E1D"/>
    <w:rsid w:val="00FD0E25"/>
    <w:rsid w:val="00FD20E2"/>
    <w:rsid w:val="00FD26D0"/>
    <w:rsid w:val="00FD2933"/>
    <w:rsid w:val="00FD2F70"/>
    <w:rsid w:val="00FD30D7"/>
    <w:rsid w:val="00FD3259"/>
    <w:rsid w:val="00FD4149"/>
    <w:rsid w:val="00FD49E2"/>
    <w:rsid w:val="00FD4FCC"/>
    <w:rsid w:val="00FD57C3"/>
    <w:rsid w:val="00FD6694"/>
    <w:rsid w:val="00FD6CBE"/>
    <w:rsid w:val="00FD6DC1"/>
    <w:rsid w:val="00FD7743"/>
    <w:rsid w:val="00FE0C26"/>
    <w:rsid w:val="00FE1177"/>
    <w:rsid w:val="00FE16E6"/>
    <w:rsid w:val="00FE33E9"/>
    <w:rsid w:val="00FE3AEE"/>
    <w:rsid w:val="00FE49B2"/>
    <w:rsid w:val="00FE5939"/>
    <w:rsid w:val="00FE5DA3"/>
    <w:rsid w:val="00FE632B"/>
    <w:rsid w:val="00FE670E"/>
    <w:rsid w:val="00FE691E"/>
    <w:rsid w:val="00FE6922"/>
    <w:rsid w:val="00FE7BF4"/>
    <w:rsid w:val="00FF153F"/>
    <w:rsid w:val="00FF1C70"/>
    <w:rsid w:val="00FF4085"/>
    <w:rsid w:val="00FF460B"/>
    <w:rsid w:val="00FF4C55"/>
    <w:rsid w:val="00FF5EEB"/>
    <w:rsid w:val="00FF6384"/>
    <w:rsid w:val="00FF6474"/>
    <w:rsid w:val="00FF74BD"/>
    <w:rsid w:val="00FF7C59"/>
    <w:rsid w:val="00FF7D73"/>
    <w:rsid w:val="013153ED"/>
    <w:rsid w:val="01376059"/>
    <w:rsid w:val="015C1013"/>
    <w:rsid w:val="01E186F4"/>
    <w:rsid w:val="01F2893C"/>
    <w:rsid w:val="023ECF66"/>
    <w:rsid w:val="024D94D3"/>
    <w:rsid w:val="0281AC80"/>
    <w:rsid w:val="029AE392"/>
    <w:rsid w:val="02D1F3F4"/>
    <w:rsid w:val="02E1770A"/>
    <w:rsid w:val="03165D30"/>
    <w:rsid w:val="03495C85"/>
    <w:rsid w:val="03756F73"/>
    <w:rsid w:val="03916160"/>
    <w:rsid w:val="03A48556"/>
    <w:rsid w:val="03D44D16"/>
    <w:rsid w:val="03DD014A"/>
    <w:rsid w:val="0406D8DA"/>
    <w:rsid w:val="04305ED9"/>
    <w:rsid w:val="0453221D"/>
    <w:rsid w:val="046D9739"/>
    <w:rsid w:val="048659C0"/>
    <w:rsid w:val="051F483C"/>
    <w:rsid w:val="0531836D"/>
    <w:rsid w:val="053A22B2"/>
    <w:rsid w:val="053AA5EE"/>
    <w:rsid w:val="054EBB49"/>
    <w:rsid w:val="05735A4D"/>
    <w:rsid w:val="0576478B"/>
    <w:rsid w:val="05AE6070"/>
    <w:rsid w:val="05B684F1"/>
    <w:rsid w:val="05E89719"/>
    <w:rsid w:val="060ACEDC"/>
    <w:rsid w:val="0611F4D7"/>
    <w:rsid w:val="06587AC5"/>
    <w:rsid w:val="065F8381"/>
    <w:rsid w:val="0668C513"/>
    <w:rsid w:val="06877F6D"/>
    <w:rsid w:val="06B6AD99"/>
    <w:rsid w:val="06B80389"/>
    <w:rsid w:val="06BF58C8"/>
    <w:rsid w:val="06D6764F"/>
    <w:rsid w:val="06F112FC"/>
    <w:rsid w:val="06FEF4CF"/>
    <w:rsid w:val="070EDA22"/>
    <w:rsid w:val="07454047"/>
    <w:rsid w:val="074E21A4"/>
    <w:rsid w:val="076D2894"/>
    <w:rsid w:val="07781F4F"/>
    <w:rsid w:val="079B8CFF"/>
    <w:rsid w:val="07BB3601"/>
    <w:rsid w:val="07CB2A6A"/>
    <w:rsid w:val="07CEB5A7"/>
    <w:rsid w:val="080FC613"/>
    <w:rsid w:val="0822B77F"/>
    <w:rsid w:val="08537061"/>
    <w:rsid w:val="085532EF"/>
    <w:rsid w:val="0893F835"/>
    <w:rsid w:val="08D8CAB8"/>
    <w:rsid w:val="093FD3FE"/>
    <w:rsid w:val="096F9E18"/>
    <w:rsid w:val="097EDFE8"/>
    <w:rsid w:val="0A0FB63F"/>
    <w:rsid w:val="0A21BAE6"/>
    <w:rsid w:val="0A8A6977"/>
    <w:rsid w:val="0AB8FA90"/>
    <w:rsid w:val="0AE01815"/>
    <w:rsid w:val="0B1D5B69"/>
    <w:rsid w:val="0B682B3B"/>
    <w:rsid w:val="0BC7C49C"/>
    <w:rsid w:val="0BD1BF67"/>
    <w:rsid w:val="0BE65E5D"/>
    <w:rsid w:val="0BE76A07"/>
    <w:rsid w:val="0BF1FD11"/>
    <w:rsid w:val="0C76164A"/>
    <w:rsid w:val="0C9547A8"/>
    <w:rsid w:val="0CB2F8F2"/>
    <w:rsid w:val="0CB49224"/>
    <w:rsid w:val="0D029AD6"/>
    <w:rsid w:val="0D03295C"/>
    <w:rsid w:val="0D7A03C0"/>
    <w:rsid w:val="0DFF52B5"/>
    <w:rsid w:val="0E043409"/>
    <w:rsid w:val="0E052294"/>
    <w:rsid w:val="0E2BAD2F"/>
    <w:rsid w:val="0E401A15"/>
    <w:rsid w:val="0E43C9BC"/>
    <w:rsid w:val="0EA0D366"/>
    <w:rsid w:val="0EE18834"/>
    <w:rsid w:val="0EEC5B05"/>
    <w:rsid w:val="0F077C74"/>
    <w:rsid w:val="0F29F38D"/>
    <w:rsid w:val="0F2DECBD"/>
    <w:rsid w:val="0F336E8D"/>
    <w:rsid w:val="0F602F88"/>
    <w:rsid w:val="0FEA99B4"/>
    <w:rsid w:val="1034EF5E"/>
    <w:rsid w:val="105202FD"/>
    <w:rsid w:val="106144CD"/>
    <w:rsid w:val="10C3F6A5"/>
    <w:rsid w:val="110546BC"/>
    <w:rsid w:val="110D4E4A"/>
    <w:rsid w:val="110E2C47"/>
    <w:rsid w:val="11208AAA"/>
    <w:rsid w:val="118828A9"/>
    <w:rsid w:val="11BF9299"/>
    <w:rsid w:val="11CEAA17"/>
    <w:rsid w:val="11FC6384"/>
    <w:rsid w:val="120BF806"/>
    <w:rsid w:val="122B7590"/>
    <w:rsid w:val="123D832E"/>
    <w:rsid w:val="12474A71"/>
    <w:rsid w:val="12485640"/>
    <w:rsid w:val="12940075"/>
    <w:rsid w:val="12F38D0D"/>
    <w:rsid w:val="133504C7"/>
    <w:rsid w:val="139687AF"/>
    <w:rsid w:val="13F8C156"/>
    <w:rsid w:val="14536448"/>
    <w:rsid w:val="146BB8F8"/>
    <w:rsid w:val="14A66055"/>
    <w:rsid w:val="14AE7A18"/>
    <w:rsid w:val="14C75506"/>
    <w:rsid w:val="14C9AE11"/>
    <w:rsid w:val="156B8F92"/>
    <w:rsid w:val="157F5429"/>
    <w:rsid w:val="15C2C484"/>
    <w:rsid w:val="15C8750D"/>
    <w:rsid w:val="15E99269"/>
    <w:rsid w:val="15F095A4"/>
    <w:rsid w:val="16424C0D"/>
    <w:rsid w:val="166BA078"/>
    <w:rsid w:val="166D0A30"/>
    <w:rsid w:val="167AA594"/>
    <w:rsid w:val="171B3EBC"/>
    <w:rsid w:val="173F20C3"/>
    <w:rsid w:val="17594165"/>
    <w:rsid w:val="17759F62"/>
    <w:rsid w:val="1797E79D"/>
    <w:rsid w:val="17F37E1D"/>
    <w:rsid w:val="185D14E2"/>
    <w:rsid w:val="186A904A"/>
    <w:rsid w:val="18D2456B"/>
    <w:rsid w:val="190015CF"/>
    <w:rsid w:val="19080355"/>
    <w:rsid w:val="1997179F"/>
    <w:rsid w:val="19EDFEBD"/>
    <w:rsid w:val="1A47147E"/>
    <w:rsid w:val="1A68498F"/>
    <w:rsid w:val="1A7E5DB9"/>
    <w:rsid w:val="1A90E227"/>
    <w:rsid w:val="1AF3CF63"/>
    <w:rsid w:val="1B348619"/>
    <w:rsid w:val="1B6C4AE0"/>
    <w:rsid w:val="1BB949E4"/>
    <w:rsid w:val="1BDCF49D"/>
    <w:rsid w:val="1BE0EE4E"/>
    <w:rsid w:val="1C041838"/>
    <w:rsid w:val="1C5EDA0E"/>
    <w:rsid w:val="1C90607F"/>
    <w:rsid w:val="1C989011"/>
    <w:rsid w:val="1CB39B5E"/>
    <w:rsid w:val="1CBDC77D"/>
    <w:rsid w:val="1CE3DEE2"/>
    <w:rsid w:val="1CF8907C"/>
    <w:rsid w:val="1D396EE1"/>
    <w:rsid w:val="1DE1A79B"/>
    <w:rsid w:val="1DFE772E"/>
    <w:rsid w:val="1E0C1BF1"/>
    <w:rsid w:val="1E1B9D39"/>
    <w:rsid w:val="1E2C30E0"/>
    <w:rsid w:val="1E8672F1"/>
    <w:rsid w:val="1E8D2125"/>
    <w:rsid w:val="1E95EF67"/>
    <w:rsid w:val="1ECE45E4"/>
    <w:rsid w:val="1EDB302B"/>
    <w:rsid w:val="1EDC2BD4"/>
    <w:rsid w:val="1EF3B1A3"/>
    <w:rsid w:val="1F890652"/>
    <w:rsid w:val="1F9877E3"/>
    <w:rsid w:val="20017A48"/>
    <w:rsid w:val="20043637"/>
    <w:rsid w:val="2008DB5E"/>
    <w:rsid w:val="202BB39C"/>
    <w:rsid w:val="20379CA7"/>
    <w:rsid w:val="2044FA57"/>
    <w:rsid w:val="206826C7"/>
    <w:rsid w:val="20C59A48"/>
    <w:rsid w:val="20F5E9E4"/>
    <w:rsid w:val="20FA8B3F"/>
    <w:rsid w:val="211269C5"/>
    <w:rsid w:val="211821BB"/>
    <w:rsid w:val="215245CC"/>
    <w:rsid w:val="215DD938"/>
    <w:rsid w:val="221499BE"/>
    <w:rsid w:val="223CD8A1"/>
    <w:rsid w:val="225EBBAC"/>
    <w:rsid w:val="228666A8"/>
    <w:rsid w:val="230F0DAC"/>
    <w:rsid w:val="231CFC1F"/>
    <w:rsid w:val="23354EDD"/>
    <w:rsid w:val="234E2860"/>
    <w:rsid w:val="23605F77"/>
    <w:rsid w:val="2363D9AC"/>
    <w:rsid w:val="23926A6C"/>
    <w:rsid w:val="23CD3AFF"/>
    <w:rsid w:val="23DBB918"/>
    <w:rsid w:val="242AD4BD"/>
    <w:rsid w:val="2440EC5B"/>
    <w:rsid w:val="245129F8"/>
    <w:rsid w:val="24C08456"/>
    <w:rsid w:val="24D5F0EC"/>
    <w:rsid w:val="25245F0B"/>
    <w:rsid w:val="25275447"/>
    <w:rsid w:val="252F5478"/>
    <w:rsid w:val="254DA6D9"/>
    <w:rsid w:val="25C7F194"/>
    <w:rsid w:val="25EAAA46"/>
    <w:rsid w:val="261E1A68"/>
    <w:rsid w:val="2635BA0C"/>
    <w:rsid w:val="265A5509"/>
    <w:rsid w:val="26B0911E"/>
    <w:rsid w:val="26C02F6C"/>
    <w:rsid w:val="26CB5A54"/>
    <w:rsid w:val="26F1363A"/>
    <w:rsid w:val="270A277B"/>
    <w:rsid w:val="272A721A"/>
    <w:rsid w:val="27C499EF"/>
    <w:rsid w:val="27DEFF9A"/>
    <w:rsid w:val="283C549D"/>
    <w:rsid w:val="283F5DF7"/>
    <w:rsid w:val="28B958C3"/>
    <w:rsid w:val="28BC2508"/>
    <w:rsid w:val="290ADF12"/>
    <w:rsid w:val="2942B248"/>
    <w:rsid w:val="29EA5DB8"/>
    <w:rsid w:val="29FFBDB4"/>
    <w:rsid w:val="2A1B9C23"/>
    <w:rsid w:val="2A2FAABD"/>
    <w:rsid w:val="2A406FEB"/>
    <w:rsid w:val="2A40994D"/>
    <w:rsid w:val="2A8DDD94"/>
    <w:rsid w:val="2AA4C3EF"/>
    <w:rsid w:val="2AF40C8C"/>
    <w:rsid w:val="2AF44252"/>
    <w:rsid w:val="2B05AAEF"/>
    <w:rsid w:val="2B0E10F0"/>
    <w:rsid w:val="2B27E6A4"/>
    <w:rsid w:val="2B32354E"/>
    <w:rsid w:val="2B3615D9"/>
    <w:rsid w:val="2B3DD888"/>
    <w:rsid w:val="2B91B0F7"/>
    <w:rsid w:val="2BFABDCE"/>
    <w:rsid w:val="2C161ADC"/>
    <w:rsid w:val="2C36FC2A"/>
    <w:rsid w:val="2C97123F"/>
    <w:rsid w:val="2CAFB0D2"/>
    <w:rsid w:val="2CB44B21"/>
    <w:rsid w:val="2CD9863A"/>
    <w:rsid w:val="2D38B4D7"/>
    <w:rsid w:val="2D67D508"/>
    <w:rsid w:val="2DAB891B"/>
    <w:rsid w:val="2DF69B08"/>
    <w:rsid w:val="2E17FEF0"/>
    <w:rsid w:val="2E394B09"/>
    <w:rsid w:val="2E79C98D"/>
    <w:rsid w:val="2E7EB650"/>
    <w:rsid w:val="2E862BCD"/>
    <w:rsid w:val="2E98C7B3"/>
    <w:rsid w:val="2EA06252"/>
    <w:rsid w:val="2EE01C82"/>
    <w:rsid w:val="2EEBF808"/>
    <w:rsid w:val="2F19DAA3"/>
    <w:rsid w:val="2F258BE5"/>
    <w:rsid w:val="2F6D49E2"/>
    <w:rsid w:val="2F82D76A"/>
    <w:rsid w:val="2F85C337"/>
    <w:rsid w:val="2F96D511"/>
    <w:rsid w:val="2F9EB9A5"/>
    <w:rsid w:val="2FB42B53"/>
    <w:rsid w:val="2FD68D77"/>
    <w:rsid w:val="2FF057E4"/>
    <w:rsid w:val="30752E4D"/>
    <w:rsid w:val="307AEF63"/>
    <w:rsid w:val="30BF1990"/>
    <w:rsid w:val="30EA4BAB"/>
    <w:rsid w:val="314D1A29"/>
    <w:rsid w:val="31B21614"/>
    <w:rsid w:val="31C383BC"/>
    <w:rsid w:val="31C5E64B"/>
    <w:rsid w:val="31D15E59"/>
    <w:rsid w:val="31DEDEA0"/>
    <w:rsid w:val="320ACF99"/>
    <w:rsid w:val="3227FBFC"/>
    <w:rsid w:val="3261C4C5"/>
    <w:rsid w:val="3269996B"/>
    <w:rsid w:val="327AD3C3"/>
    <w:rsid w:val="32C0548F"/>
    <w:rsid w:val="32D500BB"/>
    <w:rsid w:val="33FFCC0C"/>
    <w:rsid w:val="343EE7CB"/>
    <w:rsid w:val="347E097A"/>
    <w:rsid w:val="34ACDF43"/>
    <w:rsid w:val="34AFD49B"/>
    <w:rsid w:val="34F2C380"/>
    <w:rsid w:val="3517BBED"/>
    <w:rsid w:val="354080DD"/>
    <w:rsid w:val="3551750B"/>
    <w:rsid w:val="3576F118"/>
    <w:rsid w:val="35C1206F"/>
    <w:rsid w:val="35EF497F"/>
    <w:rsid w:val="3630E908"/>
    <w:rsid w:val="36B380D8"/>
    <w:rsid w:val="36DC513E"/>
    <w:rsid w:val="36DE40BC"/>
    <w:rsid w:val="36EB2A15"/>
    <w:rsid w:val="36FFCDD5"/>
    <w:rsid w:val="371D2245"/>
    <w:rsid w:val="372A8226"/>
    <w:rsid w:val="37319A6C"/>
    <w:rsid w:val="37B472F9"/>
    <w:rsid w:val="37EF7868"/>
    <w:rsid w:val="37F7B415"/>
    <w:rsid w:val="38010824"/>
    <w:rsid w:val="382FB5B6"/>
    <w:rsid w:val="3830FED8"/>
    <w:rsid w:val="383E6C48"/>
    <w:rsid w:val="385E5F29"/>
    <w:rsid w:val="387A111D"/>
    <w:rsid w:val="38998ACB"/>
    <w:rsid w:val="38AB31BC"/>
    <w:rsid w:val="38B9F2CB"/>
    <w:rsid w:val="38C67E65"/>
    <w:rsid w:val="38F99514"/>
    <w:rsid w:val="391B7824"/>
    <w:rsid w:val="3937C30A"/>
    <w:rsid w:val="3954ABB3"/>
    <w:rsid w:val="39EF8C08"/>
    <w:rsid w:val="3A1079B2"/>
    <w:rsid w:val="3A476A1D"/>
    <w:rsid w:val="3A58A950"/>
    <w:rsid w:val="3A882A85"/>
    <w:rsid w:val="3A91AC43"/>
    <w:rsid w:val="3ABC1A56"/>
    <w:rsid w:val="3B29CCB5"/>
    <w:rsid w:val="3B4DC374"/>
    <w:rsid w:val="3B918288"/>
    <w:rsid w:val="3BAAB5E0"/>
    <w:rsid w:val="3C47BF45"/>
    <w:rsid w:val="3C4E3E04"/>
    <w:rsid w:val="3C90D614"/>
    <w:rsid w:val="3CEC4759"/>
    <w:rsid w:val="3D15A30C"/>
    <w:rsid w:val="3D5FAE9E"/>
    <w:rsid w:val="3D76B635"/>
    <w:rsid w:val="3DAAD782"/>
    <w:rsid w:val="3DB9A3AA"/>
    <w:rsid w:val="3DFB15C2"/>
    <w:rsid w:val="3E26C407"/>
    <w:rsid w:val="3E281CD6"/>
    <w:rsid w:val="3E2C8796"/>
    <w:rsid w:val="3EA5840A"/>
    <w:rsid w:val="3EAC0495"/>
    <w:rsid w:val="3ED4549B"/>
    <w:rsid w:val="3EE256A2"/>
    <w:rsid w:val="3EEE08F7"/>
    <w:rsid w:val="3EF6CA29"/>
    <w:rsid w:val="3F13F243"/>
    <w:rsid w:val="3F41F4D6"/>
    <w:rsid w:val="3F977C63"/>
    <w:rsid w:val="3F99D55D"/>
    <w:rsid w:val="3F9C22AB"/>
    <w:rsid w:val="3FD03F90"/>
    <w:rsid w:val="3FD681DF"/>
    <w:rsid w:val="3FEAA9E1"/>
    <w:rsid w:val="3FFE1E07"/>
    <w:rsid w:val="40022E82"/>
    <w:rsid w:val="40067BAE"/>
    <w:rsid w:val="405372B2"/>
    <w:rsid w:val="40D70627"/>
    <w:rsid w:val="40D83F04"/>
    <w:rsid w:val="4104727C"/>
    <w:rsid w:val="4148B5B2"/>
    <w:rsid w:val="415FBD98"/>
    <w:rsid w:val="416BA038"/>
    <w:rsid w:val="41798FFC"/>
    <w:rsid w:val="41D340F7"/>
    <w:rsid w:val="41D83A0D"/>
    <w:rsid w:val="42021CCB"/>
    <w:rsid w:val="42068509"/>
    <w:rsid w:val="4219F764"/>
    <w:rsid w:val="4234D927"/>
    <w:rsid w:val="426CEDFF"/>
    <w:rsid w:val="42A42D5C"/>
    <w:rsid w:val="42B820B6"/>
    <w:rsid w:val="42D2E695"/>
    <w:rsid w:val="4361BB16"/>
    <w:rsid w:val="43E30D61"/>
    <w:rsid w:val="44116713"/>
    <w:rsid w:val="4439152F"/>
    <w:rsid w:val="446ACF3A"/>
    <w:rsid w:val="44BA9423"/>
    <w:rsid w:val="4516724C"/>
    <w:rsid w:val="4527487C"/>
    <w:rsid w:val="45827270"/>
    <w:rsid w:val="45E77AF5"/>
    <w:rsid w:val="463F5A5C"/>
    <w:rsid w:val="4651FD6A"/>
    <w:rsid w:val="46AE2895"/>
    <w:rsid w:val="46EC04F1"/>
    <w:rsid w:val="46F3168C"/>
    <w:rsid w:val="4705FDA4"/>
    <w:rsid w:val="47097B3E"/>
    <w:rsid w:val="4712F71D"/>
    <w:rsid w:val="472B5681"/>
    <w:rsid w:val="473F9499"/>
    <w:rsid w:val="47FA2290"/>
    <w:rsid w:val="48168AE6"/>
    <w:rsid w:val="481A6A0A"/>
    <w:rsid w:val="48A42D0F"/>
    <w:rsid w:val="48BE2927"/>
    <w:rsid w:val="48C1CDE7"/>
    <w:rsid w:val="48D849F5"/>
    <w:rsid w:val="4915A391"/>
    <w:rsid w:val="4963D417"/>
    <w:rsid w:val="49A31C2C"/>
    <w:rsid w:val="49AD717E"/>
    <w:rsid w:val="49DA38A4"/>
    <w:rsid w:val="4A124E65"/>
    <w:rsid w:val="4A4A292E"/>
    <w:rsid w:val="4A85AA5A"/>
    <w:rsid w:val="4A995AB8"/>
    <w:rsid w:val="4ADBAE24"/>
    <w:rsid w:val="4BC6BD38"/>
    <w:rsid w:val="4C30F43F"/>
    <w:rsid w:val="4C3514D2"/>
    <w:rsid w:val="4C428FA3"/>
    <w:rsid w:val="4C73E7E6"/>
    <w:rsid w:val="4CEEB1A9"/>
    <w:rsid w:val="4D488E2F"/>
    <w:rsid w:val="4D4E82AE"/>
    <w:rsid w:val="4E3E40A0"/>
    <w:rsid w:val="4E67C8FB"/>
    <w:rsid w:val="4E6F9440"/>
    <w:rsid w:val="4E919A50"/>
    <w:rsid w:val="4EA6BCE6"/>
    <w:rsid w:val="4EBAC4DC"/>
    <w:rsid w:val="4ECA366C"/>
    <w:rsid w:val="4EFCC725"/>
    <w:rsid w:val="4F1D529A"/>
    <w:rsid w:val="4F8F4D03"/>
    <w:rsid w:val="50A7F916"/>
    <w:rsid w:val="51579F53"/>
    <w:rsid w:val="516C4823"/>
    <w:rsid w:val="516D7F32"/>
    <w:rsid w:val="5184084C"/>
    <w:rsid w:val="51C94BF8"/>
    <w:rsid w:val="524DBF09"/>
    <w:rsid w:val="525EDEB9"/>
    <w:rsid w:val="5286DB07"/>
    <w:rsid w:val="52B23AA3"/>
    <w:rsid w:val="52B4E64E"/>
    <w:rsid w:val="53109756"/>
    <w:rsid w:val="531C5045"/>
    <w:rsid w:val="535853F0"/>
    <w:rsid w:val="53614734"/>
    <w:rsid w:val="53650B73"/>
    <w:rsid w:val="53B3DFB4"/>
    <w:rsid w:val="5463A30D"/>
    <w:rsid w:val="547122D1"/>
    <w:rsid w:val="5498AEF1"/>
    <w:rsid w:val="54E04A14"/>
    <w:rsid w:val="552B027F"/>
    <w:rsid w:val="5531299D"/>
    <w:rsid w:val="55319F50"/>
    <w:rsid w:val="555114AD"/>
    <w:rsid w:val="55553CFF"/>
    <w:rsid w:val="557EE303"/>
    <w:rsid w:val="55DF658C"/>
    <w:rsid w:val="5635C2C0"/>
    <w:rsid w:val="5637D546"/>
    <w:rsid w:val="56A2BF03"/>
    <w:rsid w:val="56A5A6C0"/>
    <w:rsid w:val="56A92ED2"/>
    <w:rsid w:val="56B4D70A"/>
    <w:rsid w:val="56BD52BE"/>
    <w:rsid w:val="56CA3777"/>
    <w:rsid w:val="5745DF8D"/>
    <w:rsid w:val="57924E62"/>
    <w:rsid w:val="57ABFA86"/>
    <w:rsid w:val="57E6FBDD"/>
    <w:rsid w:val="57F86C3C"/>
    <w:rsid w:val="58167686"/>
    <w:rsid w:val="582CBD15"/>
    <w:rsid w:val="587410E9"/>
    <w:rsid w:val="58874F91"/>
    <w:rsid w:val="58BFBD7C"/>
    <w:rsid w:val="58D3C6FD"/>
    <w:rsid w:val="5979F748"/>
    <w:rsid w:val="5980F347"/>
    <w:rsid w:val="599AC5AB"/>
    <w:rsid w:val="59B246E7"/>
    <w:rsid w:val="59E8360D"/>
    <w:rsid w:val="59FDD850"/>
    <w:rsid w:val="5A15D660"/>
    <w:rsid w:val="5A6DBA3B"/>
    <w:rsid w:val="5A7D2FA5"/>
    <w:rsid w:val="5A866942"/>
    <w:rsid w:val="5B01792E"/>
    <w:rsid w:val="5BA57047"/>
    <w:rsid w:val="5BF0A89A"/>
    <w:rsid w:val="5C2230BD"/>
    <w:rsid w:val="5C3CEEB0"/>
    <w:rsid w:val="5C78D010"/>
    <w:rsid w:val="5C81251B"/>
    <w:rsid w:val="5C907079"/>
    <w:rsid w:val="5C9C5A76"/>
    <w:rsid w:val="5CAB1C17"/>
    <w:rsid w:val="5CC38976"/>
    <w:rsid w:val="5CD4C44D"/>
    <w:rsid w:val="5CEF8604"/>
    <w:rsid w:val="5D89E945"/>
    <w:rsid w:val="5DA86E77"/>
    <w:rsid w:val="5DA89856"/>
    <w:rsid w:val="5DB7C7A2"/>
    <w:rsid w:val="5E2C5A6C"/>
    <w:rsid w:val="5E417919"/>
    <w:rsid w:val="5E4812BA"/>
    <w:rsid w:val="5E85B80A"/>
    <w:rsid w:val="5E8772F8"/>
    <w:rsid w:val="5EA95C30"/>
    <w:rsid w:val="5EC71792"/>
    <w:rsid w:val="5F1E7652"/>
    <w:rsid w:val="5F2F9F6A"/>
    <w:rsid w:val="5F67BBF2"/>
    <w:rsid w:val="5F7205A8"/>
    <w:rsid w:val="5F75D187"/>
    <w:rsid w:val="5F8EC98A"/>
    <w:rsid w:val="5FC369F1"/>
    <w:rsid w:val="5FD50B13"/>
    <w:rsid w:val="5FE184EC"/>
    <w:rsid w:val="601AAA8E"/>
    <w:rsid w:val="604ECC71"/>
    <w:rsid w:val="6114C770"/>
    <w:rsid w:val="6128451D"/>
    <w:rsid w:val="6132C0A3"/>
    <w:rsid w:val="6157A29F"/>
    <w:rsid w:val="61920334"/>
    <w:rsid w:val="62968111"/>
    <w:rsid w:val="62AD7249"/>
    <w:rsid w:val="62DC8EAE"/>
    <w:rsid w:val="62E4FD21"/>
    <w:rsid w:val="62F4CA89"/>
    <w:rsid w:val="63398AC6"/>
    <w:rsid w:val="6345A0EA"/>
    <w:rsid w:val="6366B8E8"/>
    <w:rsid w:val="6378BB6D"/>
    <w:rsid w:val="63B90DC8"/>
    <w:rsid w:val="63C7A458"/>
    <w:rsid w:val="64D139C6"/>
    <w:rsid w:val="64EB0D22"/>
    <w:rsid w:val="64F299EE"/>
    <w:rsid w:val="6534F455"/>
    <w:rsid w:val="65388EBC"/>
    <w:rsid w:val="65567E21"/>
    <w:rsid w:val="658080F2"/>
    <w:rsid w:val="65D05B85"/>
    <w:rsid w:val="666067D6"/>
    <w:rsid w:val="66C462E6"/>
    <w:rsid w:val="672EB55F"/>
    <w:rsid w:val="6777ED89"/>
    <w:rsid w:val="67BFDAEE"/>
    <w:rsid w:val="67EE4A93"/>
    <w:rsid w:val="67FC3837"/>
    <w:rsid w:val="6811885E"/>
    <w:rsid w:val="6830AE06"/>
    <w:rsid w:val="6848D52C"/>
    <w:rsid w:val="684CD0F2"/>
    <w:rsid w:val="68B76506"/>
    <w:rsid w:val="68C56AC6"/>
    <w:rsid w:val="68C7C13B"/>
    <w:rsid w:val="68DB143C"/>
    <w:rsid w:val="68F2FB96"/>
    <w:rsid w:val="68F63F6F"/>
    <w:rsid w:val="69417A22"/>
    <w:rsid w:val="697DBE20"/>
    <w:rsid w:val="6990FB18"/>
    <w:rsid w:val="6A2BC78B"/>
    <w:rsid w:val="6A3F8A54"/>
    <w:rsid w:val="6A470A77"/>
    <w:rsid w:val="6A6BF6AC"/>
    <w:rsid w:val="6A7820D4"/>
    <w:rsid w:val="6AA15F8F"/>
    <w:rsid w:val="6AA30547"/>
    <w:rsid w:val="6B77A0F8"/>
    <w:rsid w:val="6BB784C0"/>
    <w:rsid w:val="6BE77DE4"/>
    <w:rsid w:val="6BFE0531"/>
    <w:rsid w:val="6C1FAE66"/>
    <w:rsid w:val="6C942D36"/>
    <w:rsid w:val="6CA6F7DF"/>
    <w:rsid w:val="6CB2097F"/>
    <w:rsid w:val="6CD4B5DB"/>
    <w:rsid w:val="6CE166FA"/>
    <w:rsid w:val="6D2C79FD"/>
    <w:rsid w:val="6D47E728"/>
    <w:rsid w:val="6D72DCBC"/>
    <w:rsid w:val="6D767424"/>
    <w:rsid w:val="6D772B93"/>
    <w:rsid w:val="6D834D8D"/>
    <w:rsid w:val="6E375EE1"/>
    <w:rsid w:val="6E5CD28A"/>
    <w:rsid w:val="6E650C18"/>
    <w:rsid w:val="6E80EE0A"/>
    <w:rsid w:val="6EB8F470"/>
    <w:rsid w:val="6EC5F788"/>
    <w:rsid w:val="6F068DC1"/>
    <w:rsid w:val="6F56166C"/>
    <w:rsid w:val="6F76766A"/>
    <w:rsid w:val="6FAE781A"/>
    <w:rsid w:val="6FD60A06"/>
    <w:rsid w:val="6FD8BE16"/>
    <w:rsid w:val="7010D4D6"/>
    <w:rsid w:val="702C0FB9"/>
    <w:rsid w:val="707F87EA"/>
    <w:rsid w:val="70839405"/>
    <w:rsid w:val="70A098B5"/>
    <w:rsid w:val="71971D34"/>
    <w:rsid w:val="71A3A73A"/>
    <w:rsid w:val="71C59695"/>
    <w:rsid w:val="72412EC3"/>
    <w:rsid w:val="7294E6E9"/>
    <w:rsid w:val="72F24959"/>
    <w:rsid w:val="73242BC4"/>
    <w:rsid w:val="734C382E"/>
    <w:rsid w:val="73BA18EC"/>
    <w:rsid w:val="73DCB320"/>
    <w:rsid w:val="741E91F5"/>
    <w:rsid w:val="7451B1CD"/>
    <w:rsid w:val="751BE891"/>
    <w:rsid w:val="7570DE9B"/>
    <w:rsid w:val="7573D45D"/>
    <w:rsid w:val="75BC51D4"/>
    <w:rsid w:val="75C6E2F6"/>
    <w:rsid w:val="75D4C1C5"/>
    <w:rsid w:val="76393724"/>
    <w:rsid w:val="764A71B4"/>
    <w:rsid w:val="768EFEE4"/>
    <w:rsid w:val="76AB016F"/>
    <w:rsid w:val="76F518AB"/>
    <w:rsid w:val="76FA6CA8"/>
    <w:rsid w:val="7710F543"/>
    <w:rsid w:val="77589D67"/>
    <w:rsid w:val="775E7FFB"/>
    <w:rsid w:val="77783778"/>
    <w:rsid w:val="778BD8A9"/>
    <w:rsid w:val="77C76611"/>
    <w:rsid w:val="77E64215"/>
    <w:rsid w:val="78049850"/>
    <w:rsid w:val="782C9104"/>
    <w:rsid w:val="7887016F"/>
    <w:rsid w:val="78CF26FF"/>
    <w:rsid w:val="78F20318"/>
    <w:rsid w:val="791D3969"/>
    <w:rsid w:val="793DB2FF"/>
    <w:rsid w:val="797B6304"/>
    <w:rsid w:val="79AF71EC"/>
    <w:rsid w:val="79CF1911"/>
    <w:rsid w:val="79D3F64A"/>
    <w:rsid w:val="7A11575D"/>
    <w:rsid w:val="7A168C02"/>
    <w:rsid w:val="7A2588D8"/>
    <w:rsid w:val="7A2594A9"/>
    <w:rsid w:val="7A2A2690"/>
    <w:rsid w:val="7A2CF18F"/>
    <w:rsid w:val="7A320D6A"/>
    <w:rsid w:val="7A57EB89"/>
    <w:rsid w:val="7A86755C"/>
    <w:rsid w:val="7AAFEE4F"/>
    <w:rsid w:val="7ACDA624"/>
    <w:rsid w:val="7AD39E37"/>
    <w:rsid w:val="7AD9DCD3"/>
    <w:rsid w:val="7B14668F"/>
    <w:rsid w:val="7B448F35"/>
    <w:rsid w:val="7B47BD05"/>
    <w:rsid w:val="7B71BB92"/>
    <w:rsid w:val="7B79A8E6"/>
    <w:rsid w:val="7B824070"/>
    <w:rsid w:val="7B963511"/>
    <w:rsid w:val="7C060290"/>
    <w:rsid w:val="7C1048DE"/>
    <w:rsid w:val="7C19C900"/>
    <w:rsid w:val="7C1B26CC"/>
    <w:rsid w:val="7C1B9B66"/>
    <w:rsid w:val="7C5DC3D0"/>
    <w:rsid w:val="7C64492E"/>
    <w:rsid w:val="7D046F1D"/>
    <w:rsid w:val="7D9ACB79"/>
    <w:rsid w:val="7E17F601"/>
    <w:rsid w:val="7E36D06B"/>
    <w:rsid w:val="7E42A6B0"/>
    <w:rsid w:val="7E70BDDA"/>
    <w:rsid w:val="7E7638BD"/>
    <w:rsid w:val="7EE2A717"/>
    <w:rsid w:val="7F07D49A"/>
    <w:rsid w:val="7F0FFA67"/>
    <w:rsid w:val="7F2E3D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B320"/>
  <w15:chartTrackingRefBased/>
  <w15:docId w15:val="{75969E9E-C9CE-42FC-9DAD-A6F843063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8E7"/>
    <w:pPr>
      <w:spacing w:after="0" w:line="240" w:lineRule="auto"/>
    </w:pPr>
    <w:rPr>
      <w:rFonts w:ascii="Times New Roman" w:eastAsia="Times New Roman" w:hAnsi="Times New Roman" w:cs="Times New Roman"/>
      <w:sz w:val="24"/>
      <w:szCs w:val="24"/>
      <w:lang w:val="en-SG" w:eastAsia="zh-CN"/>
    </w:rPr>
  </w:style>
  <w:style w:type="paragraph" w:styleId="Heading1">
    <w:name w:val="heading 1"/>
    <w:basedOn w:val="Normal"/>
    <w:next w:val="Normal"/>
    <w:link w:val="Heading1Char"/>
    <w:uiPriority w:val="9"/>
    <w:qFormat/>
    <w:rsid w:val="007A35B1"/>
    <w:pPr>
      <w:keepNext/>
      <w:keepLines/>
      <w:spacing w:before="240" w:line="259" w:lineRule="auto"/>
      <w:outlineLvl w:val="0"/>
    </w:pPr>
    <w:rPr>
      <w:rFonts w:eastAsiaTheme="majorEastAsia"/>
      <w:b/>
      <w:bCs/>
      <w:color w:val="2F5496" w:themeColor="accent1" w:themeShade="BF"/>
      <w:sz w:val="20"/>
      <w:szCs w:val="20"/>
      <w:lang w:val="en-US" w:eastAsia="en-US"/>
    </w:rPr>
  </w:style>
  <w:style w:type="paragraph" w:styleId="Heading2">
    <w:name w:val="heading 2"/>
    <w:basedOn w:val="Normal"/>
    <w:next w:val="Normal"/>
    <w:link w:val="Heading2Char"/>
    <w:uiPriority w:val="9"/>
    <w:unhideWhenUsed/>
    <w:qFormat/>
    <w:rsid w:val="00F64F0D"/>
    <w:pPr>
      <w:keepNext/>
      <w:keepLines/>
      <w:numPr>
        <w:ilvl w:val="1"/>
        <w:numId w:val="16"/>
      </w:numPr>
      <w:spacing w:before="40" w:line="259" w:lineRule="auto"/>
      <w:jc w:val="both"/>
      <w:outlineLvl w:val="1"/>
    </w:pPr>
    <w:rPr>
      <w:rFonts w:eastAsiaTheme="majorEastAsia"/>
      <w:color w:val="2F5496" w:themeColor="accent1" w:themeShade="BF"/>
      <w:lang w:val="en-GB" w:eastAsia="en-US"/>
    </w:rPr>
  </w:style>
  <w:style w:type="paragraph" w:styleId="Heading3">
    <w:name w:val="heading 3"/>
    <w:basedOn w:val="Normal"/>
    <w:next w:val="Normal"/>
    <w:link w:val="Heading3Char"/>
    <w:uiPriority w:val="9"/>
    <w:unhideWhenUsed/>
    <w:qFormat/>
    <w:rsid w:val="00F64F0D"/>
    <w:pPr>
      <w:numPr>
        <w:ilvl w:val="2"/>
        <w:numId w:val="16"/>
      </w:numPr>
      <w:spacing w:after="160" w:line="259" w:lineRule="auto"/>
      <w:jc w:val="both"/>
      <w:outlineLvl w:val="2"/>
    </w:pPr>
    <w:rPr>
      <w:rFonts w:eastAsiaTheme="minorHAnsi"/>
      <w:b/>
      <w:bCs/>
      <w:iCs/>
      <w:color w:val="2F5496" w:themeColor="accent1" w:themeShade="BF"/>
      <w:lang w:val="en-US" w:eastAsia="en-US"/>
    </w:rPr>
  </w:style>
  <w:style w:type="paragraph" w:styleId="Heading4">
    <w:name w:val="heading 4"/>
    <w:basedOn w:val="Normal"/>
    <w:next w:val="Normal"/>
    <w:link w:val="Heading4Char"/>
    <w:uiPriority w:val="9"/>
    <w:unhideWhenUsed/>
    <w:qFormat/>
    <w:rsid w:val="00904897"/>
    <w:pPr>
      <w:spacing w:after="160" w:line="259" w:lineRule="auto"/>
      <w:outlineLvl w:val="3"/>
    </w:pPr>
    <w:rPr>
      <w:rFonts w:eastAsiaTheme="minorHAnsi"/>
      <w:b/>
      <w:bCs/>
      <w:color w:val="2F5496" w:themeColor="accent1" w:themeShade="BF"/>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2C0"/>
    <w:pPr>
      <w:ind w:left="720"/>
      <w:contextualSpacing/>
    </w:pPr>
  </w:style>
  <w:style w:type="table" w:styleId="TableGrid">
    <w:name w:val="Table Grid"/>
    <w:basedOn w:val="TableNormal"/>
    <w:uiPriority w:val="39"/>
    <w:rsid w:val="00284D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A35B1"/>
    <w:rPr>
      <w:rFonts w:ascii="Times New Roman" w:eastAsiaTheme="majorEastAsia" w:hAnsi="Times New Roman" w:cs="Times New Roman"/>
      <w:b/>
      <w:bCs/>
      <w:color w:val="2F5496" w:themeColor="accent1" w:themeShade="BF"/>
      <w:sz w:val="20"/>
      <w:szCs w:val="20"/>
    </w:rPr>
  </w:style>
  <w:style w:type="paragraph" w:styleId="TOCHeading">
    <w:name w:val="TOC Heading"/>
    <w:basedOn w:val="Heading1"/>
    <w:next w:val="Normal"/>
    <w:uiPriority w:val="39"/>
    <w:unhideWhenUsed/>
    <w:qFormat/>
    <w:rsid w:val="00C22AC5"/>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C22AC5"/>
    <w:pPr>
      <w:spacing w:before="120" w:after="120"/>
    </w:pPr>
    <w:rPr>
      <w:rFonts w:cstheme="minorHAnsi"/>
      <w:b/>
      <w:bCs/>
      <w:caps/>
      <w:sz w:val="20"/>
      <w:szCs w:val="20"/>
    </w:rPr>
  </w:style>
  <w:style w:type="paragraph" w:styleId="TOC2">
    <w:name w:val="toc 2"/>
    <w:basedOn w:val="Normal"/>
    <w:next w:val="Normal"/>
    <w:autoRedefine/>
    <w:uiPriority w:val="39"/>
    <w:unhideWhenUsed/>
    <w:rsid w:val="00C22AC5"/>
    <w:pPr>
      <w:ind w:left="220"/>
    </w:pPr>
    <w:rPr>
      <w:rFonts w:cstheme="minorHAnsi"/>
      <w:smallCaps/>
      <w:sz w:val="20"/>
      <w:szCs w:val="20"/>
    </w:rPr>
  </w:style>
  <w:style w:type="paragraph" w:styleId="TOC3">
    <w:name w:val="toc 3"/>
    <w:basedOn w:val="Normal"/>
    <w:next w:val="Normal"/>
    <w:autoRedefine/>
    <w:uiPriority w:val="39"/>
    <w:unhideWhenUsed/>
    <w:rsid w:val="00C22AC5"/>
    <w:pPr>
      <w:ind w:left="440"/>
    </w:pPr>
    <w:rPr>
      <w:rFonts w:cstheme="minorHAnsi"/>
      <w:i/>
      <w:iCs/>
      <w:sz w:val="20"/>
      <w:szCs w:val="20"/>
    </w:rPr>
  </w:style>
  <w:style w:type="paragraph" w:styleId="TOC4">
    <w:name w:val="toc 4"/>
    <w:basedOn w:val="Normal"/>
    <w:next w:val="Normal"/>
    <w:autoRedefine/>
    <w:uiPriority w:val="39"/>
    <w:semiHidden/>
    <w:unhideWhenUsed/>
    <w:rsid w:val="00C22AC5"/>
    <w:pPr>
      <w:ind w:left="660"/>
    </w:pPr>
    <w:rPr>
      <w:rFonts w:cstheme="minorHAnsi"/>
      <w:sz w:val="18"/>
      <w:szCs w:val="18"/>
    </w:rPr>
  </w:style>
  <w:style w:type="paragraph" w:styleId="TOC5">
    <w:name w:val="toc 5"/>
    <w:basedOn w:val="Normal"/>
    <w:next w:val="Normal"/>
    <w:autoRedefine/>
    <w:uiPriority w:val="39"/>
    <w:semiHidden/>
    <w:unhideWhenUsed/>
    <w:rsid w:val="00C22AC5"/>
    <w:pPr>
      <w:ind w:left="880"/>
    </w:pPr>
    <w:rPr>
      <w:rFonts w:cstheme="minorHAnsi"/>
      <w:sz w:val="18"/>
      <w:szCs w:val="18"/>
    </w:rPr>
  </w:style>
  <w:style w:type="paragraph" w:styleId="TOC6">
    <w:name w:val="toc 6"/>
    <w:basedOn w:val="Normal"/>
    <w:next w:val="Normal"/>
    <w:autoRedefine/>
    <w:uiPriority w:val="39"/>
    <w:semiHidden/>
    <w:unhideWhenUsed/>
    <w:rsid w:val="00C22AC5"/>
    <w:pPr>
      <w:ind w:left="1100"/>
    </w:pPr>
    <w:rPr>
      <w:rFonts w:cstheme="minorHAnsi"/>
      <w:sz w:val="18"/>
      <w:szCs w:val="18"/>
    </w:rPr>
  </w:style>
  <w:style w:type="paragraph" w:styleId="TOC7">
    <w:name w:val="toc 7"/>
    <w:basedOn w:val="Normal"/>
    <w:next w:val="Normal"/>
    <w:autoRedefine/>
    <w:uiPriority w:val="39"/>
    <w:semiHidden/>
    <w:unhideWhenUsed/>
    <w:rsid w:val="00C22AC5"/>
    <w:pPr>
      <w:ind w:left="1320"/>
    </w:pPr>
    <w:rPr>
      <w:rFonts w:cstheme="minorHAnsi"/>
      <w:sz w:val="18"/>
      <w:szCs w:val="18"/>
    </w:rPr>
  </w:style>
  <w:style w:type="paragraph" w:styleId="TOC8">
    <w:name w:val="toc 8"/>
    <w:basedOn w:val="Normal"/>
    <w:next w:val="Normal"/>
    <w:autoRedefine/>
    <w:uiPriority w:val="39"/>
    <w:semiHidden/>
    <w:unhideWhenUsed/>
    <w:rsid w:val="00C22AC5"/>
    <w:pPr>
      <w:ind w:left="1540"/>
    </w:pPr>
    <w:rPr>
      <w:rFonts w:cstheme="minorHAnsi"/>
      <w:sz w:val="18"/>
      <w:szCs w:val="18"/>
    </w:rPr>
  </w:style>
  <w:style w:type="paragraph" w:styleId="TOC9">
    <w:name w:val="toc 9"/>
    <w:basedOn w:val="Normal"/>
    <w:next w:val="Normal"/>
    <w:autoRedefine/>
    <w:uiPriority w:val="39"/>
    <w:semiHidden/>
    <w:unhideWhenUsed/>
    <w:rsid w:val="00C22AC5"/>
    <w:pPr>
      <w:ind w:left="1760"/>
    </w:pPr>
    <w:rPr>
      <w:rFonts w:cstheme="minorHAnsi"/>
      <w:sz w:val="18"/>
      <w:szCs w:val="18"/>
    </w:rPr>
  </w:style>
  <w:style w:type="character" w:styleId="Hyperlink">
    <w:name w:val="Hyperlink"/>
    <w:basedOn w:val="DefaultParagraphFont"/>
    <w:uiPriority w:val="99"/>
    <w:unhideWhenUsed/>
    <w:rsid w:val="00FD2933"/>
    <w:rPr>
      <w:color w:val="0563C1" w:themeColor="hyperlink"/>
      <w:u w:val="single"/>
    </w:rPr>
  </w:style>
  <w:style w:type="character" w:styleId="UnresolvedMention">
    <w:name w:val="Unresolved Mention"/>
    <w:basedOn w:val="DefaultParagraphFont"/>
    <w:uiPriority w:val="99"/>
    <w:semiHidden/>
    <w:unhideWhenUsed/>
    <w:rsid w:val="00FD2933"/>
    <w:rPr>
      <w:color w:val="605E5C"/>
      <w:shd w:val="clear" w:color="auto" w:fill="E1DFDD"/>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lang w:val="en-SG" w:eastAsia="zh-CN"/>
    </w:rPr>
  </w:style>
  <w:style w:type="character" w:styleId="CommentReference">
    <w:name w:val="annotation reference"/>
    <w:basedOn w:val="DefaultParagraphFont"/>
    <w:uiPriority w:val="99"/>
    <w:semiHidden/>
    <w:unhideWhenUsed/>
    <w:rPr>
      <w:sz w:val="16"/>
      <w:szCs w:val="16"/>
    </w:rPr>
  </w:style>
  <w:style w:type="character" w:customStyle="1" w:styleId="Heading2Char">
    <w:name w:val="Heading 2 Char"/>
    <w:basedOn w:val="DefaultParagraphFont"/>
    <w:link w:val="Heading2"/>
    <w:uiPriority w:val="9"/>
    <w:rsid w:val="00F64F0D"/>
    <w:rPr>
      <w:rFonts w:ascii="Times New Roman" w:eastAsiaTheme="majorEastAsia" w:hAnsi="Times New Roman" w:cs="Times New Roman"/>
      <w:color w:val="2F5496" w:themeColor="accent1" w:themeShade="BF"/>
      <w:sz w:val="24"/>
      <w:szCs w:val="24"/>
      <w:lang w:val="en-GB"/>
    </w:rPr>
  </w:style>
  <w:style w:type="paragraph" w:styleId="Header">
    <w:name w:val="header"/>
    <w:basedOn w:val="Normal"/>
    <w:link w:val="HeaderChar"/>
    <w:uiPriority w:val="99"/>
    <w:semiHidden/>
    <w:unhideWhenUsed/>
    <w:rsid w:val="00162B68"/>
    <w:pPr>
      <w:tabs>
        <w:tab w:val="center" w:pos="4513"/>
        <w:tab w:val="right" w:pos="9026"/>
      </w:tabs>
    </w:pPr>
  </w:style>
  <w:style w:type="character" w:customStyle="1" w:styleId="HeaderChar">
    <w:name w:val="Header Char"/>
    <w:basedOn w:val="DefaultParagraphFont"/>
    <w:link w:val="Header"/>
    <w:uiPriority w:val="99"/>
    <w:semiHidden/>
    <w:rsid w:val="00162B68"/>
    <w:rPr>
      <w:rFonts w:ascii="Times New Roman" w:eastAsia="Times New Roman" w:hAnsi="Times New Roman" w:cs="Times New Roman"/>
      <w:sz w:val="24"/>
      <w:szCs w:val="24"/>
      <w:lang w:val="en-SG" w:eastAsia="zh-CN"/>
    </w:rPr>
  </w:style>
  <w:style w:type="paragraph" w:styleId="Footer">
    <w:name w:val="footer"/>
    <w:basedOn w:val="Normal"/>
    <w:link w:val="FooterChar"/>
    <w:uiPriority w:val="99"/>
    <w:semiHidden/>
    <w:unhideWhenUsed/>
    <w:rsid w:val="00162B68"/>
    <w:pPr>
      <w:tabs>
        <w:tab w:val="center" w:pos="4513"/>
        <w:tab w:val="right" w:pos="9026"/>
      </w:tabs>
    </w:pPr>
  </w:style>
  <w:style w:type="character" w:customStyle="1" w:styleId="FooterChar">
    <w:name w:val="Footer Char"/>
    <w:basedOn w:val="DefaultParagraphFont"/>
    <w:link w:val="Footer"/>
    <w:uiPriority w:val="99"/>
    <w:semiHidden/>
    <w:rsid w:val="00162B68"/>
    <w:rPr>
      <w:rFonts w:ascii="Times New Roman" w:eastAsia="Times New Roman" w:hAnsi="Times New Roman" w:cs="Times New Roman"/>
      <w:sz w:val="24"/>
      <w:szCs w:val="24"/>
      <w:lang w:val="en-SG" w:eastAsia="zh-CN"/>
    </w:rPr>
  </w:style>
  <w:style w:type="paragraph" w:styleId="CommentSubject">
    <w:name w:val="annotation subject"/>
    <w:basedOn w:val="CommentText"/>
    <w:next w:val="CommentText"/>
    <w:link w:val="CommentSubjectChar"/>
    <w:uiPriority w:val="99"/>
    <w:semiHidden/>
    <w:unhideWhenUsed/>
    <w:rsid w:val="00EC4A31"/>
    <w:rPr>
      <w:b/>
      <w:bCs/>
    </w:rPr>
  </w:style>
  <w:style w:type="character" w:customStyle="1" w:styleId="CommentSubjectChar">
    <w:name w:val="Comment Subject Char"/>
    <w:basedOn w:val="CommentTextChar"/>
    <w:link w:val="CommentSubject"/>
    <w:uiPriority w:val="99"/>
    <w:semiHidden/>
    <w:rsid w:val="00EC4A31"/>
    <w:rPr>
      <w:rFonts w:ascii="Times New Roman" w:eastAsia="Times New Roman" w:hAnsi="Times New Roman" w:cs="Times New Roman"/>
      <w:b/>
      <w:bCs/>
      <w:sz w:val="20"/>
      <w:szCs w:val="20"/>
      <w:lang w:val="en-SG" w:eastAsia="zh-CN"/>
    </w:rPr>
  </w:style>
  <w:style w:type="paragraph" w:styleId="NormalWeb">
    <w:name w:val="Normal (Web)"/>
    <w:basedOn w:val="Normal"/>
    <w:uiPriority w:val="99"/>
    <w:unhideWhenUsed/>
    <w:rsid w:val="0049410F"/>
  </w:style>
  <w:style w:type="character" w:customStyle="1" w:styleId="Heading3Char">
    <w:name w:val="Heading 3 Char"/>
    <w:basedOn w:val="DefaultParagraphFont"/>
    <w:link w:val="Heading3"/>
    <w:uiPriority w:val="9"/>
    <w:rsid w:val="00F64F0D"/>
    <w:rPr>
      <w:rFonts w:ascii="Times New Roman" w:hAnsi="Times New Roman" w:cs="Times New Roman"/>
      <w:b/>
      <w:bCs/>
      <w:iCs/>
      <w:color w:val="2F5496" w:themeColor="accent1" w:themeShade="BF"/>
      <w:sz w:val="24"/>
      <w:szCs w:val="24"/>
    </w:rPr>
  </w:style>
  <w:style w:type="paragraph" w:styleId="Subtitle">
    <w:name w:val="Subtitle"/>
    <w:basedOn w:val="Normal"/>
    <w:next w:val="Normal"/>
    <w:link w:val="SubtitleChar"/>
    <w:uiPriority w:val="11"/>
    <w:qFormat/>
    <w:rsid w:val="00D67FE7"/>
    <w:pPr>
      <w:spacing w:before="120" w:after="120"/>
      <w:ind w:left="850" w:right="850"/>
    </w:pPr>
    <w:rPr>
      <w:b/>
      <w:bCs/>
      <w:i/>
      <w:iCs/>
    </w:rPr>
  </w:style>
  <w:style w:type="character" w:customStyle="1" w:styleId="SubtitleChar">
    <w:name w:val="Subtitle Char"/>
    <w:basedOn w:val="DefaultParagraphFont"/>
    <w:link w:val="Subtitle"/>
    <w:uiPriority w:val="11"/>
    <w:rsid w:val="00D67FE7"/>
    <w:rPr>
      <w:rFonts w:ascii="Times New Roman" w:eastAsia="Times New Roman" w:hAnsi="Times New Roman" w:cs="Times New Roman"/>
      <w:b/>
      <w:bCs/>
      <w:i/>
      <w:iCs/>
      <w:sz w:val="24"/>
      <w:szCs w:val="24"/>
      <w:lang w:val="en-SG" w:eastAsia="zh-CN"/>
    </w:rPr>
  </w:style>
  <w:style w:type="character" w:customStyle="1" w:styleId="Heading4Char">
    <w:name w:val="Heading 4 Char"/>
    <w:basedOn w:val="DefaultParagraphFont"/>
    <w:link w:val="Heading4"/>
    <w:uiPriority w:val="9"/>
    <w:rsid w:val="00904897"/>
    <w:rPr>
      <w:rFonts w:ascii="Times New Roman" w:hAnsi="Times New Roman" w:cs="Times New Roman"/>
      <w:b/>
      <w:bCs/>
      <w:color w:val="2F5496" w:themeColor="accent1" w:themeShade="BF"/>
      <w:sz w:val="24"/>
      <w:szCs w:val="24"/>
      <w:u w:val="single"/>
    </w:rPr>
  </w:style>
  <w:style w:type="numbering" w:customStyle="1" w:styleId="CurrentList1">
    <w:name w:val="Current List1"/>
    <w:uiPriority w:val="99"/>
    <w:rsid w:val="00E61C2B"/>
    <w:pPr>
      <w:numPr>
        <w:numId w:val="9"/>
      </w:numPr>
    </w:pPr>
  </w:style>
  <w:style w:type="numbering" w:customStyle="1" w:styleId="CurrentList2">
    <w:name w:val="Current List2"/>
    <w:uiPriority w:val="99"/>
    <w:rsid w:val="00E61C2B"/>
    <w:pPr>
      <w:numPr>
        <w:numId w:val="18"/>
      </w:numPr>
    </w:pPr>
  </w:style>
  <w:style w:type="paragraph" w:styleId="Caption">
    <w:name w:val="caption"/>
    <w:basedOn w:val="Normal"/>
    <w:next w:val="Normal"/>
    <w:uiPriority w:val="35"/>
    <w:unhideWhenUsed/>
    <w:qFormat/>
    <w:rsid w:val="00AF481C"/>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BC24FA"/>
    <w:rPr>
      <w:color w:val="954F72" w:themeColor="followedHyperlink"/>
      <w:u w:val="single"/>
    </w:rPr>
  </w:style>
  <w:style w:type="numbering" w:customStyle="1" w:styleId="CurrentList3">
    <w:name w:val="Current List3"/>
    <w:uiPriority w:val="99"/>
    <w:rsid w:val="00904897"/>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87941">
      <w:bodyDiv w:val="1"/>
      <w:marLeft w:val="0"/>
      <w:marRight w:val="0"/>
      <w:marTop w:val="0"/>
      <w:marBottom w:val="0"/>
      <w:divBdr>
        <w:top w:val="none" w:sz="0" w:space="0" w:color="auto"/>
        <w:left w:val="none" w:sz="0" w:space="0" w:color="auto"/>
        <w:bottom w:val="none" w:sz="0" w:space="0" w:color="auto"/>
        <w:right w:val="none" w:sz="0" w:space="0" w:color="auto"/>
      </w:divBdr>
    </w:div>
    <w:div w:id="160775505">
      <w:bodyDiv w:val="1"/>
      <w:marLeft w:val="0"/>
      <w:marRight w:val="0"/>
      <w:marTop w:val="0"/>
      <w:marBottom w:val="0"/>
      <w:divBdr>
        <w:top w:val="none" w:sz="0" w:space="0" w:color="auto"/>
        <w:left w:val="none" w:sz="0" w:space="0" w:color="auto"/>
        <w:bottom w:val="none" w:sz="0" w:space="0" w:color="auto"/>
        <w:right w:val="none" w:sz="0" w:space="0" w:color="auto"/>
      </w:divBdr>
      <w:divsChild>
        <w:div w:id="1699354399">
          <w:marLeft w:val="480"/>
          <w:marRight w:val="0"/>
          <w:marTop w:val="0"/>
          <w:marBottom w:val="0"/>
          <w:divBdr>
            <w:top w:val="none" w:sz="0" w:space="0" w:color="auto"/>
            <w:left w:val="none" w:sz="0" w:space="0" w:color="auto"/>
            <w:bottom w:val="none" w:sz="0" w:space="0" w:color="auto"/>
            <w:right w:val="none" w:sz="0" w:space="0" w:color="auto"/>
          </w:divBdr>
          <w:divsChild>
            <w:div w:id="360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8399">
      <w:bodyDiv w:val="1"/>
      <w:marLeft w:val="0"/>
      <w:marRight w:val="0"/>
      <w:marTop w:val="0"/>
      <w:marBottom w:val="0"/>
      <w:divBdr>
        <w:top w:val="none" w:sz="0" w:space="0" w:color="auto"/>
        <w:left w:val="none" w:sz="0" w:space="0" w:color="auto"/>
        <w:bottom w:val="none" w:sz="0" w:space="0" w:color="auto"/>
        <w:right w:val="none" w:sz="0" w:space="0" w:color="auto"/>
      </w:divBdr>
    </w:div>
    <w:div w:id="271862962">
      <w:bodyDiv w:val="1"/>
      <w:marLeft w:val="0"/>
      <w:marRight w:val="0"/>
      <w:marTop w:val="0"/>
      <w:marBottom w:val="0"/>
      <w:divBdr>
        <w:top w:val="none" w:sz="0" w:space="0" w:color="auto"/>
        <w:left w:val="none" w:sz="0" w:space="0" w:color="auto"/>
        <w:bottom w:val="none" w:sz="0" w:space="0" w:color="auto"/>
        <w:right w:val="none" w:sz="0" w:space="0" w:color="auto"/>
      </w:divBdr>
      <w:divsChild>
        <w:div w:id="614677101">
          <w:marLeft w:val="480"/>
          <w:marRight w:val="0"/>
          <w:marTop w:val="0"/>
          <w:marBottom w:val="0"/>
          <w:divBdr>
            <w:top w:val="none" w:sz="0" w:space="0" w:color="auto"/>
            <w:left w:val="none" w:sz="0" w:space="0" w:color="auto"/>
            <w:bottom w:val="none" w:sz="0" w:space="0" w:color="auto"/>
            <w:right w:val="none" w:sz="0" w:space="0" w:color="auto"/>
          </w:divBdr>
          <w:divsChild>
            <w:div w:id="4453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3074">
      <w:bodyDiv w:val="1"/>
      <w:marLeft w:val="0"/>
      <w:marRight w:val="0"/>
      <w:marTop w:val="0"/>
      <w:marBottom w:val="0"/>
      <w:divBdr>
        <w:top w:val="none" w:sz="0" w:space="0" w:color="auto"/>
        <w:left w:val="none" w:sz="0" w:space="0" w:color="auto"/>
        <w:bottom w:val="none" w:sz="0" w:space="0" w:color="auto"/>
        <w:right w:val="none" w:sz="0" w:space="0" w:color="auto"/>
      </w:divBdr>
      <w:divsChild>
        <w:div w:id="1519276602">
          <w:marLeft w:val="480"/>
          <w:marRight w:val="0"/>
          <w:marTop w:val="0"/>
          <w:marBottom w:val="0"/>
          <w:divBdr>
            <w:top w:val="none" w:sz="0" w:space="0" w:color="auto"/>
            <w:left w:val="none" w:sz="0" w:space="0" w:color="auto"/>
            <w:bottom w:val="none" w:sz="0" w:space="0" w:color="auto"/>
            <w:right w:val="none" w:sz="0" w:space="0" w:color="auto"/>
          </w:divBdr>
          <w:divsChild>
            <w:div w:id="15737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4599">
      <w:bodyDiv w:val="1"/>
      <w:marLeft w:val="0"/>
      <w:marRight w:val="0"/>
      <w:marTop w:val="0"/>
      <w:marBottom w:val="0"/>
      <w:divBdr>
        <w:top w:val="none" w:sz="0" w:space="0" w:color="auto"/>
        <w:left w:val="none" w:sz="0" w:space="0" w:color="auto"/>
        <w:bottom w:val="none" w:sz="0" w:space="0" w:color="auto"/>
        <w:right w:val="none" w:sz="0" w:space="0" w:color="auto"/>
      </w:divBdr>
    </w:div>
    <w:div w:id="368341852">
      <w:bodyDiv w:val="1"/>
      <w:marLeft w:val="0"/>
      <w:marRight w:val="0"/>
      <w:marTop w:val="0"/>
      <w:marBottom w:val="0"/>
      <w:divBdr>
        <w:top w:val="none" w:sz="0" w:space="0" w:color="auto"/>
        <w:left w:val="none" w:sz="0" w:space="0" w:color="auto"/>
        <w:bottom w:val="none" w:sz="0" w:space="0" w:color="auto"/>
        <w:right w:val="none" w:sz="0" w:space="0" w:color="auto"/>
      </w:divBdr>
    </w:div>
    <w:div w:id="368993520">
      <w:bodyDiv w:val="1"/>
      <w:marLeft w:val="0"/>
      <w:marRight w:val="0"/>
      <w:marTop w:val="0"/>
      <w:marBottom w:val="0"/>
      <w:divBdr>
        <w:top w:val="none" w:sz="0" w:space="0" w:color="auto"/>
        <w:left w:val="none" w:sz="0" w:space="0" w:color="auto"/>
        <w:bottom w:val="none" w:sz="0" w:space="0" w:color="auto"/>
        <w:right w:val="none" w:sz="0" w:space="0" w:color="auto"/>
      </w:divBdr>
      <w:divsChild>
        <w:div w:id="1212155224">
          <w:marLeft w:val="480"/>
          <w:marRight w:val="0"/>
          <w:marTop w:val="0"/>
          <w:marBottom w:val="0"/>
          <w:divBdr>
            <w:top w:val="none" w:sz="0" w:space="0" w:color="auto"/>
            <w:left w:val="none" w:sz="0" w:space="0" w:color="auto"/>
            <w:bottom w:val="none" w:sz="0" w:space="0" w:color="auto"/>
            <w:right w:val="none" w:sz="0" w:space="0" w:color="auto"/>
          </w:divBdr>
          <w:divsChild>
            <w:div w:id="145929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8192">
      <w:bodyDiv w:val="1"/>
      <w:marLeft w:val="0"/>
      <w:marRight w:val="0"/>
      <w:marTop w:val="0"/>
      <w:marBottom w:val="0"/>
      <w:divBdr>
        <w:top w:val="none" w:sz="0" w:space="0" w:color="auto"/>
        <w:left w:val="none" w:sz="0" w:space="0" w:color="auto"/>
        <w:bottom w:val="none" w:sz="0" w:space="0" w:color="auto"/>
        <w:right w:val="none" w:sz="0" w:space="0" w:color="auto"/>
      </w:divBdr>
    </w:div>
    <w:div w:id="530454627">
      <w:bodyDiv w:val="1"/>
      <w:marLeft w:val="0"/>
      <w:marRight w:val="0"/>
      <w:marTop w:val="0"/>
      <w:marBottom w:val="0"/>
      <w:divBdr>
        <w:top w:val="none" w:sz="0" w:space="0" w:color="auto"/>
        <w:left w:val="none" w:sz="0" w:space="0" w:color="auto"/>
        <w:bottom w:val="none" w:sz="0" w:space="0" w:color="auto"/>
        <w:right w:val="none" w:sz="0" w:space="0" w:color="auto"/>
      </w:divBdr>
      <w:divsChild>
        <w:div w:id="2001536658">
          <w:marLeft w:val="480"/>
          <w:marRight w:val="0"/>
          <w:marTop w:val="0"/>
          <w:marBottom w:val="0"/>
          <w:divBdr>
            <w:top w:val="none" w:sz="0" w:space="0" w:color="auto"/>
            <w:left w:val="none" w:sz="0" w:space="0" w:color="auto"/>
            <w:bottom w:val="none" w:sz="0" w:space="0" w:color="auto"/>
            <w:right w:val="none" w:sz="0" w:space="0" w:color="auto"/>
          </w:divBdr>
          <w:divsChild>
            <w:div w:id="565410854">
              <w:marLeft w:val="0"/>
              <w:marRight w:val="0"/>
              <w:marTop w:val="0"/>
              <w:marBottom w:val="0"/>
              <w:divBdr>
                <w:top w:val="none" w:sz="0" w:space="0" w:color="auto"/>
                <w:left w:val="none" w:sz="0" w:space="0" w:color="auto"/>
                <w:bottom w:val="none" w:sz="0" w:space="0" w:color="auto"/>
                <w:right w:val="none" w:sz="0" w:space="0" w:color="auto"/>
              </w:divBdr>
            </w:div>
            <w:div w:id="20856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10595">
      <w:bodyDiv w:val="1"/>
      <w:marLeft w:val="0"/>
      <w:marRight w:val="0"/>
      <w:marTop w:val="0"/>
      <w:marBottom w:val="0"/>
      <w:divBdr>
        <w:top w:val="none" w:sz="0" w:space="0" w:color="auto"/>
        <w:left w:val="none" w:sz="0" w:space="0" w:color="auto"/>
        <w:bottom w:val="none" w:sz="0" w:space="0" w:color="auto"/>
        <w:right w:val="none" w:sz="0" w:space="0" w:color="auto"/>
      </w:divBdr>
    </w:div>
    <w:div w:id="566646053">
      <w:bodyDiv w:val="1"/>
      <w:marLeft w:val="0"/>
      <w:marRight w:val="0"/>
      <w:marTop w:val="0"/>
      <w:marBottom w:val="0"/>
      <w:divBdr>
        <w:top w:val="none" w:sz="0" w:space="0" w:color="auto"/>
        <w:left w:val="none" w:sz="0" w:space="0" w:color="auto"/>
        <w:bottom w:val="none" w:sz="0" w:space="0" w:color="auto"/>
        <w:right w:val="none" w:sz="0" w:space="0" w:color="auto"/>
      </w:divBdr>
    </w:div>
    <w:div w:id="620696780">
      <w:bodyDiv w:val="1"/>
      <w:marLeft w:val="0"/>
      <w:marRight w:val="0"/>
      <w:marTop w:val="0"/>
      <w:marBottom w:val="0"/>
      <w:divBdr>
        <w:top w:val="none" w:sz="0" w:space="0" w:color="auto"/>
        <w:left w:val="none" w:sz="0" w:space="0" w:color="auto"/>
        <w:bottom w:val="none" w:sz="0" w:space="0" w:color="auto"/>
        <w:right w:val="none" w:sz="0" w:space="0" w:color="auto"/>
      </w:divBdr>
    </w:div>
    <w:div w:id="846748407">
      <w:bodyDiv w:val="1"/>
      <w:marLeft w:val="0"/>
      <w:marRight w:val="0"/>
      <w:marTop w:val="0"/>
      <w:marBottom w:val="0"/>
      <w:divBdr>
        <w:top w:val="none" w:sz="0" w:space="0" w:color="auto"/>
        <w:left w:val="none" w:sz="0" w:space="0" w:color="auto"/>
        <w:bottom w:val="none" w:sz="0" w:space="0" w:color="auto"/>
        <w:right w:val="none" w:sz="0" w:space="0" w:color="auto"/>
      </w:divBdr>
    </w:div>
    <w:div w:id="950824698">
      <w:bodyDiv w:val="1"/>
      <w:marLeft w:val="0"/>
      <w:marRight w:val="0"/>
      <w:marTop w:val="0"/>
      <w:marBottom w:val="0"/>
      <w:divBdr>
        <w:top w:val="none" w:sz="0" w:space="0" w:color="auto"/>
        <w:left w:val="none" w:sz="0" w:space="0" w:color="auto"/>
        <w:bottom w:val="none" w:sz="0" w:space="0" w:color="auto"/>
        <w:right w:val="none" w:sz="0" w:space="0" w:color="auto"/>
      </w:divBdr>
      <w:divsChild>
        <w:div w:id="1011839152">
          <w:marLeft w:val="480"/>
          <w:marRight w:val="0"/>
          <w:marTop w:val="0"/>
          <w:marBottom w:val="0"/>
          <w:divBdr>
            <w:top w:val="none" w:sz="0" w:space="0" w:color="auto"/>
            <w:left w:val="none" w:sz="0" w:space="0" w:color="auto"/>
            <w:bottom w:val="none" w:sz="0" w:space="0" w:color="auto"/>
            <w:right w:val="none" w:sz="0" w:space="0" w:color="auto"/>
          </w:divBdr>
          <w:divsChild>
            <w:div w:id="11202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5502">
      <w:bodyDiv w:val="1"/>
      <w:marLeft w:val="0"/>
      <w:marRight w:val="0"/>
      <w:marTop w:val="0"/>
      <w:marBottom w:val="0"/>
      <w:divBdr>
        <w:top w:val="none" w:sz="0" w:space="0" w:color="auto"/>
        <w:left w:val="none" w:sz="0" w:space="0" w:color="auto"/>
        <w:bottom w:val="none" w:sz="0" w:space="0" w:color="auto"/>
        <w:right w:val="none" w:sz="0" w:space="0" w:color="auto"/>
      </w:divBdr>
    </w:div>
    <w:div w:id="1010790943">
      <w:bodyDiv w:val="1"/>
      <w:marLeft w:val="0"/>
      <w:marRight w:val="0"/>
      <w:marTop w:val="0"/>
      <w:marBottom w:val="0"/>
      <w:divBdr>
        <w:top w:val="none" w:sz="0" w:space="0" w:color="auto"/>
        <w:left w:val="none" w:sz="0" w:space="0" w:color="auto"/>
        <w:bottom w:val="none" w:sz="0" w:space="0" w:color="auto"/>
        <w:right w:val="none" w:sz="0" w:space="0" w:color="auto"/>
      </w:divBdr>
    </w:div>
    <w:div w:id="1073510204">
      <w:bodyDiv w:val="1"/>
      <w:marLeft w:val="0"/>
      <w:marRight w:val="0"/>
      <w:marTop w:val="0"/>
      <w:marBottom w:val="0"/>
      <w:divBdr>
        <w:top w:val="none" w:sz="0" w:space="0" w:color="auto"/>
        <w:left w:val="none" w:sz="0" w:space="0" w:color="auto"/>
        <w:bottom w:val="none" w:sz="0" w:space="0" w:color="auto"/>
        <w:right w:val="none" w:sz="0" w:space="0" w:color="auto"/>
      </w:divBdr>
      <w:divsChild>
        <w:div w:id="928655795">
          <w:marLeft w:val="480"/>
          <w:marRight w:val="0"/>
          <w:marTop w:val="0"/>
          <w:marBottom w:val="0"/>
          <w:divBdr>
            <w:top w:val="none" w:sz="0" w:space="0" w:color="auto"/>
            <w:left w:val="none" w:sz="0" w:space="0" w:color="auto"/>
            <w:bottom w:val="none" w:sz="0" w:space="0" w:color="auto"/>
            <w:right w:val="none" w:sz="0" w:space="0" w:color="auto"/>
          </w:divBdr>
          <w:divsChild>
            <w:div w:id="5907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20625">
      <w:bodyDiv w:val="1"/>
      <w:marLeft w:val="0"/>
      <w:marRight w:val="0"/>
      <w:marTop w:val="0"/>
      <w:marBottom w:val="0"/>
      <w:divBdr>
        <w:top w:val="none" w:sz="0" w:space="0" w:color="auto"/>
        <w:left w:val="none" w:sz="0" w:space="0" w:color="auto"/>
        <w:bottom w:val="none" w:sz="0" w:space="0" w:color="auto"/>
        <w:right w:val="none" w:sz="0" w:space="0" w:color="auto"/>
      </w:divBdr>
    </w:div>
    <w:div w:id="1123115743">
      <w:bodyDiv w:val="1"/>
      <w:marLeft w:val="0"/>
      <w:marRight w:val="0"/>
      <w:marTop w:val="0"/>
      <w:marBottom w:val="0"/>
      <w:divBdr>
        <w:top w:val="none" w:sz="0" w:space="0" w:color="auto"/>
        <w:left w:val="none" w:sz="0" w:space="0" w:color="auto"/>
        <w:bottom w:val="none" w:sz="0" w:space="0" w:color="auto"/>
        <w:right w:val="none" w:sz="0" w:space="0" w:color="auto"/>
      </w:divBdr>
    </w:div>
    <w:div w:id="1139611788">
      <w:bodyDiv w:val="1"/>
      <w:marLeft w:val="0"/>
      <w:marRight w:val="0"/>
      <w:marTop w:val="0"/>
      <w:marBottom w:val="0"/>
      <w:divBdr>
        <w:top w:val="none" w:sz="0" w:space="0" w:color="auto"/>
        <w:left w:val="none" w:sz="0" w:space="0" w:color="auto"/>
        <w:bottom w:val="none" w:sz="0" w:space="0" w:color="auto"/>
        <w:right w:val="none" w:sz="0" w:space="0" w:color="auto"/>
      </w:divBdr>
    </w:div>
    <w:div w:id="1163929903">
      <w:bodyDiv w:val="1"/>
      <w:marLeft w:val="0"/>
      <w:marRight w:val="0"/>
      <w:marTop w:val="0"/>
      <w:marBottom w:val="0"/>
      <w:divBdr>
        <w:top w:val="none" w:sz="0" w:space="0" w:color="auto"/>
        <w:left w:val="none" w:sz="0" w:space="0" w:color="auto"/>
        <w:bottom w:val="none" w:sz="0" w:space="0" w:color="auto"/>
        <w:right w:val="none" w:sz="0" w:space="0" w:color="auto"/>
      </w:divBdr>
    </w:div>
    <w:div w:id="1188640278">
      <w:bodyDiv w:val="1"/>
      <w:marLeft w:val="0"/>
      <w:marRight w:val="0"/>
      <w:marTop w:val="0"/>
      <w:marBottom w:val="0"/>
      <w:divBdr>
        <w:top w:val="none" w:sz="0" w:space="0" w:color="auto"/>
        <w:left w:val="none" w:sz="0" w:space="0" w:color="auto"/>
        <w:bottom w:val="none" w:sz="0" w:space="0" w:color="auto"/>
        <w:right w:val="none" w:sz="0" w:space="0" w:color="auto"/>
      </w:divBdr>
    </w:div>
    <w:div w:id="1238634806">
      <w:bodyDiv w:val="1"/>
      <w:marLeft w:val="0"/>
      <w:marRight w:val="0"/>
      <w:marTop w:val="0"/>
      <w:marBottom w:val="0"/>
      <w:divBdr>
        <w:top w:val="none" w:sz="0" w:space="0" w:color="auto"/>
        <w:left w:val="none" w:sz="0" w:space="0" w:color="auto"/>
        <w:bottom w:val="none" w:sz="0" w:space="0" w:color="auto"/>
        <w:right w:val="none" w:sz="0" w:space="0" w:color="auto"/>
      </w:divBdr>
    </w:div>
    <w:div w:id="1261986425">
      <w:bodyDiv w:val="1"/>
      <w:marLeft w:val="0"/>
      <w:marRight w:val="0"/>
      <w:marTop w:val="0"/>
      <w:marBottom w:val="0"/>
      <w:divBdr>
        <w:top w:val="none" w:sz="0" w:space="0" w:color="auto"/>
        <w:left w:val="none" w:sz="0" w:space="0" w:color="auto"/>
        <w:bottom w:val="none" w:sz="0" w:space="0" w:color="auto"/>
        <w:right w:val="none" w:sz="0" w:space="0" w:color="auto"/>
      </w:divBdr>
    </w:div>
    <w:div w:id="1318414569">
      <w:bodyDiv w:val="1"/>
      <w:marLeft w:val="0"/>
      <w:marRight w:val="0"/>
      <w:marTop w:val="0"/>
      <w:marBottom w:val="0"/>
      <w:divBdr>
        <w:top w:val="none" w:sz="0" w:space="0" w:color="auto"/>
        <w:left w:val="none" w:sz="0" w:space="0" w:color="auto"/>
        <w:bottom w:val="none" w:sz="0" w:space="0" w:color="auto"/>
        <w:right w:val="none" w:sz="0" w:space="0" w:color="auto"/>
      </w:divBdr>
      <w:divsChild>
        <w:div w:id="135463671">
          <w:marLeft w:val="0"/>
          <w:marRight w:val="0"/>
          <w:marTop w:val="0"/>
          <w:marBottom w:val="0"/>
          <w:divBdr>
            <w:top w:val="single" w:sz="2" w:space="0" w:color="auto"/>
            <w:left w:val="single" w:sz="2" w:space="0" w:color="auto"/>
            <w:bottom w:val="single" w:sz="6" w:space="0" w:color="auto"/>
            <w:right w:val="single" w:sz="2" w:space="0" w:color="auto"/>
          </w:divBdr>
          <w:divsChild>
            <w:div w:id="20563450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419896">
                  <w:marLeft w:val="0"/>
                  <w:marRight w:val="0"/>
                  <w:marTop w:val="0"/>
                  <w:marBottom w:val="0"/>
                  <w:divBdr>
                    <w:top w:val="single" w:sz="2" w:space="0" w:color="D9D9E3"/>
                    <w:left w:val="single" w:sz="2" w:space="0" w:color="D9D9E3"/>
                    <w:bottom w:val="single" w:sz="2" w:space="0" w:color="D9D9E3"/>
                    <w:right w:val="single" w:sz="2" w:space="0" w:color="D9D9E3"/>
                  </w:divBdr>
                  <w:divsChild>
                    <w:div w:id="1229265810">
                      <w:marLeft w:val="0"/>
                      <w:marRight w:val="0"/>
                      <w:marTop w:val="0"/>
                      <w:marBottom w:val="0"/>
                      <w:divBdr>
                        <w:top w:val="single" w:sz="2" w:space="0" w:color="D9D9E3"/>
                        <w:left w:val="single" w:sz="2" w:space="0" w:color="D9D9E3"/>
                        <w:bottom w:val="single" w:sz="2" w:space="0" w:color="D9D9E3"/>
                        <w:right w:val="single" w:sz="2" w:space="0" w:color="D9D9E3"/>
                      </w:divBdr>
                      <w:divsChild>
                        <w:div w:id="1136223204">
                          <w:marLeft w:val="0"/>
                          <w:marRight w:val="0"/>
                          <w:marTop w:val="0"/>
                          <w:marBottom w:val="0"/>
                          <w:divBdr>
                            <w:top w:val="single" w:sz="2" w:space="0" w:color="D9D9E3"/>
                            <w:left w:val="single" w:sz="2" w:space="0" w:color="D9D9E3"/>
                            <w:bottom w:val="single" w:sz="2" w:space="0" w:color="D9D9E3"/>
                            <w:right w:val="single" w:sz="2" w:space="0" w:color="D9D9E3"/>
                          </w:divBdr>
                          <w:divsChild>
                            <w:div w:id="295843345">
                              <w:marLeft w:val="0"/>
                              <w:marRight w:val="0"/>
                              <w:marTop w:val="0"/>
                              <w:marBottom w:val="0"/>
                              <w:divBdr>
                                <w:top w:val="single" w:sz="2" w:space="0" w:color="D9D9E3"/>
                                <w:left w:val="single" w:sz="2" w:space="0" w:color="D9D9E3"/>
                                <w:bottom w:val="single" w:sz="2" w:space="0" w:color="D9D9E3"/>
                                <w:right w:val="single" w:sz="2" w:space="0" w:color="D9D9E3"/>
                              </w:divBdr>
                              <w:divsChild>
                                <w:div w:id="2034501116">
                                  <w:marLeft w:val="0"/>
                                  <w:marRight w:val="0"/>
                                  <w:marTop w:val="0"/>
                                  <w:marBottom w:val="0"/>
                                  <w:divBdr>
                                    <w:top w:val="single" w:sz="2" w:space="0" w:color="D9D9E3"/>
                                    <w:left w:val="single" w:sz="2" w:space="0" w:color="D9D9E3"/>
                                    <w:bottom w:val="single" w:sz="2" w:space="0" w:color="D9D9E3"/>
                                    <w:right w:val="single" w:sz="2" w:space="0" w:color="D9D9E3"/>
                                  </w:divBdr>
                                  <w:divsChild>
                                    <w:div w:id="601839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9337373">
      <w:bodyDiv w:val="1"/>
      <w:marLeft w:val="0"/>
      <w:marRight w:val="0"/>
      <w:marTop w:val="0"/>
      <w:marBottom w:val="0"/>
      <w:divBdr>
        <w:top w:val="none" w:sz="0" w:space="0" w:color="auto"/>
        <w:left w:val="none" w:sz="0" w:space="0" w:color="auto"/>
        <w:bottom w:val="none" w:sz="0" w:space="0" w:color="auto"/>
        <w:right w:val="none" w:sz="0" w:space="0" w:color="auto"/>
      </w:divBdr>
    </w:div>
    <w:div w:id="1685010620">
      <w:bodyDiv w:val="1"/>
      <w:marLeft w:val="0"/>
      <w:marRight w:val="0"/>
      <w:marTop w:val="0"/>
      <w:marBottom w:val="0"/>
      <w:divBdr>
        <w:top w:val="none" w:sz="0" w:space="0" w:color="auto"/>
        <w:left w:val="none" w:sz="0" w:space="0" w:color="auto"/>
        <w:bottom w:val="none" w:sz="0" w:space="0" w:color="auto"/>
        <w:right w:val="none" w:sz="0" w:space="0" w:color="auto"/>
      </w:divBdr>
    </w:div>
    <w:div w:id="1777097432">
      <w:bodyDiv w:val="1"/>
      <w:marLeft w:val="0"/>
      <w:marRight w:val="0"/>
      <w:marTop w:val="0"/>
      <w:marBottom w:val="0"/>
      <w:divBdr>
        <w:top w:val="none" w:sz="0" w:space="0" w:color="auto"/>
        <w:left w:val="none" w:sz="0" w:space="0" w:color="auto"/>
        <w:bottom w:val="none" w:sz="0" w:space="0" w:color="auto"/>
        <w:right w:val="none" w:sz="0" w:space="0" w:color="auto"/>
      </w:divBdr>
    </w:div>
    <w:div w:id="202974666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hyperlink" Target="https://www.ura.gov.sg/Corporate/Media-Room/Media-Releases/pr16-27" TargetMode="External"/><Relationship Id="rId26" Type="http://schemas.openxmlformats.org/officeDocument/2006/relationships/hyperlink" Target="https://www.nus.edu.sg/registrar/student-records/student-statistics" TargetMode="External"/><Relationship Id="rId39" Type="http://schemas.openxmlformats.org/officeDocument/2006/relationships/fontTable" Target="fontTable.xml"/><Relationship Id="rId21" Type="http://schemas.openxmlformats.org/officeDocument/2006/relationships/hyperlink" Target="https://www.eco-business.com/news/singapore-universities-making-little-to-no-progress-phasing-out-fossil-fuels-influence-activists/" TargetMode="External"/><Relationship Id="rId34" Type="http://schemas.openxmlformats.org/officeDocument/2006/relationships/hyperlink" Target="https://www.brookings.edu/articles/rise-of-innovation-districts/"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3.png"/><Relationship Id="rId25" Type="http://schemas.openxmlformats.org/officeDocument/2006/relationships/hyperlink" Target="https://www.nhm.ac.uk/discover/why-we-need-green-spaces-in-cities.html" TargetMode="External"/><Relationship Id="rId33" Type="http://schemas.openxmlformats.org/officeDocument/2006/relationships/hyperlink" Target="https://www.studentsforafossilfreefuture.org/the-report" TargetMode="External"/><Relationship Id="rId38" Type="http://schemas.openxmlformats.org/officeDocument/2006/relationships/hyperlink" Target="https://doi.org/10.2339/politeknik.814239"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s://www.forbes.com/home-improvement/solar/how-long-do-solar-panels-last/" TargetMode="External"/><Relationship Id="rId29" Type="http://schemas.openxmlformats.org/officeDocument/2006/relationships/hyperlink" Target="https://www.eco-business.com/news/singapore-next-most-liveable-city-prof-geh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positivepsychology.com/positive-effects-of-nature/" TargetMode="External"/><Relationship Id="rId32" Type="http://schemas.openxmlformats.org/officeDocument/2006/relationships/hyperlink" Target="https://www.evergreen.ca/blog/entry/the-benefits-of-public-spaces-in-livable-cities/" TargetMode="External"/><Relationship Id="rId37" Type="http://schemas.openxmlformats.org/officeDocument/2006/relationships/hyperlink" Target="https://www.taipeitimes.com/News/taiwan/archives/2019/12/30/2003728422"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doi.org/10.2307/41166224" TargetMode="External"/><Relationship Id="rId28" Type="http://schemas.openxmlformats.org/officeDocument/2006/relationships/hyperlink" Target="https://resources.solarbusinesshub.com/solar-industry-reports/item/solar-photovoltaic-pv-roadmap-for-singapore" TargetMode="External"/><Relationship Id="rId36" Type="http://schemas.openxmlformats.org/officeDocument/2006/relationships/hyperlink" Target="https://www.mse.gov.sg/resource-room/category/2023-09-27-water-price-to-increase-from-2024" TargetMode="External"/><Relationship Id="rId10" Type="http://schemas.openxmlformats.org/officeDocument/2006/relationships/image" Target="media/image2.png"/><Relationship Id="rId19" Type="http://schemas.openxmlformats.org/officeDocument/2006/relationships/hyperlink" Target="https://www.ecomatcher.com/the-importance-of-incorporating-green-spaces-in-city-planning/" TargetMode="External"/><Relationship Id="rId31" Type="http://schemas.openxmlformats.org/officeDocument/2006/relationships/hyperlink" Target="https://corporatefinanceinstitute.com/resources/valuation/what-is-terminal-growth-rat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hyperlink" Target="https://www.channelnewsasia.com/singapore/extensive-links-singapore-universities-fossil-fuel-industry-student-coalition-2439301" TargetMode="External"/><Relationship Id="rId27" Type="http://schemas.openxmlformats.org/officeDocument/2006/relationships/hyperlink" Target="https://www.beesmart.city/en/solutions/a-water-smart-city-learning-from-singapore" TargetMode="External"/><Relationship Id="rId30" Type="http://schemas.openxmlformats.org/officeDocument/2006/relationships/hyperlink" Target="https://handprint.tech/the-true-cost-of-tree-planting/" TargetMode="External"/><Relationship Id="rId35" Type="http://schemas.openxmlformats.org/officeDocument/2006/relationships/hyperlink" Target="https://www.clc.gov.sg/docs/default-source/books/walkable-and-bikeable-cities.pdf" TargetMode="External"/><Relationship Id="rId8" Type="http://schemas.openxmlformats.org/officeDocument/2006/relationships/image" Target="media/image1.jp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https://nusu-my.sharepoint.com/personal/e0421128_u_nus_edu/Documents/FIN4720/FIN4720_project_SROI_calculation_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nusu-my.sharepoint.com/personal/e0421128_u_nus_edu/Documents/FIN4720/FIN4720_project_SROI_calculation_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https://nusu-my.sharepoint.com/personal/e0421128_u_nus_edu/Documents/FIN4720/FIN4720_project_SROI_calculation_2.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https://nusu-my.sharepoint.com/personal/e0421128_u_nus_edu/Documents/FIN4720/FIN4720_project_SROI_calculation_2.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https://nusu-my.sharepoint.com/personal/e0421128_u_nus_edu/Documents/FIN4720/FIN4720_project_SROI_calculation_2.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https://nusu-my.sharepoint.com/personal/e0421128_u_nus_edu/Documents/FIN4720/FIN4720_project_SROI_calculation_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t>Maintenance Cost Composition / annum</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Pt>
            <c:idx val="0"/>
            <c:invertIfNegative val="0"/>
            <c:bubble3D val="0"/>
            <c:spPr>
              <a:solidFill>
                <a:schemeClr val="accent2">
                  <a:lumMod val="40000"/>
                  <a:lumOff val="60000"/>
                </a:schemeClr>
              </a:solidFill>
              <a:ln>
                <a:noFill/>
              </a:ln>
              <a:effectLst/>
            </c:spPr>
            <c:extLst>
              <c:ext xmlns:c16="http://schemas.microsoft.com/office/drawing/2014/chart" uri="{C3380CC4-5D6E-409C-BE32-E72D297353CC}">
                <c16:uniqueId val="{00000001-8D15-4A19-9BFB-A2AC408963A5}"/>
              </c:ext>
            </c:extLst>
          </c:dPt>
          <c:dPt>
            <c:idx val="1"/>
            <c:invertIfNegative val="0"/>
            <c:bubble3D val="0"/>
            <c:spPr>
              <a:solidFill>
                <a:srgbClr val="92D050"/>
              </a:solidFill>
              <a:ln>
                <a:noFill/>
              </a:ln>
              <a:effectLst/>
            </c:spPr>
            <c:extLst>
              <c:ext xmlns:c16="http://schemas.microsoft.com/office/drawing/2014/chart" uri="{C3380CC4-5D6E-409C-BE32-E72D297353CC}">
                <c16:uniqueId val="{00000003-8D15-4A19-9BFB-A2AC408963A5}"/>
              </c:ext>
            </c:extLst>
          </c:dPt>
          <c:dPt>
            <c:idx val="2"/>
            <c:invertIfNegative val="0"/>
            <c:bubble3D val="0"/>
            <c:spPr>
              <a:solidFill>
                <a:srgbClr val="9966FF"/>
              </a:solidFill>
              <a:ln>
                <a:noFill/>
              </a:ln>
              <a:effectLst/>
            </c:spPr>
            <c:extLst>
              <c:ext xmlns:c16="http://schemas.microsoft.com/office/drawing/2014/chart" uri="{C3380CC4-5D6E-409C-BE32-E72D297353CC}">
                <c16:uniqueId val="{00000005-8D15-4A19-9BFB-A2AC408963A5}"/>
              </c:ext>
            </c:extLst>
          </c:dPt>
          <c:dPt>
            <c:idx val="3"/>
            <c:invertIfNegative val="0"/>
            <c:bubble3D val="0"/>
            <c:spPr>
              <a:solidFill>
                <a:schemeClr val="accent5">
                  <a:lumMod val="75000"/>
                </a:schemeClr>
              </a:solidFill>
              <a:ln>
                <a:noFill/>
              </a:ln>
              <a:effectLst/>
            </c:spPr>
            <c:extLst>
              <c:ext xmlns:c16="http://schemas.microsoft.com/office/drawing/2014/chart" uri="{C3380CC4-5D6E-409C-BE32-E72D297353CC}">
                <c16:uniqueId val="{00000007-8D15-4A19-9BFB-A2AC408963A5}"/>
              </c:ext>
            </c:extLst>
          </c:dPt>
          <c:dPt>
            <c:idx val="4"/>
            <c:invertIfNegative val="0"/>
            <c:bubble3D val="0"/>
            <c:spPr>
              <a:solidFill>
                <a:schemeClr val="accent4">
                  <a:lumMod val="40000"/>
                  <a:lumOff val="60000"/>
                </a:schemeClr>
              </a:solidFill>
              <a:ln>
                <a:noFill/>
              </a:ln>
              <a:effectLst/>
            </c:spPr>
            <c:extLst>
              <c:ext xmlns:c16="http://schemas.microsoft.com/office/drawing/2014/chart" uri="{C3380CC4-5D6E-409C-BE32-E72D297353CC}">
                <c16:uniqueId val="{00000009-8D15-4A19-9BFB-A2AC408963A5}"/>
              </c:ext>
            </c:extLst>
          </c:dPt>
          <c:dLbls>
            <c:dLbl>
              <c:idx val="2"/>
              <c:layout>
                <c:manualLayout>
                  <c:x val="0"/>
                  <c:y val="-7.407407407407415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D15-4A19-9BFB-A2AC408963A5}"/>
                </c:ext>
              </c:extLst>
            </c:dLbl>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 and Charts'!$E$4:$E$8</c:f>
              <c:strCache>
                <c:ptCount val="5"/>
                <c:pt idx="0">
                  <c:v>Public Space</c:v>
                </c:pt>
                <c:pt idx="1">
                  <c:v>Greenery</c:v>
                </c:pt>
                <c:pt idx="2">
                  <c:v>Mobility</c:v>
                </c:pt>
                <c:pt idx="3">
                  <c:v>Water</c:v>
                </c:pt>
                <c:pt idx="4">
                  <c:v>Energy</c:v>
                </c:pt>
              </c:strCache>
            </c:strRef>
          </c:cat>
          <c:val>
            <c:numRef>
              <c:f>'Graphs and Charts'!$F$4:$F$8</c:f>
              <c:numCache>
                <c:formatCode>_(* #,##0.00_);_(* \(#,##0.00\);_(* "-"??_);_(@_)</c:formatCode>
                <c:ptCount val="5"/>
                <c:pt idx="0">
                  <c:v>697687.02455589583</c:v>
                </c:pt>
                <c:pt idx="1">
                  <c:v>759307.08212070598</c:v>
                </c:pt>
                <c:pt idx="2">
                  <c:v>87210000.000000015</c:v>
                </c:pt>
                <c:pt idx="3">
                  <c:v>1158779.7261890499</c:v>
                </c:pt>
                <c:pt idx="4">
                  <c:v>4293234.7031963468</c:v>
                </c:pt>
              </c:numCache>
            </c:numRef>
          </c:val>
          <c:extLst>
            <c:ext xmlns:c16="http://schemas.microsoft.com/office/drawing/2014/chart" uri="{C3380CC4-5D6E-409C-BE32-E72D297353CC}">
              <c16:uniqueId val="{0000000A-8D15-4A19-9BFB-A2AC408963A5}"/>
            </c:ext>
          </c:extLst>
        </c:ser>
        <c:dLbls>
          <c:showLegendKey val="0"/>
          <c:showVal val="0"/>
          <c:showCatName val="0"/>
          <c:showSerName val="0"/>
          <c:showPercent val="0"/>
          <c:showBubbleSize val="0"/>
        </c:dLbls>
        <c:gapWidth val="182"/>
        <c:axId val="617713791"/>
        <c:axId val="928197535"/>
      </c:barChart>
      <c:catAx>
        <c:axId val="61771379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28197535"/>
        <c:crosses val="autoZero"/>
        <c:auto val="1"/>
        <c:lblAlgn val="ctr"/>
        <c:lblOffset val="100"/>
        <c:noMultiLvlLbl val="0"/>
      </c:catAx>
      <c:valAx>
        <c:axId val="928197535"/>
        <c:scaling>
          <c:orientation val="minMax"/>
        </c:scaling>
        <c:delete val="1"/>
        <c:axPos val="b"/>
        <c:numFmt formatCode="_(* #,##0.00_);_(* \(#,##0.00\);_(* &quot;-&quot;??_);_(@_)" sourceLinked="1"/>
        <c:majorTickMark val="none"/>
        <c:minorTickMark val="none"/>
        <c:tickLblPos val="nextTo"/>
        <c:crossAx val="6177137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Investment Cost</a:t>
            </a:r>
            <a:r>
              <a:rPr lang="en-US" sz="1200" baseline="0">
                <a:latin typeface="Times New Roman" panose="02020603050405020304" pitchFamily="18" charset="0"/>
                <a:cs typeface="Times New Roman" panose="02020603050405020304" pitchFamily="18" charset="0"/>
              </a:rPr>
              <a:t> Composition</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spPr>
            <a:solidFill>
              <a:schemeClr val="accent1"/>
            </a:solidFill>
            <a:ln w="19050">
              <a:solidFill>
                <a:schemeClr val="lt1"/>
              </a:solidFill>
            </a:ln>
            <a:effectLst/>
          </c:spPr>
          <c:invertIfNegative val="0"/>
          <c:dPt>
            <c:idx val="0"/>
            <c:invertIfNegative val="0"/>
            <c:bubble3D val="0"/>
            <c:spPr>
              <a:solidFill>
                <a:schemeClr val="accent2">
                  <a:lumMod val="40000"/>
                  <a:lumOff val="60000"/>
                </a:schemeClr>
              </a:solidFill>
              <a:ln w="19050">
                <a:solidFill>
                  <a:schemeClr val="lt1"/>
                </a:solidFill>
              </a:ln>
              <a:effectLst/>
            </c:spPr>
            <c:extLst>
              <c:ext xmlns:c16="http://schemas.microsoft.com/office/drawing/2014/chart" uri="{C3380CC4-5D6E-409C-BE32-E72D297353CC}">
                <c16:uniqueId val="{00000001-8E1C-4010-9541-D8EA87D6D5A0}"/>
              </c:ext>
            </c:extLst>
          </c:dPt>
          <c:dPt>
            <c:idx val="1"/>
            <c:invertIfNegative val="0"/>
            <c:bubble3D val="0"/>
            <c:spPr>
              <a:solidFill>
                <a:srgbClr val="92D050"/>
              </a:solidFill>
              <a:ln w="19050">
                <a:solidFill>
                  <a:schemeClr val="lt1"/>
                </a:solidFill>
              </a:ln>
              <a:effectLst/>
            </c:spPr>
            <c:extLst>
              <c:ext xmlns:c16="http://schemas.microsoft.com/office/drawing/2014/chart" uri="{C3380CC4-5D6E-409C-BE32-E72D297353CC}">
                <c16:uniqueId val="{00000003-8E1C-4010-9541-D8EA87D6D5A0}"/>
              </c:ext>
            </c:extLst>
          </c:dPt>
          <c:dPt>
            <c:idx val="2"/>
            <c:invertIfNegative val="0"/>
            <c:bubble3D val="0"/>
            <c:spPr>
              <a:solidFill>
                <a:srgbClr val="9966FF"/>
              </a:solidFill>
              <a:ln w="19050">
                <a:solidFill>
                  <a:schemeClr val="lt1"/>
                </a:solidFill>
              </a:ln>
              <a:effectLst/>
            </c:spPr>
            <c:extLst>
              <c:ext xmlns:c16="http://schemas.microsoft.com/office/drawing/2014/chart" uri="{C3380CC4-5D6E-409C-BE32-E72D297353CC}">
                <c16:uniqueId val="{00000005-8E1C-4010-9541-D8EA87D6D5A0}"/>
              </c:ext>
            </c:extLst>
          </c:dPt>
          <c:dPt>
            <c:idx val="3"/>
            <c:invertIfNegative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7-8E1C-4010-9541-D8EA87D6D5A0}"/>
              </c:ext>
            </c:extLst>
          </c:dPt>
          <c:dPt>
            <c:idx val="4"/>
            <c:invertIfNegative val="0"/>
            <c:bubble3D val="0"/>
            <c:spPr>
              <a:solidFill>
                <a:schemeClr val="accent4">
                  <a:lumMod val="40000"/>
                  <a:lumOff val="60000"/>
                </a:schemeClr>
              </a:solidFill>
              <a:ln w="19050">
                <a:solidFill>
                  <a:schemeClr val="lt1"/>
                </a:solidFill>
              </a:ln>
              <a:effectLst/>
            </c:spPr>
            <c:extLst>
              <c:ext xmlns:c16="http://schemas.microsoft.com/office/drawing/2014/chart" uri="{C3380CC4-5D6E-409C-BE32-E72D297353CC}">
                <c16:uniqueId val="{00000009-8E1C-4010-9541-D8EA87D6D5A0}"/>
              </c:ext>
            </c:extLst>
          </c:dPt>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 and Charts'!$B$4:$B$8</c:f>
              <c:strCache>
                <c:ptCount val="5"/>
                <c:pt idx="0">
                  <c:v>Public Space</c:v>
                </c:pt>
                <c:pt idx="1">
                  <c:v>Greenery</c:v>
                </c:pt>
                <c:pt idx="2">
                  <c:v>Mobility</c:v>
                </c:pt>
                <c:pt idx="3">
                  <c:v>Water</c:v>
                </c:pt>
                <c:pt idx="4">
                  <c:v>Energy</c:v>
                </c:pt>
              </c:strCache>
            </c:strRef>
          </c:cat>
          <c:val>
            <c:numRef>
              <c:f>'Graphs and Charts'!$C$4:$C$8</c:f>
              <c:numCache>
                <c:formatCode>_(* #,##0.00_);_(* \(#,##0.00\);_(* "-"??_);_(@_)</c:formatCode>
                <c:ptCount val="5"/>
                <c:pt idx="0">
                  <c:v>54048920.287923209</c:v>
                </c:pt>
                <c:pt idx="1">
                  <c:v>24293849.862258956</c:v>
                </c:pt>
                <c:pt idx="2">
                  <c:v>243937128.61143363</c:v>
                </c:pt>
                <c:pt idx="3">
                  <c:v>24439656.088534404</c:v>
                </c:pt>
                <c:pt idx="4">
                  <c:v>589610771.47200119</c:v>
                </c:pt>
              </c:numCache>
            </c:numRef>
          </c:val>
          <c:extLst>
            <c:ext xmlns:c16="http://schemas.microsoft.com/office/drawing/2014/chart" uri="{C3380CC4-5D6E-409C-BE32-E72D297353CC}">
              <c16:uniqueId val="{0000000A-8E1C-4010-9541-D8EA87D6D5A0}"/>
            </c:ext>
          </c:extLst>
        </c:ser>
        <c:dLbls>
          <c:showLegendKey val="0"/>
          <c:showVal val="0"/>
          <c:showCatName val="0"/>
          <c:showSerName val="0"/>
          <c:showPercent val="0"/>
          <c:showBubbleSize val="0"/>
        </c:dLbls>
        <c:gapWidth val="150"/>
        <c:axId val="648057679"/>
        <c:axId val="1109056895"/>
      </c:barChart>
      <c:valAx>
        <c:axId val="1109056895"/>
        <c:scaling>
          <c:orientation val="minMax"/>
        </c:scaling>
        <c:delete val="1"/>
        <c:axPos val="b"/>
        <c:numFmt formatCode="_(* #,##0.00_);_(* \(#,##0.00\);_(* &quot;-&quot;??_);_(@_)" sourceLinked="1"/>
        <c:majorTickMark val="out"/>
        <c:minorTickMark val="none"/>
        <c:tickLblPos val="nextTo"/>
        <c:crossAx val="648057679"/>
        <c:crosses val="autoZero"/>
        <c:crossBetween val="between"/>
      </c:valAx>
      <c:catAx>
        <c:axId val="648057679"/>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109056895"/>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2478068530597096E-2"/>
          <c:y val="5.3718088055894425E-2"/>
          <c:w val="0.78524856655485265"/>
          <c:h val="0.83642320062104913"/>
        </c:manualLayout>
      </c:layout>
      <c:barChart>
        <c:barDir val="col"/>
        <c:grouping val="stacked"/>
        <c:varyColors val="0"/>
        <c:ser>
          <c:idx val="0"/>
          <c:order val="0"/>
          <c:tx>
            <c:strRef>
              <c:f>'Charts 2'!$B$19</c:f>
              <c:strCache>
                <c:ptCount val="1"/>
                <c:pt idx="0">
                  <c:v>Cost Saving</c:v>
                </c:pt>
              </c:strCache>
            </c:strRef>
          </c:tx>
          <c:spPr>
            <a:solidFill>
              <a:schemeClr val="accent5">
                <a:lumMod val="75000"/>
              </a:schemeClr>
            </a:solidFill>
          </c:spPr>
          <c:invertIfNegative val="0"/>
          <c:dLbls>
            <c:dLbl>
              <c:idx val="0"/>
              <c:layout>
                <c:manualLayout>
                  <c:x val="-2.1406400513753611E-3"/>
                  <c:y val="-0.35166850470821409"/>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154-9A43-9B17-22F9C80CBD6B}"/>
                </c:ext>
              </c:extLst>
            </c:dLbl>
            <c:dLbl>
              <c:idx val="1"/>
              <c:layout>
                <c:manualLayout>
                  <c:x val="6.4219201541260762E-2"/>
                  <c:y val="-1.3541764674126803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154-9A43-9B17-22F9C80CBD6B}"/>
                </c:ext>
              </c:extLst>
            </c:dLbl>
            <c:dLbl>
              <c:idx val="2"/>
              <c:delete val="1"/>
              <c:extLst>
                <c:ext xmlns:c15="http://schemas.microsoft.com/office/drawing/2012/chart" uri="{CE6537A1-D6FC-4f65-9D91-7224C49458BB}"/>
                <c:ext xmlns:c16="http://schemas.microsoft.com/office/drawing/2014/chart" uri="{C3380CC4-5D6E-409C-BE32-E72D297353CC}">
                  <c16:uniqueId val="{00000005-E154-9A43-9B17-22F9C80CBD6B}"/>
                </c:ext>
              </c:extLst>
            </c:dLbl>
            <c:dLbl>
              <c:idx val="3"/>
              <c:layout>
                <c:manualLayout>
                  <c:x val="6.4219201541260831E-2"/>
                  <c:y val="-1.9655579291570087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154-9A43-9B17-22F9C80CBD6B}"/>
                </c:ext>
              </c:extLst>
            </c:dLbl>
            <c:dLbl>
              <c:idx val="4"/>
              <c:layout>
                <c:manualLayout>
                  <c:x val="0"/>
                  <c:y val="-5.8235942838193361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E154-9A43-9B17-22F9C80CBD6B}"/>
                </c:ext>
              </c:extLst>
            </c:dLbl>
            <c:spPr>
              <a:noFill/>
              <a:ln>
                <a:noFill/>
              </a:ln>
              <a:effectLst/>
            </c:sp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'Charts 2'!$A$20:$A$24</c:f>
              <c:strCache>
                <c:ptCount val="5"/>
                <c:pt idx="0">
                  <c:v>Energy</c:v>
                </c:pt>
                <c:pt idx="1">
                  <c:v>Mobility</c:v>
                </c:pt>
                <c:pt idx="2">
                  <c:v>Public Space</c:v>
                </c:pt>
                <c:pt idx="3">
                  <c:v>Greenery</c:v>
                </c:pt>
                <c:pt idx="4">
                  <c:v>Water</c:v>
                </c:pt>
              </c:strCache>
            </c:strRef>
          </c:cat>
          <c:val>
            <c:numRef>
              <c:f>'Charts 2'!$B$20:$B$24</c:f>
              <c:numCache>
                <c:formatCode>_("$"* #,##0_);_("$"* \(#,##0\);_("$"* "-"??_);_(@_)</c:formatCode>
                <c:ptCount val="5"/>
                <c:pt idx="0">
                  <c:v>112.94840514000001</c:v>
                </c:pt>
                <c:pt idx="1">
                  <c:v>3.912431394576402</c:v>
                </c:pt>
                <c:pt idx="2">
                  <c:v>0</c:v>
                </c:pt>
                <c:pt idx="3">
                  <c:v>1.1789407525158295</c:v>
                </c:pt>
                <c:pt idx="4">
                  <c:v>6.61092192</c:v>
                </c:pt>
              </c:numCache>
            </c:numRef>
          </c:val>
          <c:extLst>
            <c:ext xmlns:c16="http://schemas.microsoft.com/office/drawing/2014/chart" uri="{C3380CC4-5D6E-409C-BE32-E72D297353CC}">
              <c16:uniqueId val="{00000000-E154-9A43-9B17-22F9C80CBD6B}"/>
            </c:ext>
          </c:extLst>
        </c:ser>
        <c:ser>
          <c:idx val="1"/>
          <c:order val="1"/>
          <c:tx>
            <c:strRef>
              <c:f>'Charts 2'!$C$19</c:f>
              <c:strCache>
                <c:ptCount val="1"/>
                <c:pt idx="0">
                  <c:v>Increased Income</c:v>
                </c:pt>
              </c:strCache>
            </c:strRef>
          </c:tx>
          <c:spPr>
            <a:solidFill>
              <a:schemeClr val="accent1">
                <a:lumMod val="40000"/>
                <a:lumOff val="60000"/>
              </a:schemeClr>
            </a:solidFill>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3-E154-9A43-9B17-22F9C80CBD6B}"/>
                </c:ext>
              </c:extLst>
            </c:dLbl>
            <c:dLbl>
              <c:idx val="4"/>
              <c:delete val="1"/>
              <c:extLst>
                <c:ext xmlns:c15="http://schemas.microsoft.com/office/drawing/2012/chart" uri="{CE6537A1-D6FC-4f65-9D91-7224C49458BB}"/>
                <c:ext xmlns:c16="http://schemas.microsoft.com/office/drawing/2014/chart" uri="{C3380CC4-5D6E-409C-BE32-E72D297353CC}">
                  <c16:uniqueId val="{00000007-E154-9A43-9B17-22F9C80CBD6B}"/>
                </c:ext>
              </c:extLst>
            </c:dLbl>
            <c:spPr>
              <a:noFill/>
              <a:ln>
                <a:noFill/>
              </a:ln>
              <a:effectLst/>
            </c:spPr>
            <c:dLblPos val="in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'Charts 2'!$A$20:$A$24</c:f>
              <c:strCache>
                <c:ptCount val="5"/>
                <c:pt idx="0">
                  <c:v>Energy</c:v>
                </c:pt>
                <c:pt idx="1">
                  <c:v>Mobility</c:v>
                </c:pt>
                <c:pt idx="2">
                  <c:v>Public Space</c:v>
                </c:pt>
                <c:pt idx="3">
                  <c:v>Greenery</c:v>
                </c:pt>
                <c:pt idx="4">
                  <c:v>Water</c:v>
                </c:pt>
              </c:strCache>
            </c:strRef>
          </c:cat>
          <c:val>
            <c:numRef>
              <c:f>'Charts 2'!$C$20:$C$24</c:f>
              <c:numCache>
                <c:formatCode>_("$"* #,##0_);_("$"* \(#,##0\);_("$"* "-"??_);_(@_)</c:formatCode>
                <c:ptCount val="5"/>
                <c:pt idx="0">
                  <c:v>0</c:v>
                </c:pt>
                <c:pt idx="1">
                  <c:v>69.382554054147747</c:v>
                </c:pt>
                <c:pt idx="2">
                  <c:v>28.31676121083331</c:v>
                </c:pt>
                <c:pt idx="3">
                  <c:v>18.761329714297784</c:v>
                </c:pt>
                <c:pt idx="4">
                  <c:v>0</c:v>
                </c:pt>
              </c:numCache>
            </c:numRef>
          </c:val>
          <c:extLst>
            <c:ext xmlns:c16="http://schemas.microsoft.com/office/drawing/2014/chart" uri="{C3380CC4-5D6E-409C-BE32-E72D297353CC}">
              <c16:uniqueId val="{00000001-E154-9A43-9B17-22F9C80CBD6B}"/>
            </c:ext>
          </c:extLst>
        </c:ser>
        <c:dLbls>
          <c:showLegendKey val="0"/>
          <c:showVal val="0"/>
          <c:showCatName val="0"/>
          <c:showSerName val="0"/>
          <c:showPercent val="0"/>
          <c:showBubbleSize val="0"/>
        </c:dLbls>
        <c:gapWidth val="100"/>
        <c:overlap val="100"/>
        <c:axId val="49882288"/>
        <c:axId val="49899680"/>
      </c:barChart>
      <c:catAx>
        <c:axId val="49882288"/>
        <c:scaling>
          <c:orientation val="minMax"/>
        </c:scaling>
        <c:delete val="0"/>
        <c:axPos val="b"/>
        <c:numFmt formatCode="General" sourceLinked="1"/>
        <c:majorTickMark val="out"/>
        <c:minorTickMark val="none"/>
        <c:tickLblPos val="nextTo"/>
        <c:crossAx val="49899680"/>
        <c:crosses val="autoZero"/>
        <c:auto val="1"/>
        <c:lblAlgn val="ctr"/>
        <c:lblOffset val="100"/>
        <c:noMultiLvlLbl val="0"/>
      </c:catAx>
      <c:valAx>
        <c:axId val="49899680"/>
        <c:scaling>
          <c:orientation val="minMax"/>
        </c:scaling>
        <c:delete val="0"/>
        <c:axPos val="l"/>
        <c:majorGridlines/>
        <c:numFmt formatCode="_(&quot;$&quot;* #,##0_);_(&quot;$&quot;* \(#,##0\);_(&quot;$&quot;* &quot;-&quot;_);_(@_)" sourceLinked="0"/>
        <c:majorTickMark val="out"/>
        <c:minorTickMark val="none"/>
        <c:tickLblPos val="nextTo"/>
        <c:crossAx val="49882288"/>
        <c:crosses val="autoZero"/>
        <c:crossBetween val="between"/>
      </c:valAx>
    </c:plotArea>
    <c:legend>
      <c:legendPos val="r"/>
      <c:layout>
        <c:manualLayout>
          <c:xMode val="edge"/>
          <c:yMode val="edge"/>
          <c:x val="0.88349902456666174"/>
          <c:y val="0.29643748987791807"/>
          <c:w val="9.5752130766734431E-2"/>
          <c:h val="0.32485242968527073"/>
        </c:manualLayout>
      </c:layout>
      <c:overlay val="0"/>
      <c:spPr>
        <a:noFill/>
        <a:ln>
          <a:noFill/>
        </a:ln>
        <a:effectLst/>
      </c:spPr>
      <c:txPr>
        <a:bodyPr rot="0" vert="horz"/>
        <a:lstStyle/>
        <a:p>
          <a:pPr>
            <a:defRPr/>
          </a:pPr>
          <a:endParaRPr lang="en-US"/>
        </a:p>
      </c:txPr>
    </c:legend>
    <c:plotVisOnly val="1"/>
    <c:dispBlanksAs val="gap"/>
    <c:showDLblsOverMax val="0"/>
    <c:extLst/>
  </c:chart>
  <c:txPr>
    <a:bodyPr/>
    <a:lstStyle/>
    <a:p>
      <a:pPr>
        <a:defRPr sz="10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pieChart>
        <c:varyColors val="1"/>
        <c:ser>
          <c:idx val="3"/>
          <c:order val="0"/>
          <c:tx>
            <c:strRef>
              <c:f>'Charts 2'!$A$13</c:f>
              <c:strCache>
                <c:ptCount val="1"/>
                <c:pt idx="0">
                  <c:v>Net Benefit</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5275-054A-83E5-31445228FDAC}"/>
              </c:ext>
            </c:extLst>
          </c:dPt>
          <c:dPt>
            <c:idx val="1"/>
            <c:bubble3D val="0"/>
            <c:spPr>
              <a:solidFill>
                <a:schemeClr val="accent2">
                  <a:lumMod val="40000"/>
                  <a:lumOff val="60000"/>
                </a:schemeClr>
              </a:solidFill>
              <a:ln w="19050">
                <a:solidFill>
                  <a:schemeClr val="lt1"/>
                </a:solidFill>
              </a:ln>
              <a:effectLst/>
            </c:spPr>
            <c:extLst>
              <c:ext xmlns:c16="http://schemas.microsoft.com/office/drawing/2014/chart" uri="{C3380CC4-5D6E-409C-BE32-E72D297353CC}">
                <c16:uniqueId val="{00000003-5275-054A-83E5-31445228FDAC}"/>
              </c:ext>
            </c:extLst>
          </c:dPt>
          <c:dPt>
            <c:idx val="2"/>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05-5275-054A-83E5-31445228FDA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275-054A-83E5-31445228FDAC}"/>
              </c:ext>
            </c:extLst>
          </c:dPt>
          <c:dPt>
            <c:idx val="4"/>
            <c:bubble3D val="0"/>
            <c:spPr>
              <a:solidFill>
                <a:srgbClr val="A901FF"/>
              </a:solidFill>
              <a:ln w="19050">
                <a:solidFill>
                  <a:schemeClr val="lt1"/>
                </a:solidFill>
              </a:ln>
              <a:effectLst/>
            </c:spPr>
            <c:extLst>
              <c:ext xmlns:c16="http://schemas.microsoft.com/office/drawing/2014/chart" uri="{C3380CC4-5D6E-409C-BE32-E72D297353CC}">
                <c16:uniqueId val="{00000009-5275-054A-83E5-31445228FDAC}"/>
              </c:ext>
            </c:extLst>
          </c:dPt>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0"/>
            <c:showSerName val="0"/>
            <c:showPercent val="1"/>
            <c:showBubbleSize val="0"/>
            <c:showLeaderLines val="0"/>
            <c:extLst>
              <c:ext xmlns:c15="http://schemas.microsoft.com/office/drawing/2012/chart" uri="{CE6537A1-D6FC-4f65-9D91-7224C49458BB}"/>
            </c:extLst>
          </c:dLbls>
          <c:cat>
            <c:strRef>
              <c:f>'Charts 2'!$B$9:$F$9</c:f>
              <c:strCache>
                <c:ptCount val="5"/>
                <c:pt idx="0">
                  <c:v>Greenery</c:v>
                </c:pt>
                <c:pt idx="1">
                  <c:v>Public Space</c:v>
                </c:pt>
                <c:pt idx="2">
                  <c:v>Water</c:v>
                </c:pt>
                <c:pt idx="3">
                  <c:v>Energy</c:v>
                </c:pt>
                <c:pt idx="4">
                  <c:v>Mobility</c:v>
                </c:pt>
              </c:strCache>
            </c:strRef>
          </c:cat>
          <c:val>
            <c:numRef>
              <c:f>'Charts 2'!$B$13:$F$13</c:f>
              <c:numCache>
                <c:formatCode>_(* #,##0.00_);_(* \(#,##0.00\);_(* "-"??_);_(@_)</c:formatCode>
                <c:ptCount val="5"/>
                <c:pt idx="0">
                  <c:v>208513560.31408715</c:v>
                </c:pt>
                <c:pt idx="1">
                  <c:v>300243078.28852087</c:v>
                </c:pt>
                <c:pt idx="2">
                  <c:v>59269472.412288867</c:v>
                </c:pt>
                <c:pt idx="3">
                  <c:v>719913241.61521077</c:v>
                </c:pt>
                <c:pt idx="4">
                  <c:v>-124834265.23691428</c:v>
                </c:pt>
              </c:numCache>
            </c:numRef>
          </c:val>
          <c:extLst>
            <c:ext xmlns:c16="http://schemas.microsoft.com/office/drawing/2014/chart" uri="{C3380CC4-5D6E-409C-BE32-E72D297353CC}">
              <c16:uniqueId val="{0000000A-5275-054A-83E5-31445228FDAC}"/>
            </c:ext>
          </c:extLst>
        </c:ser>
        <c:dLbls>
          <c:showLegendKey val="0"/>
          <c:showVal val="0"/>
          <c:showCatName val="0"/>
          <c:showSerName val="0"/>
          <c:showPercent val="0"/>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2982385535141443"/>
          <c:y val="7.440476190476190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pieChart>
        <c:varyColors val="1"/>
        <c:ser>
          <c:idx val="4"/>
          <c:order val="0"/>
          <c:tx>
            <c:strRef>
              <c:f>'Charts 2'!$A$14</c:f>
              <c:strCache>
                <c:ptCount val="1"/>
                <c:pt idx="0">
                  <c:v>SROI</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4A8F-FE4D-8328-299E2564019B}"/>
              </c:ext>
            </c:extLst>
          </c:dPt>
          <c:dPt>
            <c:idx val="1"/>
            <c:bubble3D val="0"/>
            <c:spPr>
              <a:solidFill>
                <a:schemeClr val="accent2">
                  <a:lumMod val="40000"/>
                  <a:lumOff val="60000"/>
                </a:schemeClr>
              </a:solidFill>
              <a:ln w="19050">
                <a:solidFill>
                  <a:schemeClr val="lt1"/>
                </a:solidFill>
              </a:ln>
              <a:effectLst/>
            </c:spPr>
            <c:extLst>
              <c:ext xmlns:c16="http://schemas.microsoft.com/office/drawing/2014/chart" uri="{C3380CC4-5D6E-409C-BE32-E72D297353CC}">
                <c16:uniqueId val="{00000003-4A8F-FE4D-8328-299E2564019B}"/>
              </c:ext>
            </c:extLst>
          </c:dPt>
          <c:dPt>
            <c:idx val="2"/>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05-4A8F-FE4D-8328-299E2564019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A8F-FE4D-8328-299E2564019B}"/>
              </c:ext>
            </c:extLst>
          </c:dPt>
          <c:dPt>
            <c:idx val="4"/>
            <c:bubble3D val="0"/>
            <c:spPr>
              <a:solidFill>
                <a:srgbClr val="A901FF"/>
              </a:solidFill>
              <a:ln w="19050">
                <a:solidFill>
                  <a:schemeClr val="lt1"/>
                </a:solidFill>
              </a:ln>
              <a:effectLst/>
            </c:spPr>
            <c:extLst>
              <c:ext xmlns:c16="http://schemas.microsoft.com/office/drawing/2014/chart" uri="{C3380CC4-5D6E-409C-BE32-E72D297353CC}">
                <c16:uniqueId val="{00000009-4A8F-FE4D-8328-299E2564019B}"/>
              </c:ext>
            </c:extLst>
          </c:dPt>
          <c:dLbls>
            <c:dLbl>
              <c:idx val="3"/>
              <c:showLegendKey val="0"/>
              <c:showVal val="1"/>
              <c:showCatName val="0"/>
              <c:showSerName val="0"/>
              <c:showPercent val="1"/>
              <c:showBubbleSize val="0"/>
              <c:extLst>
                <c:ext xmlns:c15="http://schemas.microsoft.com/office/drawing/2012/chart" uri="{CE6537A1-D6FC-4f65-9D91-7224C49458BB}">
                  <c15:layout>
                    <c:manualLayout>
                      <c:w val="0.18958333333333333"/>
                      <c:h val="0.11689814814814815"/>
                    </c:manualLayout>
                  </c15:layout>
                </c:ext>
                <c:ext xmlns:c16="http://schemas.microsoft.com/office/drawing/2014/chart" uri="{C3380CC4-5D6E-409C-BE32-E72D297353CC}">
                  <c16:uniqueId val="{00000007-4A8F-FE4D-8328-299E2564019B}"/>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'Charts 2'!$B$9:$F$9</c:f>
              <c:strCache>
                <c:ptCount val="5"/>
                <c:pt idx="0">
                  <c:v>Greenery</c:v>
                </c:pt>
                <c:pt idx="1">
                  <c:v>Public Space</c:v>
                </c:pt>
                <c:pt idx="2">
                  <c:v>Water</c:v>
                </c:pt>
                <c:pt idx="3">
                  <c:v>Energy</c:v>
                </c:pt>
                <c:pt idx="4">
                  <c:v>Mobility</c:v>
                </c:pt>
              </c:strCache>
            </c:strRef>
          </c:cat>
          <c:val>
            <c:numRef>
              <c:f>'Charts 2'!$B$14:$F$14</c:f>
              <c:numCache>
                <c:formatCode>_(* #,##0.00_);_(* \(#,##0.00\);_(* "-"??_);_(@_)</c:formatCode>
                <c:ptCount val="5"/>
                <c:pt idx="0">
                  <c:v>8.5829772348275561</c:v>
                </c:pt>
                <c:pt idx="1">
                  <c:v>5.5550245349786902</c:v>
                </c:pt>
                <c:pt idx="2">
                  <c:v>2.4251352882209538</c:v>
                </c:pt>
                <c:pt idx="3">
                  <c:v>1.2209974383912645</c:v>
                </c:pt>
                <c:pt idx="4">
                  <c:v>-0.5117477029737536</c:v>
                </c:pt>
              </c:numCache>
            </c:numRef>
          </c:val>
          <c:extLst>
            <c:ext xmlns:c16="http://schemas.microsoft.com/office/drawing/2014/chart" uri="{C3380CC4-5D6E-409C-BE32-E72D297353CC}">
              <c16:uniqueId val="{0000000A-4A8F-FE4D-8328-299E2564019B}"/>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t>SROI Sensitivity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noFill/>
            <a:ln>
              <a:noFill/>
            </a:ln>
            <a:effectLst/>
          </c:spPr>
          <c:invertIfNegative val="0"/>
          <c:dLbls>
            <c:spPr>
              <a:noFill/>
              <a:ln>
                <a:noFill/>
              </a:ln>
              <a:effectLst/>
            </c:spPr>
            <c:txPr>
              <a:bodyPr rot="0" spcFirstLastPara="1" vertOverflow="ellipsis" vert="horz" wrap="square" anchor="ctr" anchorCtr="1"/>
              <a:lstStyle/>
              <a:p>
                <a:pPr>
                  <a:defRPr sz="11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Sensitivity!$E$5:$E$11</c:f>
              <c:strCache>
                <c:ptCount val="7"/>
                <c:pt idx="0">
                  <c:v>Cost of Capital</c:v>
                </c:pt>
                <c:pt idx="1">
                  <c:v>Public Space Participation</c:v>
                </c:pt>
                <c:pt idx="2">
                  <c:v>Greenery Participation</c:v>
                </c:pt>
                <c:pt idx="3">
                  <c:v>Monorail Maintenance</c:v>
                </c:pt>
                <c:pt idx="4">
                  <c:v>Solar PV Investment</c:v>
                </c:pt>
                <c:pt idx="5">
                  <c:v>Public Space Investment</c:v>
                </c:pt>
                <c:pt idx="6">
                  <c:v>Greenery Investment</c:v>
                </c:pt>
              </c:strCache>
            </c:strRef>
          </c:cat>
          <c:val>
            <c:numRef>
              <c:f>Sensitivity!$F$5:$F$11</c:f>
              <c:numCache>
                <c:formatCode>0.00</c:formatCode>
                <c:ptCount val="7"/>
                <c:pt idx="0">
                  <c:v>1.723236997307066</c:v>
                </c:pt>
                <c:pt idx="1">
                  <c:v>2.5122389136068741</c:v>
                </c:pt>
                <c:pt idx="2">
                  <c:v>2.5438842196445823</c:v>
                </c:pt>
                <c:pt idx="3">
                  <c:v>2.3044923449823078</c:v>
                </c:pt>
                <c:pt idx="4">
                  <c:v>2.3941584333872892</c:v>
                </c:pt>
                <c:pt idx="5">
                  <c:v>2.6124446062403557</c:v>
                </c:pt>
                <c:pt idx="6">
                  <c:v>2.6311887218188774</c:v>
                </c:pt>
              </c:numCache>
            </c:numRef>
          </c:val>
          <c:extLst>
            <c:ext xmlns:c16="http://schemas.microsoft.com/office/drawing/2014/chart" uri="{C3380CC4-5D6E-409C-BE32-E72D297353CC}">
              <c16:uniqueId val="{00000000-41F6-1A42-A0E9-7A9815B1F364}"/>
            </c:ext>
          </c:extLst>
        </c:ser>
        <c:ser>
          <c:idx val="1"/>
          <c:order val="1"/>
          <c:spPr>
            <a:solidFill>
              <a:srgbClr val="00B050"/>
            </a:solidFill>
            <a:ln>
              <a:solidFill>
                <a:srgbClr val="00B050"/>
              </a:solidFill>
            </a:ln>
            <a:effectLst/>
          </c:spPr>
          <c:invertIfNegative val="0"/>
          <c:cat>
            <c:strRef>
              <c:f>Sensitivity!$E$5:$E$11</c:f>
              <c:strCache>
                <c:ptCount val="7"/>
                <c:pt idx="0">
                  <c:v>Cost of Capital</c:v>
                </c:pt>
                <c:pt idx="1">
                  <c:v>Public Space Participation</c:v>
                </c:pt>
                <c:pt idx="2">
                  <c:v>Greenery Participation</c:v>
                </c:pt>
                <c:pt idx="3">
                  <c:v>Monorail Maintenance</c:v>
                </c:pt>
                <c:pt idx="4">
                  <c:v>Solar PV Investment</c:v>
                </c:pt>
                <c:pt idx="5">
                  <c:v>Public Space Investment</c:v>
                </c:pt>
                <c:pt idx="6">
                  <c:v>Greenery Investment</c:v>
                </c:pt>
              </c:strCache>
            </c:strRef>
          </c:cat>
          <c:val>
            <c:numRef>
              <c:f>Sensitivity!$G$5:$G$11</c:f>
              <c:numCache>
                <c:formatCode>0.00</c:formatCode>
                <c:ptCount val="7"/>
                <c:pt idx="0">
                  <c:v>4.649027465189369</c:v>
                </c:pt>
                <c:pt idx="1">
                  <c:v>0.26890854915966056</c:v>
                </c:pt>
                <c:pt idx="2">
                  <c:v>0.20561793708424503</c:v>
                </c:pt>
                <c:pt idx="3">
                  <c:v>0.68440168640879362</c:v>
                </c:pt>
                <c:pt idx="4">
                  <c:v>0.56462600686697151</c:v>
                </c:pt>
                <c:pt idx="5">
                  <c:v>6.9407075593967971E-2</c:v>
                </c:pt>
                <c:pt idx="6">
                  <c:v>3.1192738160067623E-2</c:v>
                </c:pt>
              </c:numCache>
            </c:numRef>
          </c:val>
          <c:extLst>
            <c:ext xmlns:c16="http://schemas.microsoft.com/office/drawing/2014/chart" uri="{C3380CC4-5D6E-409C-BE32-E72D297353CC}">
              <c16:uniqueId val="{00000001-41F6-1A42-A0E9-7A9815B1F364}"/>
            </c:ext>
          </c:extLst>
        </c:ser>
        <c:ser>
          <c:idx val="2"/>
          <c:order val="2"/>
          <c:spPr>
            <a:noFill/>
            <a:ln>
              <a:noFill/>
            </a:ln>
            <a:effectLst/>
          </c:spPr>
          <c:invertIfNegative val="0"/>
          <c:dLbls>
            <c:spPr>
              <a:noFill/>
              <a:ln>
                <a:noFill/>
              </a:ln>
              <a:effectLst/>
            </c:spPr>
            <c:txPr>
              <a:bodyPr rot="0" spcFirstLastPara="1" vertOverflow="ellipsis" vert="horz" wrap="square" anchor="ctr" anchorCtr="1"/>
              <a:lstStyle/>
              <a:p>
                <a:pPr>
                  <a:defRPr sz="1100" b="0" i="0" u="none" strike="noStrike" kern="1200" baseline="0">
                    <a:solidFill>
                      <a:schemeClr val="tx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Sensitivity!$E$5:$E$11</c:f>
              <c:strCache>
                <c:ptCount val="7"/>
                <c:pt idx="0">
                  <c:v>Cost of Capital</c:v>
                </c:pt>
                <c:pt idx="1">
                  <c:v>Public Space Participation</c:v>
                </c:pt>
                <c:pt idx="2">
                  <c:v>Greenery Participation</c:v>
                </c:pt>
                <c:pt idx="3">
                  <c:v>Monorail Maintenance</c:v>
                </c:pt>
                <c:pt idx="4">
                  <c:v>Solar PV Investment</c:v>
                </c:pt>
                <c:pt idx="5">
                  <c:v>Public Space Investment</c:v>
                </c:pt>
                <c:pt idx="6">
                  <c:v>Greenery Investment</c:v>
                </c:pt>
              </c:strCache>
            </c:strRef>
          </c:cat>
          <c:val>
            <c:numRef>
              <c:f>Sensitivity!$H$5:$H$11</c:f>
              <c:numCache>
                <c:formatCode>0.00</c:formatCode>
                <c:ptCount val="7"/>
                <c:pt idx="0">
                  <c:v>6.3722644624964353</c:v>
                </c:pt>
                <c:pt idx="1">
                  <c:v>2.7811474627665347</c:v>
                </c:pt>
                <c:pt idx="2">
                  <c:v>2.7495021567288274</c:v>
                </c:pt>
                <c:pt idx="3">
                  <c:v>2.9888940313911014</c:v>
                </c:pt>
                <c:pt idx="4">
                  <c:v>2.9587844402542607</c:v>
                </c:pt>
                <c:pt idx="5">
                  <c:v>2.6818516818343237</c:v>
                </c:pt>
                <c:pt idx="6">
                  <c:v>2.662381459978945</c:v>
                </c:pt>
              </c:numCache>
            </c:numRef>
          </c:val>
          <c:extLst>
            <c:ext xmlns:c16="http://schemas.microsoft.com/office/drawing/2014/chart" uri="{C3380CC4-5D6E-409C-BE32-E72D297353CC}">
              <c16:uniqueId val="{00000002-41F6-1A42-A0E9-7A9815B1F364}"/>
            </c:ext>
          </c:extLst>
        </c:ser>
        <c:dLbls>
          <c:showLegendKey val="0"/>
          <c:showVal val="0"/>
          <c:showCatName val="0"/>
          <c:showSerName val="0"/>
          <c:showPercent val="0"/>
          <c:showBubbleSize val="0"/>
        </c:dLbls>
        <c:gapWidth val="150"/>
        <c:overlap val="100"/>
        <c:axId val="1261666448"/>
        <c:axId val="1026165520"/>
      </c:barChart>
      <c:catAx>
        <c:axId val="126166644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026165520"/>
        <c:crosses val="autoZero"/>
        <c:auto val="1"/>
        <c:lblAlgn val="ctr"/>
        <c:lblOffset val="100"/>
        <c:noMultiLvlLbl val="0"/>
      </c:catAx>
      <c:valAx>
        <c:axId val="1026165520"/>
        <c:scaling>
          <c:orientation val="minMax"/>
          <c:max val="7"/>
        </c:scaling>
        <c:delete val="0"/>
        <c:axPos val="b"/>
        <c:numFmt formatCode="0.00" sourceLinked="1"/>
        <c:majorTickMark val="none"/>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261666448"/>
        <c:crosses val="max"/>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baseline="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48126-CFB1-9A45-A3EA-A71C9A314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9673</Words>
  <Characters>55142</Characters>
  <Application>Microsoft Office Word</Application>
  <DocSecurity>0</DocSecurity>
  <Lines>459</Lines>
  <Paragraphs>129</Paragraphs>
  <ScaleCrop>false</ScaleCrop>
  <Company/>
  <LinksUpToDate>false</LinksUpToDate>
  <CharactersWithSpaces>64686</CharactersWithSpaces>
  <SharedDoc>false</SharedDoc>
  <HLinks>
    <vt:vector size="264" baseType="variant">
      <vt:variant>
        <vt:i4>4849687</vt:i4>
      </vt:variant>
      <vt:variant>
        <vt:i4>210</vt:i4>
      </vt:variant>
      <vt:variant>
        <vt:i4>0</vt:i4>
      </vt:variant>
      <vt:variant>
        <vt:i4>5</vt:i4>
      </vt:variant>
      <vt:variant>
        <vt:lpwstr>https://doi.org/10.2339/politeknik.814239</vt:lpwstr>
      </vt:variant>
      <vt:variant>
        <vt:lpwstr/>
      </vt:variant>
      <vt:variant>
        <vt:i4>3997739</vt:i4>
      </vt:variant>
      <vt:variant>
        <vt:i4>207</vt:i4>
      </vt:variant>
      <vt:variant>
        <vt:i4>0</vt:i4>
      </vt:variant>
      <vt:variant>
        <vt:i4>5</vt:i4>
      </vt:variant>
      <vt:variant>
        <vt:lpwstr>https://www.taipeitimes.com/News/taiwan/archives/2019/12/30/2003728422</vt:lpwstr>
      </vt:variant>
      <vt:variant>
        <vt:lpwstr/>
      </vt:variant>
      <vt:variant>
        <vt:i4>6488167</vt:i4>
      </vt:variant>
      <vt:variant>
        <vt:i4>204</vt:i4>
      </vt:variant>
      <vt:variant>
        <vt:i4>0</vt:i4>
      </vt:variant>
      <vt:variant>
        <vt:i4>5</vt:i4>
      </vt:variant>
      <vt:variant>
        <vt:lpwstr>https://www.mse.gov.sg/resource-room/category/2023-09-27-water-price-to-increase-from-2024</vt:lpwstr>
      </vt:variant>
      <vt:variant>
        <vt:lpwstr/>
      </vt:variant>
      <vt:variant>
        <vt:i4>786513</vt:i4>
      </vt:variant>
      <vt:variant>
        <vt:i4>201</vt:i4>
      </vt:variant>
      <vt:variant>
        <vt:i4>0</vt:i4>
      </vt:variant>
      <vt:variant>
        <vt:i4>5</vt:i4>
      </vt:variant>
      <vt:variant>
        <vt:lpwstr>https://www.clc.gov.sg/docs/default-source/books/walkable-and-bikeable-cities.pdf</vt:lpwstr>
      </vt:variant>
      <vt:variant>
        <vt:lpwstr/>
      </vt:variant>
      <vt:variant>
        <vt:i4>1572939</vt:i4>
      </vt:variant>
      <vt:variant>
        <vt:i4>198</vt:i4>
      </vt:variant>
      <vt:variant>
        <vt:i4>0</vt:i4>
      </vt:variant>
      <vt:variant>
        <vt:i4>5</vt:i4>
      </vt:variant>
      <vt:variant>
        <vt:lpwstr>https://www.brookings.edu/articles/rise-of-innovation-districts/</vt:lpwstr>
      </vt:variant>
      <vt:variant>
        <vt:lpwstr/>
      </vt:variant>
      <vt:variant>
        <vt:i4>2097248</vt:i4>
      </vt:variant>
      <vt:variant>
        <vt:i4>195</vt:i4>
      </vt:variant>
      <vt:variant>
        <vt:i4>0</vt:i4>
      </vt:variant>
      <vt:variant>
        <vt:i4>5</vt:i4>
      </vt:variant>
      <vt:variant>
        <vt:lpwstr>https://www.studentsforafossilfreefuture.org/the-report</vt:lpwstr>
      </vt:variant>
      <vt:variant>
        <vt:lpwstr/>
      </vt:variant>
      <vt:variant>
        <vt:i4>1441807</vt:i4>
      </vt:variant>
      <vt:variant>
        <vt:i4>192</vt:i4>
      </vt:variant>
      <vt:variant>
        <vt:i4>0</vt:i4>
      </vt:variant>
      <vt:variant>
        <vt:i4>5</vt:i4>
      </vt:variant>
      <vt:variant>
        <vt:lpwstr>https://www.evergreen.ca/blog/entry/the-benefits-of-public-spaces-in-livable-cities/</vt:lpwstr>
      </vt:variant>
      <vt:variant>
        <vt:lpwstr/>
      </vt:variant>
      <vt:variant>
        <vt:i4>6946852</vt:i4>
      </vt:variant>
      <vt:variant>
        <vt:i4>189</vt:i4>
      </vt:variant>
      <vt:variant>
        <vt:i4>0</vt:i4>
      </vt:variant>
      <vt:variant>
        <vt:i4>5</vt:i4>
      </vt:variant>
      <vt:variant>
        <vt:lpwstr>https://corporatefinanceinstitute.com/resources/valuation/what-is-terminal-growth-rate/</vt:lpwstr>
      </vt:variant>
      <vt:variant>
        <vt:lpwstr/>
      </vt:variant>
      <vt:variant>
        <vt:i4>8126506</vt:i4>
      </vt:variant>
      <vt:variant>
        <vt:i4>186</vt:i4>
      </vt:variant>
      <vt:variant>
        <vt:i4>0</vt:i4>
      </vt:variant>
      <vt:variant>
        <vt:i4>5</vt:i4>
      </vt:variant>
      <vt:variant>
        <vt:lpwstr>https://handprint.tech/the-true-cost-of-tree-planting/</vt:lpwstr>
      </vt:variant>
      <vt:variant>
        <vt:lpwstr/>
      </vt:variant>
      <vt:variant>
        <vt:i4>3276921</vt:i4>
      </vt:variant>
      <vt:variant>
        <vt:i4>183</vt:i4>
      </vt:variant>
      <vt:variant>
        <vt:i4>0</vt:i4>
      </vt:variant>
      <vt:variant>
        <vt:i4>5</vt:i4>
      </vt:variant>
      <vt:variant>
        <vt:lpwstr>https://www.eco-business.com/news/singapore-next-most-liveable-city-prof-gehl/</vt:lpwstr>
      </vt:variant>
      <vt:variant>
        <vt:lpwstr/>
      </vt:variant>
      <vt:variant>
        <vt:i4>7864382</vt:i4>
      </vt:variant>
      <vt:variant>
        <vt:i4>180</vt:i4>
      </vt:variant>
      <vt:variant>
        <vt:i4>0</vt:i4>
      </vt:variant>
      <vt:variant>
        <vt:i4>5</vt:i4>
      </vt:variant>
      <vt:variant>
        <vt:lpwstr>https://resources.solarbusinesshub.com/solar-industry-reports/item/solar-photovoltaic-pv-roadmap-for-singapore</vt:lpwstr>
      </vt:variant>
      <vt:variant>
        <vt:lpwstr/>
      </vt:variant>
      <vt:variant>
        <vt:i4>1507348</vt:i4>
      </vt:variant>
      <vt:variant>
        <vt:i4>177</vt:i4>
      </vt:variant>
      <vt:variant>
        <vt:i4>0</vt:i4>
      </vt:variant>
      <vt:variant>
        <vt:i4>5</vt:i4>
      </vt:variant>
      <vt:variant>
        <vt:lpwstr>https://www.beesmart.city/en/solutions/a-water-smart-city-learning-from-singapore</vt:lpwstr>
      </vt:variant>
      <vt:variant>
        <vt:lpwstr/>
      </vt:variant>
      <vt:variant>
        <vt:i4>2359420</vt:i4>
      </vt:variant>
      <vt:variant>
        <vt:i4>174</vt:i4>
      </vt:variant>
      <vt:variant>
        <vt:i4>0</vt:i4>
      </vt:variant>
      <vt:variant>
        <vt:i4>5</vt:i4>
      </vt:variant>
      <vt:variant>
        <vt:lpwstr>https://www.nus.edu.sg/registrar/student-records/student-statistics</vt:lpwstr>
      </vt:variant>
      <vt:variant>
        <vt:lpwstr/>
      </vt:variant>
      <vt:variant>
        <vt:i4>7340091</vt:i4>
      </vt:variant>
      <vt:variant>
        <vt:i4>171</vt:i4>
      </vt:variant>
      <vt:variant>
        <vt:i4>0</vt:i4>
      </vt:variant>
      <vt:variant>
        <vt:i4>5</vt:i4>
      </vt:variant>
      <vt:variant>
        <vt:lpwstr>https://www.nhm.ac.uk/discover/why-we-need-green-spaces-in-cities.html</vt:lpwstr>
      </vt:variant>
      <vt:variant>
        <vt:lpwstr/>
      </vt:variant>
      <vt:variant>
        <vt:i4>2818159</vt:i4>
      </vt:variant>
      <vt:variant>
        <vt:i4>168</vt:i4>
      </vt:variant>
      <vt:variant>
        <vt:i4>0</vt:i4>
      </vt:variant>
      <vt:variant>
        <vt:i4>5</vt:i4>
      </vt:variant>
      <vt:variant>
        <vt:lpwstr>https://positivepsychology.com/positive-effects-of-nature/</vt:lpwstr>
      </vt:variant>
      <vt:variant>
        <vt:lpwstr/>
      </vt:variant>
      <vt:variant>
        <vt:i4>1114207</vt:i4>
      </vt:variant>
      <vt:variant>
        <vt:i4>165</vt:i4>
      </vt:variant>
      <vt:variant>
        <vt:i4>0</vt:i4>
      </vt:variant>
      <vt:variant>
        <vt:i4>5</vt:i4>
      </vt:variant>
      <vt:variant>
        <vt:lpwstr>https://doi.org/10.2307/41166224</vt:lpwstr>
      </vt:variant>
      <vt:variant>
        <vt:lpwstr/>
      </vt:variant>
      <vt:variant>
        <vt:i4>6750335</vt:i4>
      </vt:variant>
      <vt:variant>
        <vt:i4>162</vt:i4>
      </vt:variant>
      <vt:variant>
        <vt:i4>0</vt:i4>
      </vt:variant>
      <vt:variant>
        <vt:i4>5</vt:i4>
      </vt:variant>
      <vt:variant>
        <vt:lpwstr>https://www.channelnewsasia.com/singapore/extensive-links-singapore-universities-fossil-fuel-industry-student-coalition-2439301</vt:lpwstr>
      </vt:variant>
      <vt:variant>
        <vt:lpwstr/>
      </vt:variant>
      <vt:variant>
        <vt:i4>2490424</vt:i4>
      </vt:variant>
      <vt:variant>
        <vt:i4>159</vt:i4>
      </vt:variant>
      <vt:variant>
        <vt:i4>0</vt:i4>
      </vt:variant>
      <vt:variant>
        <vt:i4>5</vt:i4>
      </vt:variant>
      <vt:variant>
        <vt:lpwstr>https://www.eco-business.com/news/singapore-universities-making-little-to-no-progress-phasing-out-fossil-fuels-influence-activists/</vt:lpwstr>
      </vt:variant>
      <vt:variant>
        <vt:lpwstr/>
      </vt:variant>
      <vt:variant>
        <vt:i4>1245250</vt:i4>
      </vt:variant>
      <vt:variant>
        <vt:i4>156</vt:i4>
      </vt:variant>
      <vt:variant>
        <vt:i4>0</vt:i4>
      </vt:variant>
      <vt:variant>
        <vt:i4>5</vt:i4>
      </vt:variant>
      <vt:variant>
        <vt:lpwstr>https://www.forbes.com/home-improvement/solar/how-long-do-solar-panels-last/</vt:lpwstr>
      </vt:variant>
      <vt:variant>
        <vt:lpwstr/>
      </vt:variant>
      <vt:variant>
        <vt:i4>5898335</vt:i4>
      </vt:variant>
      <vt:variant>
        <vt:i4>153</vt:i4>
      </vt:variant>
      <vt:variant>
        <vt:i4>0</vt:i4>
      </vt:variant>
      <vt:variant>
        <vt:i4>5</vt:i4>
      </vt:variant>
      <vt:variant>
        <vt:lpwstr>https://www.ecomatcher.com/the-importance-of-incorporating-green-spaces-in-city-planning/</vt:lpwstr>
      </vt:variant>
      <vt:variant>
        <vt:lpwstr>:~:text=These%20green%20spaces%20have%20significantly,a%20better%20place%20to%20live</vt:lpwstr>
      </vt:variant>
      <vt:variant>
        <vt:i4>6815783</vt:i4>
      </vt:variant>
      <vt:variant>
        <vt:i4>150</vt:i4>
      </vt:variant>
      <vt:variant>
        <vt:i4>0</vt:i4>
      </vt:variant>
      <vt:variant>
        <vt:i4>5</vt:i4>
      </vt:variant>
      <vt:variant>
        <vt:lpwstr>https://www.ura.gov.sg/Corporate/Media-Room/Media-Releases/pr16-27</vt:lpwstr>
      </vt:variant>
      <vt:variant>
        <vt:lpwstr/>
      </vt:variant>
      <vt:variant>
        <vt:i4>1179700</vt:i4>
      </vt:variant>
      <vt:variant>
        <vt:i4>134</vt:i4>
      </vt:variant>
      <vt:variant>
        <vt:i4>0</vt:i4>
      </vt:variant>
      <vt:variant>
        <vt:i4>5</vt:i4>
      </vt:variant>
      <vt:variant>
        <vt:lpwstr/>
      </vt:variant>
      <vt:variant>
        <vt:lpwstr>_Toc150204560</vt:lpwstr>
      </vt:variant>
      <vt:variant>
        <vt:i4>1114164</vt:i4>
      </vt:variant>
      <vt:variant>
        <vt:i4>128</vt:i4>
      </vt:variant>
      <vt:variant>
        <vt:i4>0</vt:i4>
      </vt:variant>
      <vt:variant>
        <vt:i4>5</vt:i4>
      </vt:variant>
      <vt:variant>
        <vt:lpwstr/>
      </vt:variant>
      <vt:variant>
        <vt:lpwstr>_Toc150204559</vt:lpwstr>
      </vt:variant>
      <vt:variant>
        <vt:i4>1114164</vt:i4>
      </vt:variant>
      <vt:variant>
        <vt:i4>122</vt:i4>
      </vt:variant>
      <vt:variant>
        <vt:i4>0</vt:i4>
      </vt:variant>
      <vt:variant>
        <vt:i4>5</vt:i4>
      </vt:variant>
      <vt:variant>
        <vt:lpwstr/>
      </vt:variant>
      <vt:variant>
        <vt:lpwstr>_Toc150204558</vt:lpwstr>
      </vt:variant>
      <vt:variant>
        <vt:i4>1114164</vt:i4>
      </vt:variant>
      <vt:variant>
        <vt:i4>116</vt:i4>
      </vt:variant>
      <vt:variant>
        <vt:i4>0</vt:i4>
      </vt:variant>
      <vt:variant>
        <vt:i4>5</vt:i4>
      </vt:variant>
      <vt:variant>
        <vt:lpwstr/>
      </vt:variant>
      <vt:variant>
        <vt:lpwstr>_Toc150204557</vt:lpwstr>
      </vt:variant>
      <vt:variant>
        <vt:i4>1114164</vt:i4>
      </vt:variant>
      <vt:variant>
        <vt:i4>110</vt:i4>
      </vt:variant>
      <vt:variant>
        <vt:i4>0</vt:i4>
      </vt:variant>
      <vt:variant>
        <vt:i4>5</vt:i4>
      </vt:variant>
      <vt:variant>
        <vt:lpwstr/>
      </vt:variant>
      <vt:variant>
        <vt:lpwstr>_Toc150204556</vt:lpwstr>
      </vt:variant>
      <vt:variant>
        <vt:i4>1114164</vt:i4>
      </vt:variant>
      <vt:variant>
        <vt:i4>104</vt:i4>
      </vt:variant>
      <vt:variant>
        <vt:i4>0</vt:i4>
      </vt:variant>
      <vt:variant>
        <vt:i4>5</vt:i4>
      </vt:variant>
      <vt:variant>
        <vt:lpwstr/>
      </vt:variant>
      <vt:variant>
        <vt:lpwstr>_Toc150204555</vt:lpwstr>
      </vt:variant>
      <vt:variant>
        <vt:i4>1114164</vt:i4>
      </vt:variant>
      <vt:variant>
        <vt:i4>98</vt:i4>
      </vt:variant>
      <vt:variant>
        <vt:i4>0</vt:i4>
      </vt:variant>
      <vt:variant>
        <vt:i4>5</vt:i4>
      </vt:variant>
      <vt:variant>
        <vt:lpwstr/>
      </vt:variant>
      <vt:variant>
        <vt:lpwstr>_Toc150204554</vt:lpwstr>
      </vt:variant>
      <vt:variant>
        <vt:i4>1114164</vt:i4>
      </vt:variant>
      <vt:variant>
        <vt:i4>92</vt:i4>
      </vt:variant>
      <vt:variant>
        <vt:i4>0</vt:i4>
      </vt:variant>
      <vt:variant>
        <vt:i4>5</vt:i4>
      </vt:variant>
      <vt:variant>
        <vt:lpwstr/>
      </vt:variant>
      <vt:variant>
        <vt:lpwstr>_Toc150204553</vt:lpwstr>
      </vt:variant>
      <vt:variant>
        <vt:i4>1114164</vt:i4>
      </vt:variant>
      <vt:variant>
        <vt:i4>86</vt:i4>
      </vt:variant>
      <vt:variant>
        <vt:i4>0</vt:i4>
      </vt:variant>
      <vt:variant>
        <vt:i4>5</vt:i4>
      </vt:variant>
      <vt:variant>
        <vt:lpwstr/>
      </vt:variant>
      <vt:variant>
        <vt:lpwstr>_Toc150204552</vt:lpwstr>
      </vt:variant>
      <vt:variant>
        <vt:i4>1114164</vt:i4>
      </vt:variant>
      <vt:variant>
        <vt:i4>80</vt:i4>
      </vt:variant>
      <vt:variant>
        <vt:i4>0</vt:i4>
      </vt:variant>
      <vt:variant>
        <vt:i4>5</vt:i4>
      </vt:variant>
      <vt:variant>
        <vt:lpwstr/>
      </vt:variant>
      <vt:variant>
        <vt:lpwstr>_Toc150204551</vt:lpwstr>
      </vt:variant>
      <vt:variant>
        <vt:i4>1114164</vt:i4>
      </vt:variant>
      <vt:variant>
        <vt:i4>74</vt:i4>
      </vt:variant>
      <vt:variant>
        <vt:i4>0</vt:i4>
      </vt:variant>
      <vt:variant>
        <vt:i4>5</vt:i4>
      </vt:variant>
      <vt:variant>
        <vt:lpwstr/>
      </vt:variant>
      <vt:variant>
        <vt:lpwstr>_Toc150204550</vt:lpwstr>
      </vt:variant>
      <vt:variant>
        <vt:i4>1048628</vt:i4>
      </vt:variant>
      <vt:variant>
        <vt:i4>68</vt:i4>
      </vt:variant>
      <vt:variant>
        <vt:i4>0</vt:i4>
      </vt:variant>
      <vt:variant>
        <vt:i4>5</vt:i4>
      </vt:variant>
      <vt:variant>
        <vt:lpwstr/>
      </vt:variant>
      <vt:variant>
        <vt:lpwstr>_Toc150204549</vt:lpwstr>
      </vt:variant>
      <vt:variant>
        <vt:i4>1048628</vt:i4>
      </vt:variant>
      <vt:variant>
        <vt:i4>62</vt:i4>
      </vt:variant>
      <vt:variant>
        <vt:i4>0</vt:i4>
      </vt:variant>
      <vt:variant>
        <vt:i4>5</vt:i4>
      </vt:variant>
      <vt:variant>
        <vt:lpwstr/>
      </vt:variant>
      <vt:variant>
        <vt:lpwstr>_Toc150204548</vt:lpwstr>
      </vt:variant>
      <vt:variant>
        <vt:i4>1048628</vt:i4>
      </vt:variant>
      <vt:variant>
        <vt:i4>56</vt:i4>
      </vt:variant>
      <vt:variant>
        <vt:i4>0</vt:i4>
      </vt:variant>
      <vt:variant>
        <vt:i4>5</vt:i4>
      </vt:variant>
      <vt:variant>
        <vt:lpwstr/>
      </vt:variant>
      <vt:variant>
        <vt:lpwstr>_Toc150204547</vt:lpwstr>
      </vt:variant>
      <vt:variant>
        <vt:i4>1048628</vt:i4>
      </vt:variant>
      <vt:variant>
        <vt:i4>50</vt:i4>
      </vt:variant>
      <vt:variant>
        <vt:i4>0</vt:i4>
      </vt:variant>
      <vt:variant>
        <vt:i4>5</vt:i4>
      </vt:variant>
      <vt:variant>
        <vt:lpwstr/>
      </vt:variant>
      <vt:variant>
        <vt:lpwstr>_Toc150204546</vt:lpwstr>
      </vt:variant>
      <vt:variant>
        <vt:i4>1048628</vt:i4>
      </vt:variant>
      <vt:variant>
        <vt:i4>44</vt:i4>
      </vt:variant>
      <vt:variant>
        <vt:i4>0</vt:i4>
      </vt:variant>
      <vt:variant>
        <vt:i4>5</vt:i4>
      </vt:variant>
      <vt:variant>
        <vt:lpwstr/>
      </vt:variant>
      <vt:variant>
        <vt:lpwstr>_Toc150204545</vt:lpwstr>
      </vt:variant>
      <vt:variant>
        <vt:i4>1048628</vt:i4>
      </vt:variant>
      <vt:variant>
        <vt:i4>38</vt:i4>
      </vt:variant>
      <vt:variant>
        <vt:i4>0</vt:i4>
      </vt:variant>
      <vt:variant>
        <vt:i4>5</vt:i4>
      </vt:variant>
      <vt:variant>
        <vt:lpwstr/>
      </vt:variant>
      <vt:variant>
        <vt:lpwstr>_Toc150204544</vt:lpwstr>
      </vt:variant>
      <vt:variant>
        <vt:i4>1048628</vt:i4>
      </vt:variant>
      <vt:variant>
        <vt:i4>32</vt:i4>
      </vt:variant>
      <vt:variant>
        <vt:i4>0</vt:i4>
      </vt:variant>
      <vt:variant>
        <vt:i4>5</vt:i4>
      </vt:variant>
      <vt:variant>
        <vt:lpwstr/>
      </vt:variant>
      <vt:variant>
        <vt:lpwstr>_Toc150204543</vt:lpwstr>
      </vt:variant>
      <vt:variant>
        <vt:i4>1048628</vt:i4>
      </vt:variant>
      <vt:variant>
        <vt:i4>26</vt:i4>
      </vt:variant>
      <vt:variant>
        <vt:i4>0</vt:i4>
      </vt:variant>
      <vt:variant>
        <vt:i4>5</vt:i4>
      </vt:variant>
      <vt:variant>
        <vt:lpwstr/>
      </vt:variant>
      <vt:variant>
        <vt:lpwstr>_Toc150204542</vt:lpwstr>
      </vt:variant>
      <vt:variant>
        <vt:i4>1048628</vt:i4>
      </vt:variant>
      <vt:variant>
        <vt:i4>20</vt:i4>
      </vt:variant>
      <vt:variant>
        <vt:i4>0</vt:i4>
      </vt:variant>
      <vt:variant>
        <vt:i4>5</vt:i4>
      </vt:variant>
      <vt:variant>
        <vt:lpwstr/>
      </vt:variant>
      <vt:variant>
        <vt:lpwstr>_Toc150204541</vt:lpwstr>
      </vt:variant>
      <vt:variant>
        <vt:i4>1048628</vt:i4>
      </vt:variant>
      <vt:variant>
        <vt:i4>14</vt:i4>
      </vt:variant>
      <vt:variant>
        <vt:i4>0</vt:i4>
      </vt:variant>
      <vt:variant>
        <vt:i4>5</vt:i4>
      </vt:variant>
      <vt:variant>
        <vt:lpwstr/>
      </vt:variant>
      <vt:variant>
        <vt:lpwstr>_Toc150204540</vt:lpwstr>
      </vt:variant>
      <vt:variant>
        <vt:i4>1507380</vt:i4>
      </vt:variant>
      <vt:variant>
        <vt:i4>8</vt:i4>
      </vt:variant>
      <vt:variant>
        <vt:i4>0</vt:i4>
      </vt:variant>
      <vt:variant>
        <vt:i4>5</vt:i4>
      </vt:variant>
      <vt:variant>
        <vt:lpwstr/>
      </vt:variant>
      <vt:variant>
        <vt:lpwstr>_Toc150204539</vt:lpwstr>
      </vt:variant>
      <vt:variant>
        <vt:i4>1507380</vt:i4>
      </vt:variant>
      <vt:variant>
        <vt:i4>2</vt:i4>
      </vt:variant>
      <vt:variant>
        <vt:i4>0</vt:i4>
      </vt:variant>
      <vt:variant>
        <vt:i4>5</vt:i4>
      </vt:variant>
      <vt:variant>
        <vt:lpwstr/>
      </vt:variant>
      <vt:variant>
        <vt:lpwstr>_Toc150204538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Rui Xuan Carine</dc:creator>
  <cp:keywords/>
  <dc:description/>
  <cp:lastModifiedBy>Chong Kha Lek</cp:lastModifiedBy>
  <cp:revision>2</cp:revision>
  <dcterms:created xsi:type="dcterms:W3CDTF">2024-03-25T05:07:00Z</dcterms:created>
  <dcterms:modified xsi:type="dcterms:W3CDTF">2024-03-25T05:07:00Z</dcterms:modified>
</cp:coreProperties>
</file>