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إدارة الأصول المعلوماتية والتقنية</w:t>
            </w:r>
          </w:p>
          <w:p>
            <w:pPr>
              <w:bidi/>
              <w:spacing w:after="260" w:before="0" w:line="300"/>
              <w:jc w:val="start"/>
            </w:pPr>
            <w:r>
              <w:rPr>
                <w:rFonts w:ascii="Arial" w:cs="Arial" w:eastAsia="Arial" w:hAnsi="Arial"/>
                <w:b w:val="false"/>
                <w:bCs w:val="false"/>
                <w:color w:val="AFC4D4"/>
                <w:sz w:val="22"/>
                <w:szCs w:val="22"/>
                <w:rtl/>
              </w:rPr>
              <w:t xml:space="preserve">الحصر · الملكية · التصنيف · دورة حياة الأصل</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CS-POL-005</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2-1-1</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إدارة الأصول المعلوماتية والتقنية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السياسة متطلبات الأمن السيبراني لإدارة الأصول المعلوماتية والتقنية في شركة نَسَق للحلول الرقمية، بما يضمن حصرها وتصنيفها وتعيين ملّاك لها، إذ لا يمكن حماية أصل غير معروف، ويُعدّ مخرَجاً من حزمة العمل WP-12.</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جميع الأصول المعلوماتية والتقنية المملوكة أو المُدارة للشركة، بما فيها الأصول السحابية والحاويات ومستودعات الكود والأصول المُدارة من أطراف خارجية نيابةً عن الشركة.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241"/>
        <w:gridCol w:w="4119"/>
      </w:tblGrid>
      <w:tr>
        <w:trPr>
          <w:tblHeader/>
        </w:trPr>
        <w:tc>
          <w:tcPr>
            <w:tcW w:type="dxa" w:w="524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11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24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٢-١</w:t>
            </w:r>
          </w:p>
        </w:tc>
        <w:tc>
          <w:tcPr>
            <w:tcW w:type="dxa" w:w="411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السياسة</w:t>
            </w:r>
          </w:p>
        </w:tc>
      </w:tr>
      <w:tr>
        <w:trPr>
          <w:tblHeader w:val="false"/>
        </w:trPr>
        <w:tc>
          <w:tcPr>
            <w:tcW w:type="dxa" w:w="524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العامة للأمن السيبراني CS-POL-003</w:t>
            </w:r>
          </w:p>
        </w:tc>
        <w:tc>
          <w:tcPr>
            <w:tcW w:type="dxa" w:w="411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الوثيقة الحاكمة</w:t>
            </w:r>
          </w:p>
        </w:tc>
      </w:tr>
      <w:tr>
        <w:trPr>
          <w:tblHeader w:val="false"/>
        </w:trPr>
        <w:tc>
          <w:tcPr>
            <w:tcW w:type="dxa" w:w="524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حماية البيانات والمعلومات CS-POL-006</w:t>
            </w:r>
          </w:p>
        </w:tc>
        <w:tc>
          <w:tcPr>
            <w:tcW w:type="dxa" w:w="411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الحماية المبنية على التصنيف</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فئات الأصول المشمولة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74"/>
        <w:gridCol w:w="6686"/>
      </w:tblGrid>
      <w:tr>
        <w:trPr>
          <w:tblHeader/>
        </w:trPr>
        <w:tc>
          <w:tcPr>
            <w:tcW w:type="dxa" w:w="267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الفئة</w:t>
            </w:r>
          </w:p>
        </w:tc>
        <w:tc>
          <w:tcPr>
            <w:tcW w:type="dxa" w:w="66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معلوماتية</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 · الملفات · الكود المصدري · الوثائق</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تقنية مادية</w:t>
            </w:r>
          </w:p>
        </w:tc>
        <w:tc>
          <w:tcPr>
            <w:tcW w:type="dxa" w:w="66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الخوادم · أجهزة الشبكة · أجهزة المستخدمين · وسائط التخزين</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تقنية افتراضية</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الأجهزة الافتراضية · الحاويات · صور الحاويات · الموارد السحابية</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برمجية</w:t>
            </w:r>
          </w:p>
        </w:tc>
        <w:tc>
          <w:tcPr>
            <w:tcW w:type="dxa" w:w="66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التطبيقات · المكتبات والمكوّنات المدمجة · التراخيص</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خدمية</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الاشتراكات السحابية · خدمات الأطراف الخارجية · النطاقات والشهادات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متطلبات السياسة</w:t>
      </w:r>
    </w:p>
    <w:p>
      <w:pPr>
        <w:pStyle w:val="Heading3"/>
        <w:bidi/>
        <w:spacing w:after="90" w:before="200" w:line="300"/>
        <w:jc w:val="start"/>
      </w:pPr>
      <w:r>
        <w:rPr>
          <w:rFonts w:ascii="Arial" w:cs="Arial" w:eastAsia="Arial" w:hAnsi="Arial"/>
          <w:b/>
          <w:bCs/>
          <w:color w:val="0C1F3D"/>
          <w:sz w:val="23"/>
          <w:szCs w:val="23"/>
          <w:rtl/>
        </w:rPr>
        <w:t xml:space="preserve">أولاً: الحصر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يُحصر كل أصل في سجل الأصول قبل إدخاله بيئة الإنتاج، ولا يُسمح بتشغيل أصل غير مسجَّل.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تُحصر الأصول السحابية والحاويات آلياً وبصفة مستمرة لا يدوياً، لتغيّرها السريع.</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يتضمن قيد الأصل: المعرّف · الوصف · الموقع أو البيئة · المالك · التصنيف · حالة التشغيل · تاريخ آخر تحديث.</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تُطابَق قوائم الأصول مع مصادر مستقلة ربع سنوياً لكشف الأصول غير المسجَّلة.</w:t>
      </w:r>
    </w:p>
    <w:p>
      <w:pPr>
        <w:pStyle w:val="Heading3"/>
        <w:bidi/>
        <w:spacing w:after="90" w:before="200" w:line="300"/>
        <w:jc w:val="start"/>
      </w:pPr>
      <w:r>
        <w:rPr>
          <w:rFonts w:ascii="Arial" w:cs="Arial" w:eastAsia="Arial" w:hAnsi="Arial"/>
          <w:b/>
          <w:bCs/>
          <w:color w:val="0C1F3D"/>
          <w:sz w:val="23"/>
          <w:szCs w:val="23"/>
          <w:rtl/>
        </w:rPr>
        <w:t xml:space="preserve">ثانياً: الملكية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يُعيَّن لكل أصل مالك محدد بالاسم من الإدارة المالكة، لا من إدارة الأمن السيبراني.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يتحمل المالك: تصنيف الأصل · اعتماد صلاحيات الوصول إليه · تحمّل مخاطره · اعتماد التغييرات عليه.</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يبقى أصل بلا مالك، ويُصعَّد أي أصل بلا مالك خلال ثلاثين يوماً.</w:t>
      </w:r>
    </w:p>
    <w:p>
      <w:pPr>
        <w:pStyle w:val="Heading3"/>
        <w:bidi/>
        <w:spacing w:after="90" w:before="200" w:line="300"/>
        <w:jc w:val="start"/>
      </w:pPr>
      <w:r>
        <w:rPr>
          <w:rFonts w:ascii="Arial" w:cs="Arial" w:eastAsia="Arial" w:hAnsi="Arial"/>
          <w:b/>
          <w:bCs/>
          <w:color w:val="0C1F3D"/>
          <w:sz w:val="23"/>
          <w:szCs w:val="23"/>
          <w:rtl/>
        </w:rPr>
        <w:t xml:space="preserve">ثالثاً: التصنيف والترميز</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يُصنَّف كل أصل بحسب حساسية البيانات التي يعالجها أو يخزّنها.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يُرمَّز الأصل بما يدل على تصنيفه حيث أمكن تقنياً، عبر وسوم في البيئة السحابية والحاويات.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تُطبَّق ضوابط الحماية بحسب التصنيف لا بحسب الجهد المتاح.</w:t>
      </w:r>
    </w:p>
    <w:p>
      <w:pPr>
        <w:pStyle w:val="Heading3"/>
        <w:bidi/>
        <w:spacing w:after="90" w:before="200" w:line="300"/>
        <w:jc w:val="start"/>
      </w:pPr>
      <w:r>
        <w:rPr>
          <w:rFonts w:ascii="Arial" w:cs="Arial" w:eastAsia="Arial" w:hAnsi="Arial"/>
          <w:b/>
          <w:bCs/>
          <w:color w:val="0C1F3D"/>
          <w:sz w:val="23"/>
          <w:szCs w:val="23"/>
          <w:rtl/>
        </w:rPr>
        <w:t xml:space="preserve">رابعاً: الاستخدام المقبول</w:t>
      </w:r>
    </w:p>
    <w:p>
      <w:pPr>
        <w:bidi/>
        <w:spacing w:after="140" w:before="0" w:line="300"/>
        <w:jc w:val="start"/>
      </w:pPr>
      <w:r>
        <w:rPr>
          <w:rFonts w:ascii="Arial" w:cs="Arial" w:eastAsia="Arial" w:hAnsi="Arial"/>
          <w:b w:val="false"/>
          <w:bCs w:val="false"/>
          <w:color w:val="16202A"/>
          <w:sz w:val="21"/>
          <w:szCs w:val="21"/>
          <w:rtl/>
        </w:rPr>
        <w:t xml:space="preserve">تُعتمد سياسة استخدام مقبول للأصول تحدد ما يجوز وما لا يجوز، ويوقّع عليها جميع العاملين والمتعاقدين، ويُتحقق من الالتزام بها ضمن إجراء التحقق من الالتزام CS-PRO-006.</w:t>
      </w:r>
    </w:p>
    <w:p>
      <w:pPr>
        <w:pStyle w:val="Heading3"/>
        <w:bidi/>
        <w:spacing w:after="90" w:before="200" w:line="300"/>
        <w:jc w:val="start"/>
      </w:pPr>
      <w:r>
        <w:rPr>
          <w:rFonts w:ascii="Arial" w:cs="Arial" w:eastAsia="Arial" w:hAnsi="Arial"/>
          <w:b/>
          <w:bCs/>
          <w:color w:val="0C1F3D"/>
          <w:sz w:val="23"/>
          <w:szCs w:val="23"/>
          <w:rtl/>
        </w:rPr>
        <w:t xml:space="preserve">خامساً: دورة حياة الأصل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578"/>
        <w:gridCol w:w="5782"/>
      </w:tblGrid>
      <w:tr>
        <w:trPr>
          <w:tblHeader/>
        </w:trPr>
        <w:tc>
          <w:tcPr>
            <w:tcW w:type="dxa" w:w="35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578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35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الاقتناء</w:t>
            </w:r>
          </w:p>
        </w:tc>
        <w:tc>
          <w:tcPr>
            <w:tcW w:type="dxa" w:w="57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أمني قبل الاقتناء للأصول الحرجة</w:t>
            </w:r>
          </w:p>
        </w:tc>
      </w:tr>
      <w:tr>
        <w:trPr>
          <w:tblHeader w:val="false"/>
        </w:trPr>
        <w:tc>
          <w:tcPr>
            <w:tcW w:type="dxa" w:w="35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التشغيل</w:t>
            </w:r>
          </w:p>
        </w:tc>
        <w:tc>
          <w:tcPr>
            <w:tcW w:type="dxa" w:w="57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التسجيل والتصنيف والتحصين قبل دخول الإنتاج</w:t>
            </w:r>
          </w:p>
        </w:tc>
      </w:tr>
      <w:tr>
        <w:trPr>
          <w:tblHeader w:val="false"/>
        </w:trPr>
        <w:tc>
          <w:tcPr>
            <w:tcW w:type="dxa" w:w="35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التغيير</w:t>
            </w:r>
          </w:p>
        </w:tc>
        <w:tc>
          <w:tcPr>
            <w:tcW w:type="dxa" w:w="57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تحديث القيد عند أي تغيير جوهري</w:t>
            </w:r>
          </w:p>
        </w:tc>
      </w:tr>
      <w:tr>
        <w:trPr>
          <w:tblHeader w:val="false"/>
        </w:trPr>
        <w:tc>
          <w:tcPr>
            <w:tcW w:type="dxa" w:w="35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الإيقاف</w:t>
            </w:r>
          </w:p>
        </w:tc>
        <w:tc>
          <w:tcPr>
            <w:tcW w:type="dxa" w:w="57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إزالة الوصول وإلغاء الصلاحيات المرتبطة</w:t>
            </w:r>
          </w:p>
        </w:tc>
      </w:tr>
      <w:tr>
        <w:trPr>
          <w:tblHeader w:val="false"/>
        </w:trPr>
        <w:tc>
          <w:tcPr>
            <w:tcW w:type="dxa" w:w="35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الإتلاف</w:t>
            </w:r>
          </w:p>
        </w:tc>
        <w:tc>
          <w:tcPr>
            <w:tcW w:type="dxa" w:w="57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إتلاف آمن موثق للوسائط وحذف آمن للبيانات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السياسة سنوياً على الأقل، ويُراجَع سجل الأصول ربع سنوياً.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43"/>
        <w:gridCol w:w="3829"/>
        <w:gridCol w:w="1843"/>
        <w:gridCol w:w="1845"/>
      </w:tblGrid>
      <w:tr>
        <w:trPr>
          <w:tblHeader/>
        </w:trPr>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8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8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 والبنية التحتية</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8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CS-POL-005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2026-10-04T11:48:01.140Z</dcterms:created>
  <dcterms:modified xsi:type="dcterms:W3CDTF">2026-10-04T11:48:01.140Z</dcterms:modified>
</cp:coreProperties>
</file>

<file path=docProps/custom.xml><?xml version="1.0" encoding="utf-8"?>
<Properties xmlns="http://schemas.openxmlformats.org/officeDocument/2006/custom-properties" xmlns:vt="http://schemas.openxmlformats.org/officeDocument/2006/docPropsVTypes"/>
</file>