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سياسة معتمدة</w:t>
            </w:r>
          </w:p>
          <w:p>
            <w:pPr>
              <w:bidi/>
              <w:spacing w:after="120" w:before="0" w:line="420"/>
              <w:jc w:val="start"/>
            </w:pPr>
            <w:r>
              <w:rPr>
                <w:rFonts w:ascii="Arial" w:cs="Arial" w:eastAsia="Arial" w:hAnsi="Arial"/>
                <w:b/>
                <w:bCs/>
                <w:color w:val="FFFFFF"/>
                <w:sz w:val="52"/>
                <w:szCs w:val="52"/>
                <w:rtl/>
              </w:rPr>
              <w:t xml:space="preserve">سياسة الاستخدام المقبول للأصول</w:t>
            </w:r>
          </w:p>
          <w:p>
            <w:pPr>
              <w:bidi/>
              <w:spacing w:after="260" w:before="0" w:line="300"/>
              <w:jc w:val="start"/>
            </w:pPr>
            <w:r>
              <w:rPr>
                <w:rFonts w:ascii="Arial" w:cs="Arial" w:eastAsia="Arial" w:hAnsi="Arial"/>
                <w:b w:val="false"/>
                <w:bCs w:val="false"/>
                <w:color w:val="AFC4D4"/>
                <w:sz w:val="22"/>
                <w:szCs w:val="22"/>
                <w:rtl/>
              </w:rPr>
              <w:t xml:space="preserve">ثمانية ممنوعات جسيمة · إقرار موقّع</w:t>
            </w:r>
          </w:p>
          <w:p>
            <w:pPr>
              <w:bidi/>
              <w:spacing w:after="0" w:before="0" w:line="300"/>
              <w:jc w:val="start"/>
            </w:pPr>
            <w:r>
              <w:rPr>
                <w:rFonts w:ascii="Arial" w:cs="Arial" w:eastAsia="Arial" w:hAnsi="Arial"/>
                <w:b/>
                <w:bCs/>
                <w:color w:val="C9A227"/>
                <w:sz w:val="18"/>
                <w:szCs w:val="18"/>
                <w:rtl/>
              </w:rPr>
              <w:t xml:space="preserve">تصنيف الوثيقة: داخلي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CS-POL-010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وحدة الحوكمة والمخاطر والالتزام</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2-1-3 · 2-1-4</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«داخلي».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سياسة الاستخدام المقبول للأصول</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تحدد هذه السياسة ما يجوز وما لا يجوز في استخدام أصول شركة نَسَق للحلول الرقمية المعلوماتية والتقنية، ويوقّع عليها كل عامل ومتعاقد قبل منحه صلاحيات الدخول، ويُعدّ مخرَجاً من حزمة العمل WP-14.</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جميع العاملين والمتعاقدين والمتدربين ومنسوبي الأطراف الخارجية الذين يستخدمون أصول الشركة أو يصلون إليها، وجميع الأصول: الأجهزة والشبكات والأنظمة والبيانات والبريد والاشتراكات السحابية ومستودعات الكود.</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803"/>
        <w:gridCol w:w="4557"/>
      </w:tblGrid>
      <w:tr>
        <w:trPr>
          <w:tblHeader/>
        </w:trPr>
        <w:tc>
          <w:tcPr>
            <w:tcW w:type="dxa" w:w="480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455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480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الضابطان ٢-١-٣ و ٢-١-٤</w:t>
            </w:r>
          </w:p>
        </w:tc>
        <w:tc>
          <w:tcPr>
            <w:tcW w:type="dxa" w:w="45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الضابطان اللذان تستوفيهما هذه السياسة</w:t>
            </w:r>
          </w:p>
        </w:tc>
      </w:tr>
      <w:tr>
        <w:trPr>
          <w:tblHeader w:val="false"/>
        </w:trPr>
        <w:tc>
          <w:tcPr>
            <w:tcW w:type="dxa" w:w="480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سياسة إدارة الأصول CS-POL-005</w:t>
            </w:r>
          </w:p>
        </w:tc>
        <w:tc>
          <w:tcPr>
            <w:tcW w:type="dxa" w:w="455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السياسة الحاكمة</w:t>
            </w:r>
          </w:p>
        </w:tc>
      </w:tr>
      <w:tr>
        <w:trPr>
          <w:tblHeader w:val="false"/>
        </w:trPr>
        <w:tc>
          <w:tcPr>
            <w:tcW w:type="dxa" w:w="480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تصنيف الأصول والبيانات CS-STD-011</w:t>
            </w:r>
          </w:p>
        </w:tc>
        <w:tc>
          <w:tcPr>
            <w:tcW w:type="dxa" w:w="455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التعامل مع البيانات بحسب تصنيفها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المبدأ العام</w:t>
      </w:r>
    </w:p>
    <w:p>
      <w:pPr>
        <w:bidi/>
        <w:spacing w:after="140" w:before="0" w:line="300"/>
        <w:jc w:val="start"/>
      </w:pPr>
      <w:r>
        <w:rPr>
          <w:rFonts w:ascii="Arial" w:cs="Arial" w:eastAsia="Arial" w:hAnsi="Arial"/>
          <w:b w:val="false"/>
          <w:bCs w:val="false"/>
          <w:color w:val="16202A"/>
          <w:sz w:val="21"/>
          <w:szCs w:val="21"/>
          <w:rtl/>
        </w:rPr>
        <w:t xml:space="preserve">أصول الشركة مخصصة لأغراض العمل. ويُسمح باستخدام شخصي محدود ومعقول لا يعطّل العمل ولا يستهلك موارد ولا يخالف الأنظمة، ولا يُتوقع في هذا الاستخدام خصوصية تحول دون المراقبة الأمنية المشروعة.</w:t>
      </w:r>
    </w:p>
    <w:p>
      <w:pPr>
        <w:pStyle w:val="Heading2"/>
        <w:bidi/>
        <w:spacing w:after="120" w:before="280" w:line="300"/>
        <w:jc w:val="start"/>
      </w:pPr>
      <w:r>
        <w:rPr>
          <w:rFonts w:ascii="Arial" w:cs="Arial" w:eastAsia="Arial" w:hAnsi="Arial"/>
          <w:b/>
          <w:bCs/>
          <w:color w:val="15325C"/>
          <w:sz w:val="27"/>
          <w:szCs w:val="27"/>
          <w:rtl/>
        </w:rPr>
        <w:t xml:space="preserve">الاستخدامات المسموح بها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أداء المهام الموكلة ضمن نطاق الوظيفة.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التواصل المهني عبر قنوات الشركة المعتمدة.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الوصول للأنظمة والبيانات بالقدر الذي يتطلبه العمل.</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استخدام شخصي محدود للإنترنت والبريد ضمن الحدود أعلاه.</w:t>
      </w:r>
    </w:p>
    <w:p>
      <w:pPr>
        <w:pStyle w:val="Heading2"/>
        <w:bidi/>
        <w:spacing w:after="120" w:before="280" w:line="300"/>
        <w:jc w:val="start"/>
      </w:pPr>
      <w:r>
        <w:rPr>
          <w:rFonts w:ascii="Arial" w:cs="Arial" w:eastAsia="Arial" w:hAnsi="Arial"/>
          <w:b/>
          <w:bCs/>
          <w:color w:val="15325C"/>
          <w:sz w:val="27"/>
          <w:szCs w:val="27"/>
          <w:rtl/>
        </w:rPr>
        <w:t xml:space="preserve">الاستخدامات الممنوعة</w:t>
      </w:r>
    </w:p>
    <w:p>
      <w:pPr>
        <w:pStyle w:val="Heading3"/>
        <w:bidi/>
        <w:spacing w:after="90" w:before="200" w:line="300"/>
        <w:jc w:val="start"/>
      </w:pPr>
      <w:r>
        <w:rPr>
          <w:rFonts w:ascii="Arial" w:cs="Arial" w:eastAsia="Arial" w:hAnsi="Arial"/>
          <w:b/>
          <w:bCs/>
          <w:color w:val="0C1F3D"/>
          <w:sz w:val="23"/>
          <w:szCs w:val="23"/>
          <w:rtl/>
        </w:rPr>
        <w:t xml:space="preserve">ممنوعات جسيمة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الممنوع</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مشاركة بيانات الاعتماد مع أي شخص، أو استخدام بيانات اعتماد غيرك</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تجاوز أو تعطيل أي ضابط أمني، بما فيه المصادقة متعددة العناصر وأدوات الحماية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نقل بيانات الشركة أو الجهات العميلة إلى أي وسيط أو خدمة غير معتمدة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نسخ بيانات الإنتاج إلى بيئات التطوير أو الاختبار أو الأجهزة الشخصية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استخدام بيانات المستفيدين لأي غرض خارج نطاق العمل</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تخزين الأسرار وبيانات الاعتماد خارج خزنة الأسرار المركزية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محاولة الوصول لبيانات أو أنظمة لا تخص نطاق عملك</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تثبيت أدوات اختراق أو فحص على أصول الشركة دون تفويض</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ممنوعات أخرى</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الممنوع</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تثبيت برمجيات غير معتمدة أو غير مرخصة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استخدام خدمات سحابية أو أدوات خارجية لمعالجة بيانات الشركة دون اعتماد</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١١</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ربط أجهزة أو نقاط وصول لاسلكية غير معتمدة بشبكة الشركة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استخدام وسائط تخزين خارجية دون موافقة موثقة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١٣</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ترك الجهاز مفتوحاً دون إشراف أو دون قفل</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١٤</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نشر معلومات عن أنظمة الشركة أو عملائها على منصات عامة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١٥</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استخدام بريد الشركة للتسجيل في خدمات شخصية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١٦</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أي استخدام يخالف الأنظمة واللوائح المعمول بها في المملكة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الأجهزة الشخصية والعمل عن بُعد</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يُسمح بالوصول إلى بيانات مصنّفة سرية فأعلى من جهاز شخصي غير مُدار.</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يُسمح بالوصول إلى البريد والمستندات من الأجهزة الشخصية ضمن الضوابط المعتمدة فقط.</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يُمنع تخزين بيانات الشركة محلياً على الأجهزة الشخصية.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عند العمل عن بُعد: قناة اتصال معتمدة · شبكة موثوقة · عدم عرض بيانات مصنّفة في أماكن عامة.</w:t>
      </w:r>
    </w:p>
    <w:p>
      <w:pPr>
        <w:pStyle w:val="Heading2"/>
        <w:bidi/>
        <w:spacing w:after="120" w:before="280" w:line="300"/>
        <w:jc w:val="start"/>
      </w:pPr>
      <w:r>
        <w:rPr>
          <w:rFonts w:ascii="Arial" w:cs="Arial" w:eastAsia="Arial" w:hAnsi="Arial"/>
          <w:b/>
          <w:bCs/>
          <w:color w:val="15325C"/>
          <w:sz w:val="27"/>
          <w:szCs w:val="27"/>
          <w:rtl/>
        </w:rPr>
        <w:t xml:space="preserve">المراقبة</w:t>
      </w:r>
    </w:p>
    <w:p>
      <w:pPr>
        <w:bidi/>
        <w:spacing w:after="140" w:before="0" w:line="300"/>
        <w:jc w:val="start"/>
      </w:pPr>
      <w:r>
        <w:rPr>
          <w:rFonts w:ascii="Arial" w:cs="Arial" w:eastAsia="Arial" w:hAnsi="Arial"/>
          <w:b w:val="false"/>
          <w:bCs w:val="false"/>
          <w:color w:val="16202A"/>
          <w:sz w:val="21"/>
          <w:szCs w:val="21"/>
          <w:rtl/>
        </w:rPr>
        <w:t xml:space="preserve">تحتفظ الشركة بحق مراقبة استخدام أصولها وشبكاتها وأنظمتها لأغراض الأمن السيبراني والالتزام النظامي، وفقاً للأنظمة المعمول بها. وتُسجَّل الأنشطة على الأصول وتُحفظ وفق معيار السجلات CS-STD-002.</w:t>
      </w:r>
    </w:p>
    <w:p>
      <w:pPr>
        <w:pStyle w:val="Heading2"/>
        <w:bidi/>
        <w:spacing w:after="120" w:before="280" w:line="300"/>
        <w:jc w:val="start"/>
      </w:pPr>
      <w:r>
        <w:rPr>
          <w:rFonts w:ascii="Arial" w:cs="Arial" w:eastAsia="Arial" w:hAnsi="Arial"/>
          <w:b/>
          <w:bCs/>
          <w:color w:val="15325C"/>
          <w:sz w:val="27"/>
          <w:szCs w:val="27"/>
          <w:rtl/>
        </w:rPr>
        <w:t xml:space="preserve">الإبلاغ</w:t>
      </w:r>
    </w:p>
    <w:p>
      <w:pPr>
        <w:bidi/>
        <w:spacing w:after="140" w:before="0" w:line="300"/>
        <w:jc w:val="start"/>
      </w:pPr>
      <w:r>
        <w:rPr>
          <w:rFonts w:ascii="Arial" w:cs="Arial" w:eastAsia="Arial" w:hAnsi="Arial"/>
          <w:b w:val="false"/>
          <w:bCs w:val="false"/>
          <w:color w:val="16202A"/>
          <w:sz w:val="21"/>
          <w:szCs w:val="21"/>
          <w:rtl/>
        </w:rPr>
        <w:t xml:space="preserve">يلتزم كل مستخدم بالإبلاغ الفوري لمركز العمليات الأمنية عن: فقدان جهاز أو وسيط · الاشتباه في اختراق حساب · رسالة تصيّد · سلوك غير معتاد في نظام · أي مخالفة لهذه السياسة يلاحظها.</w:t>
      </w:r>
    </w:p>
    <w:p>
      <w:pPr>
        <w:bidi/>
        <w:spacing w:after="140" w:before="0" w:line="300"/>
        <w:jc w:val="start"/>
      </w:pPr>
      <w:r>
        <w:rPr>
          <w:rFonts w:ascii="Arial" w:cs="Arial" w:eastAsia="Arial" w:hAnsi="Arial"/>
          <w:b/>
          <w:bCs/>
          <w:color w:val="15325C"/>
          <w:sz w:val="21"/>
          <w:szCs w:val="21"/>
          <w:rtl/>
        </w:rPr>
        <w:t xml:space="preserve">لا يُساءل المُبلِّغ بحسن نية</w:t>
      </w:r>
      <w:r>
        <w:rPr>
          <w:rFonts w:ascii="Arial" w:cs="Arial" w:eastAsia="Arial" w:hAnsi="Arial"/>
          <w:b w:val="false"/>
          <w:bCs w:val="false"/>
          <w:color w:val="16202A"/>
          <w:sz w:val="21"/>
          <w:szCs w:val="21"/>
          <w:rtl/>
        </w:rPr>
        <w:t xml:space="preserve"> ولو تبيّن أن البلاغ في غير محله.</w:t>
      </w:r>
    </w:p>
    <w:p>
      <w:pPr>
        <w:pStyle w:val="Heading2"/>
        <w:bidi/>
        <w:spacing w:after="120" w:before="280" w:line="300"/>
        <w:jc w:val="start"/>
      </w:pPr>
      <w:r>
        <w:rPr>
          <w:rFonts w:ascii="Arial" w:cs="Arial" w:eastAsia="Arial" w:hAnsi="Arial"/>
          <w:b/>
          <w:bCs/>
          <w:color w:val="15325C"/>
          <w:sz w:val="27"/>
          <w:szCs w:val="27"/>
          <w:rtl/>
        </w:rPr>
        <w:t xml:space="preserve">المخالفات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جسيم</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تعليق الوصول فوراً وإحالة للموارد البشرية · وقد يصل الأمر لإنهاء العلاقة والمساءلة النظامية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آخر — أول مرة</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تنبيه موثق وتوعية موجَّهة</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ممنوع آخر — متكرر</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إجراء نظامي وفق لائحة الموارد البشرية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الإقرار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124"/>
        <w:gridCol w:w="5236"/>
      </w:tblGrid>
      <w:tr>
        <w:trPr>
          <w:tblHeader/>
        </w:trPr>
        <w:tc>
          <w:tcPr>
            <w:tcW w:type="dxa" w:w="412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523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البيان</w:t>
            </w:r>
          </w:p>
        </w:tc>
      </w:tr>
      <w:tr>
        <w:trPr>
          <w:tblHeader w:val="false"/>
        </w:trPr>
        <w:tc>
          <w:tcPr>
            <w:tcW w:type="dxa" w:w="41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الاسم</w:t>
            </w:r>
          </w:p>
        </w:tc>
        <w:tc>
          <w:tcPr>
            <w:tcW w:type="dxa" w:w="52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41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الرقم الوظيفي أو رقم العقد</w:t>
            </w:r>
          </w:p>
        </w:tc>
        <w:tc>
          <w:tcPr>
            <w:tcW w:type="dxa" w:w="52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41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الإدارة</w:t>
            </w:r>
          </w:p>
        </w:tc>
        <w:tc>
          <w:tcPr>
            <w:tcW w:type="dxa" w:w="52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41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الصفة</w:t>
            </w:r>
          </w:p>
        </w:tc>
        <w:tc>
          <w:tcPr>
            <w:tcW w:type="dxa" w:w="52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موظف · متعاقد · متدرب · طرف خارجي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أقر بأنني اطلعت على سياسة الاستخدام المقبول للأصول وفهمت محتواها، وألتزم بها، وأدرك أن مخالفتها تستوجب الإجراءات الواردة فيها.</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680"/>
        <w:gridCol w:w="4680"/>
      </w:tblGrid>
      <w:tr>
        <w:trPr>
          <w:tblHeader/>
        </w:trPr>
        <w:tc>
          <w:tcPr>
            <w:tcW w:type="dxa" w:w="46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46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تُراجَع هذه السياسة سنوياً على الأقل، ويُعاد توقيع الإقرار عند أي تحديث جوهري.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776"/>
        <w:gridCol w:w="4030"/>
        <w:gridCol w:w="1776"/>
        <w:gridCol w:w="1778"/>
      </w:tblGrid>
      <w:tr>
        <w:trPr>
          <w:tblHeader/>
        </w:trPr>
        <w:tc>
          <w:tcPr>
            <w:tcW w:type="dxa" w:w="177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403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77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77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7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403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17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7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7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رُوجعت بواسطة</w:t>
            </w:r>
          </w:p>
        </w:tc>
        <w:tc>
          <w:tcPr>
            <w:tcW w:type="dxa" w:w="403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لمياء القحطاني — مدير الموارد البشرية · الشؤون القانونية</w:t>
            </w:r>
          </w:p>
        </w:tc>
        <w:tc>
          <w:tcPr>
            <w:tcW w:type="dxa" w:w="17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7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7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403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7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7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داخلي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داخلي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CS-POL-010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CS-POL-010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2026-10-04T11:48:01.545Z</dcterms:created>
  <dcterms:modified xsi:type="dcterms:W3CDTF">2026-10-04T11:48:01.545Z</dcterms:modified>
</cp:coreProperties>
</file>

<file path=docProps/custom.xml><?xml version="1.0" encoding="utf-8"?>
<Properties xmlns="http://schemas.openxmlformats.org/officeDocument/2006/custom-properties" xmlns:vt="http://schemas.openxmlformats.org/officeDocument/2006/docPropsVTypes"/>
</file>