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C1F3D" w:color="auto" w:val="clear"/>
            <w:tcMar>
              <w:top w:type="dxa" w:w="340"/>
              <w:left w:type="dxa" w:w="340"/>
              <w:bottom w:type="dxa" w:w="340"/>
              <w:right w:type="dxa" w:w="340"/>
            </w:tcMar>
          </w:tcPr>
          <w:p>
            <w:pPr>
              <w:bidi/>
              <w:spacing w:after="40" w:before="0" w:line="300"/>
              <w:jc w:val="start"/>
            </w:pPr>
            <w:r>
              <w:rPr>
                <w:rFonts w:ascii="Arial" w:cs="Arial" w:eastAsia="Arial" w:hAnsi="Arial"/>
                <w:b/>
                <w:bCs/>
                <w:color w:val="FFFFFF"/>
                <w:sz w:val="30"/>
                <w:szCs w:val="30"/>
                <w:rtl/>
              </w:rPr>
              <w:t xml:space="preserve">شركة نَسَق للحلول الرقمية</w:t>
            </w:r>
          </w:p>
          <w:p>
            <w:pPr>
              <w:bidi/>
              <w:spacing w:after="30" w:before="0" w:line="300"/>
              <w:jc w:val="start"/>
            </w:pPr>
            <w:r>
              <w:rPr>
                <w:rFonts w:ascii="Arial" w:cs="Arial" w:eastAsia="Arial" w:hAnsi="Arial"/>
                <w:b w:val="false"/>
                <w:bCs w:val="false"/>
                <w:color w:val="9FB6C9"/>
                <w:sz w:val="18"/>
                <w:szCs w:val="18"/>
                <w:rtl/>
              </w:rPr>
              <w:t xml:space="preserve">إدارة الأمن السيبراني</w:t>
            </w:r>
          </w:p>
          <w:p>
            <w:pPr>
              <w:bidi/>
              <w:spacing w:after="700" w:before="0" w:line="300"/>
              <w:jc w:val="start"/>
            </w:pPr>
            <w:r>
              <w:rPr>
                <w:rFonts w:ascii="Arial" w:cs="Arial" w:eastAsia="Arial" w:hAnsi="Arial"/>
                <w:color w:val="6E8CA6"/>
                <w:sz w:val="14"/>
                <w:szCs w:val="14"/>
              </w:rPr>
              <w:t xml:space="preserve">NASAQ DIGITAL SOLUTIONS CO</w:t>
            </w:r>
          </w:p>
          <w:p>
            <w:pPr>
              <w:bidi/>
              <w:spacing w:after="90" w:before="0" w:line="300"/>
              <w:jc w:val="start"/>
            </w:pPr>
            <w:r>
              <w:rPr>
                <w:rFonts w:ascii="Arial" w:cs="Arial" w:eastAsia="Arial" w:hAnsi="Arial"/>
                <w:b w:val="false"/>
                <w:bCs w:val="false"/>
                <w:color w:val="C9A227"/>
                <w:sz w:val="19"/>
                <w:szCs w:val="19"/>
                <w:rtl/>
              </w:rPr>
              <w:t xml:space="preserve">معيار تقني</w:t>
            </w:r>
          </w:p>
          <w:p>
            <w:pPr>
              <w:bidi/>
              <w:spacing w:after="120" w:before="0" w:line="420"/>
              <w:jc w:val="start"/>
            </w:pPr>
            <w:r>
              <w:rPr>
                <w:rFonts w:ascii="Arial" w:cs="Arial" w:eastAsia="Arial" w:hAnsi="Arial"/>
                <w:b/>
                <w:bCs/>
                <w:color w:val="FFFFFF"/>
                <w:sz w:val="52"/>
                <w:szCs w:val="52"/>
                <w:rtl/>
              </w:rPr>
              <w:t xml:space="preserve">معيار تصنيف الأصول والبيانات وترميزها</w:t>
            </w:r>
          </w:p>
          <w:p>
            <w:pPr>
              <w:bidi/>
              <w:spacing w:after="260" w:before="0" w:line="300"/>
              <w:jc w:val="start"/>
            </w:pPr>
            <w:r>
              <w:rPr>
                <w:rFonts w:ascii="Arial" w:cs="Arial" w:eastAsia="Arial" w:hAnsi="Arial"/>
                <w:b w:val="false"/>
                <w:bCs w:val="false"/>
                <w:color w:val="AFC4D4"/>
                <w:sz w:val="22"/>
                <w:szCs w:val="22"/>
                <w:rtl/>
              </w:rPr>
              <w:t xml:space="preserve">أربعة مستويات · قواعد التصنيف · الوسم الآلي</w:t>
            </w:r>
          </w:p>
          <w:p>
            <w:pPr>
              <w:bidi/>
              <w:spacing w:after="0" w:before="0" w:line="300"/>
              <w:jc w:val="start"/>
            </w:pPr>
            <w:r>
              <w:rPr>
                <w:rFonts w:ascii="Arial" w:cs="Arial" w:eastAsia="Arial" w:hAnsi="Arial"/>
                <w:b/>
                <w:bCs/>
                <w:color w:val="C9A227"/>
                <w:sz w:val="18"/>
                <w:szCs w:val="18"/>
                <w:rtl/>
              </w:rPr>
              <w:t xml:space="preserve">تصنيف الوثيقة: سري</w:t>
            </w:r>
          </w:p>
        </w:tc>
      </w:tr>
    </w:tbl>
    <w:p>
      <w:pPr>
        <w:bidi/>
        <w:spacing w:after="260" w:before="0" w:line="300"/>
        <w:jc w:val="start"/>
      </w:pPr>
      <w:r>
        <w:rPr>
          <w:rFonts w:ascii="Arial" w:cs="Arial" w:eastAsia="Arial" w:hAnsi="Arial"/>
          <w:b w:val="false"/>
          <w:bCs w:val="false"/>
          <w:color w:val="16202A"/>
          <w:sz w:val="12"/>
          <w:szCs w:val="12"/>
          <w:rtl/>
        </w:rPr>
        <w:t xml:space="preserve"/>
      </w:r>
    </w:p>
    <w:tbl>
      <w:tblPr>
        <w:bidiVisual/>
        <w:tblW w:type="dxa" w:w="9360"/>
        <w:tblBorders>
          <w:top w:val="none"/>
          <w:left w:val="none"/>
          <w:bottom w:val="none"/>
          <w:right w:val="none"/>
          <w:insideH w:val="single" w:color="D8E0E3" w:sz="2"/>
          <w:insideV w:val="none"/>
        </w:tblBorders>
      </w:tblPr>
      <w:tblGrid>
        <w:gridCol w:w="3400"/>
        <w:gridCol w:w="5960"/>
      </w:tblGrid>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CS-STD-011</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الإصدار</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1.0</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مالك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وحدة الحوكمة والمخاطر والالتزام</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جهة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الرئيس التنفيذي — صاحب الصلاحية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١٤٤٨هـ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المراجعة القادمة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١٤٤٩هـ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الضابط المرتبط</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ECC-2:2024 — 2-1-5</w:t>
            </w:r>
          </w:p>
        </w:tc>
      </w:tr>
    </w:tbl>
    <w:p>
      <w:pPr>
        <w:bidi/>
        <w:spacing w:after="360" w:before="0" w:line="300"/>
        <w:jc w:val="start"/>
      </w:pPr>
      <w:r>
        <w:rPr>
          <w:rFonts w:ascii="Arial" w:cs="Arial" w:eastAsia="Arial" w:hAnsi="Arial"/>
          <w:b w:val="false"/>
          <w:bCs w:val="false"/>
          <w:color w:val="16202A"/>
          <w:sz w:val="12"/>
          <w:szCs w:val="12"/>
          <w:rtl/>
        </w:rPr>
        <w:t xml:space="preserve"/>
      </w:r>
    </w:p>
    <w:p>
      <w:pPr>
        <w:bidi/>
        <w:spacing w:after="0" w:before="0" w:line="300"/>
        <w:jc w:val="start"/>
      </w:pPr>
      <w:r>
        <w:rPr>
          <w:rFonts w:ascii="Arial" w:cs="Arial" w:eastAsia="Arial" w:hAnsi="Arial"/>
          <w:b w:val="false"/>
          <w:bCs w:val="false"/>
          <w:color w:val="5A6672"/>
          <w:sz w:val="16"/>
          <w:szCs w:val="16"/>
          <w:rtl/>
        </w:rPr>
        <w:t xml:space="preserve">هذه الوثيقة ملكية فكرية لـ شركة نَسَق للحلول الرقمية، وتصنيفها «سري». لا يجوز نسخها أو تداولها خارج الشركة دون موافقة خطية من مالك الوثيقة.</w:t>
      </w:r>
    </w:p>
    <w:p>
      <w:pPr>
        <w:sectPr>
          <w:headerReference w:type="default" r:id="rId7"/>
          <w:footerReference w:type="default" r:id="rId8"/>
          <w:pgSz w:w="11906" w:h="16838" w:orient="portrait"/>
          <w:pgMar w:top="1000" w:right="1080" w:bottom="900" w:left="1080" w:header="708" w:footer="708" w:gutter="0"/>
          <w:pgNumType/>
          <w:docGrid w:linePitch="360"/>
        </w:sectPr>
      </w:pPr>
    </w:p>
    <w:p>
      <w:pPr>
        <w:pStyle w:val="Heading1"/>
        <w:bidi/>
        <w:spacing w:after="200" w:before="0" w:line="300"/>
        <w:jc w:val="start"/>
      </w:pPr>
      <w:r>
        <w:rPr>
          <w:rFonts w:ascii="Arial" w:cs="Arial" w:eastAsia="Arial" w:hAnsi="Arial"/>
          <w:b/>
          <w:bCs/>
          <w:color w:val="15325C"/>
          <w:sz w:val="32"/>
          <w:szCs w:val="32"/>
          <w:rtl/>
        </w:rPr>
        <w:t xml:space="preserve">معيار تصنيف الأصول والبيانات وترميزها</w:t>
      </w:r>
    </w:p>
    <w:p>
      <w:pPr>
        <w:pStyle w:val="Heading2"/>
        <w:bidi/>
        <w:spacing w:after="120" w:before="280" w:line="300"/>
        <w:jc w:val="start"/>
      </w:pPr>
      <w:r>
        <w:rPr>
          <w:rFonts w:ascii="Arial" w:cs="Arial" w:eastAsia="Arial" w:hAnsi="Arial"/>
          <w:b/>
          <w:bCs/>
          <w:color w:val="15325C"/>
          <w:sz w:val="27"/>
          <w:szCs w:val="27"/>
          <w:rtl/>
        </w:rPr>
        <w:t xml:space="preserve">الغرض</w:t>
      </w:r>
    </w:p>
    <w:p>
      <w:pPr>
        <w:bidi/>
        <w:spacing w:after="140" w:before="0" w:line="300"/>
        <w:jc w:val="start"/>
      </w:pPr>
      <w:r>
        <w:rPr>
          <w:rFonts w:ascii="Arial" w:cs="Arial" w:eastAsia="Arial" w:hAnsi="Arial"/>
          <w:b w:val="false"/>
          <w:bCs w:val="false"/>
          <w:color w:val="16202A"/>
          <w:sz w:val="21"/>
          <w:szCs w:val="21"/>
          <w:rtl/>
        </w:rPr>
        <w:t xml:space="preserve">يحدد هذا المعيار كيفية تصنيف الأصول والبيانات في شركة نَسَق للحلول الرقمية وترميزها والتعامل معها، لأن ضوابط الحماية تُشتق من التصنيف ولا يمكن تطبيقها قبله، ويُعدّ مخرَجاً من حزمة العمل WP-14.</w:t>
      </w:r>
    </w:p>
    <w:p>
      <w:pPr>
        <w:pStyle w:val="Heading2"/>
        <w:bidi/>
        <w:spacing w:after="120" w:before="280" w:line="300"/>
        <w:jc w:val="start"/>
      </w:pPr>
      <w:r>
        <w:rPr>
          <w:rFonts w:ascii="Arial" w:cs="Arial" w:eastAsia="Arial" w:hAnsi="Arial"/>
          <w:b/>
          <w:bCs/>
          <w:color w:val="15325C"/>
          <w:sz w:val="27"/>
          <w:szCs w:val="27"/>
          <w:rtl/>
        </w:rPr>
        <w:t xml:space="preserve">المرجعية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4853"/>
        <w:gridCol w:w="4507"/>
      </w:tblGrid>
      <w:tr>
        <w:trPr>
          <w:tblHeader/>
        </w:trPr>
        <w:tc>
          <w:tcPr>
            <w:tcW w:type="dxa" w:w="485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المرجع</w:t>
            </w:r>
          </w:p>
        </w:tc>
        <w:tc>
          <w:tcPr>
            <w:tcW w:type="dxa" w:w="450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العلاقة</w:t>
            </w:r>
          </w:p>
        </w:tc>
      </w:tr>
      <w:tr>
        <w:trPr>
          <w:tblHeader w:val="false"/>
        </w:trPr>
        <w:tc>
          <w:tcPr>
            <w:tcW w:type="dxa" w:w="485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ECC-2:2024 — الضابط ٢-١-٥</w:t>
            </w:r>
          </w:p>
        </w:tc>
        <w:tc>
          <w:tcPr>
            <w:tcW w:type="dxa" w:w="450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الضابط الذي يستوفيه هذا المعيار</w:t>
            </w:r>
          </w:p>
        </w:tc>
      </w:tr>
      <w:tr>
        <w:trPr>
          <w:tblHeader w:val="false"/>
        </w:trPr>
        <w:tc>
          <w:tcPr>
            <w:tcW w:type="dxa" w:w="485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سياسة إدارة الأصول CS-POL-005</w:t>
            </w:r>
          </w:p>
        </w:tc>
        <w:tc>
          <w:tcPr>
            <w:tcW w:type="dxa" w:w="450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السياسة الحاكمة</w:t>
            </w:r>
          </w:p>
        </w:tc>
      </w:tr>
      <w:tr>
        <w:trPr>
          <w:tblHeader w:val="false"/>
        </w:trPr>
        <w:tc>
          <w:tcPr>
            <w:tcW w:type="dxa" w:w="485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سياسة حماية البيانات والمعلومات CS-POL-006</w:t>
            </w:r>
          </w:p>
        </w:tc>
        <w:tc>
          <w:tcPr>
            <w:tcW w:type="dxa" w:w="450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ضوابط الحماية لكل مستوى</w:t>
            </w:r>
          </w:p>
        </w:tc>
      </w:tr>
      <w:tr>
        <w:trPr>
          <w:tblHeader w:val="false"/>
        </w:trPr>
        <w:tc>
          <w:tcPr>
            <w:tcW w:type="dxa" w:w="485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نظام حماية البيانات الشخصية</w:t>
            </w:r>
          </w:p>
        </w:tc>
        <w:tc>
          <w:tcPr>
            <w:tcW w:type="dxa" w:w="450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المتطلبات النظامية على البيانات الشخصية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مستويات التصنيف</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294"/>
        <w:gridCol w:w="1294"/>
        <w:gridCol w:w="3385"/>
        <w:gridCol w:w="3387"/>
      </w:tblGrid>
      <w:tr>
        <w:trPr>
          <w:tblHeader/>
        </w:trPr>
        <w:tc>
          <w:tcPr>
            <w:tcW w:type="dxa" w:w="129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المستوى</w:t>
            </w:r>
          </w:p>
        </w:tc>
        <w:tc>
          <w:tcPr>
            <w:tcW w:type="dxa" w:w="129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الرمز</w:t>
            </w:r>
          </w:p>
        </w:tc>
        <w:tc>
          <w:tcPr>
            <w:tcW w:type="dxa" w:w="338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معيار التصنيف</w:t>
            </w:r>
          </w:p>
        </w:tc>
        <w:tc>
          <w:tcPr>
            <w:tcW w:type="dxa" w:w="338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أمثلة في نَسَق</w:t>
            </w:r>
          </w:p>
        </w:tc>
      </w:tr>
      <w:tr>
        <w:trPr>
          <w:tblHeader w:val="false"/>
        </w:trPr>
        <w:tc>
          <w:tcPr>
            <w:tcW w:type="dxa" w:w="129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سري جداً</w:t>
            </w:r>
          </w:p>
        </w:tc>
        <w:tc>
          <w:tcPr>
            <w:tcW w:type="dxa" w:w="129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TS</w:t>
            </w:r>
          </w:p>
        </w:tc>
        <w:tc>
          <w:tcPr>
            <w:tcW w:type="dxa" w:w="338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إفشاؤه يسبب ضرراً جسيماً للمستفيدين أو الجهات العميلة أو الأمن الوطني</w:t>
            </w:r>
          </w:p>
        </w:tc>
        <w:tc>
          <w:tcPr>
            <w:tcW w:type="dxa" w:w="338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بيانات هوية المستفيدين · بيانات المدفوعات · مفاتيح التشفير · تقارير اختبار الاختراق</w:t>
            </w:r>
          </w:p>
        </w:tc>
      </w:tr>
      <w:tr>
        <w:trPr>
          <w:tblHeader w:val="false"/>
        </w:trPr>
        <w:tc>
          <w:tcPr>
            <w:tcW w:type="dxa" w:w="129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سري</w:t>
            </w:r>
          </w:p>
        </w:tc>
        <w:tc>
          <w:tcPr>
            <w:tcW w:type="dxa" w:w="129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S</w:t>
            </w:r>
          </w:p>
        </w:tc>
        <w:tc>
          <w:tcPr>
            <w:tcW w:type="dxa" w:w="338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إفشاؤه يسبب ضرراً بالغاً بالشركة أو بجهة عميلة</w:t>
            </w:r>
          </w:p>
        </w:tc>
        <w:tc>
          <w:tcPr>
            <w:tcW w:type="dxa" w:w="338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الكود المصدري · بيانات الموظفين · تقارير الثغرات · العقود</w:t>
            </w:r>
          </w:p>
        </w:tc>
      </w:tr>
      <w:tr>
        <w:trPr>
          <w:tblHeader w:val="false"/>
        </w:trPr>
        <w:tc>
          <w:tcPr>
            <w:tcW w:type="dxa" w:w="129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داخلي</w:t>
            </w:r>
          </w:p>
        </w:tc>
        <w:tc>
          <w:tcPr>
            <w:tcW w:type="dxa" w:w="129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I</w:t>
            </w:r>
          </w:p>
        </w:tc>
        <w:tc>
          <w:tcPr>
            <w:tcW w:type="dxa" w:w="338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إفشاؤه يسبب ضرراً محدوداً</w:t>
            </w:r>
          </w:p>
        </w:tc>
        <w:tc>
          <w:tcPr>
            <w:tcW w:type="dxa" w:w="338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سجلات التشغيل · الوثائق الإدارية · المخططات العامة</w:t>
            </w:r>
          </w:p>
        </w:tc>
      </w:tr>
      <w:tr>
        <w:trPr>
          <w:tblHeader w:val="false"/>
        </w:trPr>
        <w:tc>
          <w:tcPr>
            <w:tcW w:type="dxa" w:w="129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عام</w:t>
            </w:r>
          </w:p>
        </w:tc>
        <w:tc>
          <w:tcPr>
            <w:tcW w:type="dxa" w:w="129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P</w:t>
            </w:r>
          </w:p>
        </w:tc>
        <w:tc>
          <w:tcPr>
            <w:tcW w:type="dxa" w:w="338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 ضرر من إفشائه</w:t>
            </w:r>
          </w:p>
        </w:tc>
        <w:tc>
          <w:tcPr>
            <w:tcW w:type="dxa" w:w="338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المواد التسويقية · الوثائق المنشورة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قواعد التصنيف</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588"/>
        <w:gridCol w:w="6772"/>
      </w:tblGrid>
      <w:tr>
        <w:trPr>
          <w:tblHeader/>
        </w:trPr>
        <w:tc>
          <w:tcPr>
            <w:tcW w:type="dxa" w:w="258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القاعدة</w:t>
            </w:r>
          </w:p>
        </w:tc>
        <w:tc>
          <w:tcPr>
            <w:tcW w:type="dxa" w:w="67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التفصيل</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المسؤولية</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مالك الأصل هو من يصنّفه، لا إدارة الأمن السيبراني</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الافتراض</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الأصل غير المصنّف يُعامَل معاملة «سري» حتى يُصنَّف</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التصنيف الأعلى</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يأخذ الأصل تصنيف أعلى بيان يحمله، لا متوسط تصنيفاته</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التراكم</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مجموعة بيانات بتصنيف أدنى قد ترتفع عند تجميعها إن أنتج التجميع معلومة أكثر حساسية</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بيانات الجهات العميلة</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 تُصنَّف أدنى من تصنيف الجهة المالكة لها</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المراجعة</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يُراجَع التصنيف عند تغيّر استخدام الأصل أو محتواه</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قاعدة التراكم عملياً:</w:t>
      </w:r>
      <w:r>
        <w:rPr>
          <w:rFonts w:ascii="Arial" w:cs="Arial" w:eastAsia="Arial" w:hAnsi="Arial"/>
          <w:b w:val="false"/>
          <w:bCs w:val="false"/>
          <w:color w:val="16202A"/>
          <w:sz w:val="21"/>
          <w:szCs w:val="21"/>
          <w:rtl/>
        </w:rPr>
        <w:t xml:space="preserve"> قائمة أرقام هواتف مصنّفة «داخلي»، لكن ربطها بأسماء مستفيدين وحالات طلباتهم ينتج بياناً شخصياً مصنّفاً «سري جداً».</w:t>
      </w:r>
    </w:p>
    <w:p>
      <w:pPr>
        <w:pStyle w:val="Heading2"/>
        <w:bidi/>
        <w:spacing w:after="120" w:before="280" w:line="300"/>
        <w:jc w:val="start"/>
      </w:pPr>
      <w:r>
        <w:rPr>
          <w:rFonts w:ascii="Arial" w:cs="Arial" w:eastAsia="Arial" w:hAnsi="Arial"/>
          <w:b/>
          <w:bCs/>
          <w:color w:val="15325C"/>
          <w:sz w:val="27"/>
          <w:szCs w:val="27"/>
          <w:rtl/>
        </w:rPr>
        <w:t xml:space="preserve">الترميز</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734"/>
        <w:gridCol w:w="6626"/>
      </w:tblGrid>
      <w:tr>
        <w:trPr>
          <w:tblHeader/>
        </w:trPr>
        <w:tc>
          <w:tcPr>
            <w:tcW w:type="dxa" w:w="273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نوع الأصل</w:t>
            </w:r>
          </w:p>
        </w:tc>
        <w:tc>
          <w:tcPr>
            <w:tcW w:type="dxa" w:w="662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آلية الترميز</w:t>
            </w:r>
          </w:p>
        </w:tc>
      </w:tr>
      <w:tr>
        <w:trPr>
          <w:tblHeader w:val="false"/>
        </w:trPr>
        <w:tc>
          <w:tcPr>
            <w:tcW w:type="dxa" w:w="27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الوثائق</w:t>
            </w:r>
          </w:p>
        </w:tc>
        <w:tc>
          <w:tcPr>
            <w:tcW w:type="dxa" w:w="662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وسم التصنيف في ترويسة وتذييل كل صفحة</w:t>
            </w:r>
          </w:p>
        </w:tc>
      </w:tr>
      <w:tr>
        <w:trPr>
          <w:tblHeader w:val="false"/>
        </w:trPr>
        <w:tc>
          <w:tcPr>
            <w:tcW w:type="dxa" w:w="27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قواعد البيانات</w:t>
            </w:r>
          </w:p>
        </w:tc>
        <w:tc>
          <w:tcPr>
            <w:tcW w:type="dxa" w:w="662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وسم على مستوى القاعدة والجدول والحقل للبيانات المصنّفة سري جداً</w:t>
            </w:r>
          </w:p>
        </w:tc>
      </w:tr>
      <w:tr>
        <w:trPr>
          <w:tblHeader w:val="false"/>
        </w:trPr>
        <w:tc>
          <w:tcPr>
            <w:tcW w:type="dxa" w:w="27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الموارد السحابية</w:t>
            </w:r>
          </w:p>
        </w:tc>
        <w:tc>
          <w:tcPr>
            <w:tcW w:type="dxa" w:w="662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وسم إلزامي بحقل التصنيف · يُمنع إنشاء مورد بلا وسم</w:t>
            </w:r>
          </w:p>
        </w:tc>
      </w:tr>
      <w:tr>
        <w:trPr>
          <w:tblHeader w:val="false"/>
        </w:trPr>
        <w:tc>
          <w:tcPr>
            <w:tcW w:type="dxa" w:w="27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الحاويات وصورها</w:t>
            </w:r>
          </w:p>
        </w:tc>
        <w:tc>
          <w:tcPr>
            <w:tcW w:type="dxa" w:w="662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وسم في بيانات الصورة</w:t>
            </w:r>
          </w:p>
        </w:tc>
      </w:tr>
      <w:tr>
        <w:trPr>
          <w:tblHeader w:val="false"/>
        </w:trPr>
        <w:tc>
          <w:tcPr>
            <w:tcW w:type="dxa" w:w="27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مستودعات الكود</w:t>
            </w:r>
          </w:p>
        </w:tc>
        <w:tc>
          <w:tcPr>
            <w:tcW w:type="dxa" w:w="662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وسم على مستوى المستودع</w:t>
            </w:r>
          </w:p>
        </w:tc>
      </w:tr>
      <w:tr>
        <w:trPr>
          <w:tblHeader w:val="false"/>
        </w:trPr>
        <w:tc>
          <w:tcPr>
            <w:tcW w:type="dxa" w:w="27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الوسائط المادية</w:t>
            </w:r>
          </w:p>
        </w:tc>
        <w:tc>
          <w:tcPr>
            <w:tcW w:type="dxa" w:w="662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ملصق مادي يحمل التصنيف والمعرّف</w:t>
            </w:r>
          </w:p>
        </w:tc>
      </w:tr>
      <w:tr>
        <w:trPr>
          <w:tblHeader w:val="false"/>
        </w:trPr>
        <w:tc>
          <w:tcPr>
            <w:tcW w:type="dxa" w:w="27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رسائل البريد</w:t>
            </w:r>
          </w:p>
        </w:tc>
        <w:tc>
          <w:tcPr>
            <w:tcW w:type="dxa" w:w="662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وسم التصنيف في الموضوع للمراسلات المصنّفة سري فأعلى</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الوسم الآلي:</w:t>
      </w:r>
      <w:r>
        <w:rPr>
          <w:rFonts w:ascii="Arial" w:cs="Arial" w:eastAsia="Arial" w:hAnsi="Arial"/>
          <w:b w:val="false"/>
          <w:bCs w:val="false"/>
          <w:color w:val="16202A"/>
          <w:sz w:val="21"/>
          <w:szCs w:val="21"/>
          <w:rtl/>
        </w:rPr>
        <w:t xml:space="preserve"> يُمنع إنشاء أي مورد سحابي أو حاوية دون حقل تصنيف، ويُرفض الإنشاء آلياً عند غيابه. الاعتماد على الوسم اليدوي في بيئة تتغير يومياً ينتج جرداً غير دقيق خلال أسابيع.</w:t>
      </w:r>
    </w:p>
    <w:p>
      <w:pPr>
        <w:pStyle w:val="Heading2"/>
        <w:bidi/>
        <w:spacing w:after="120" w:before="280" w:line="300"/>
        <w:jc w:val="start"/>
      </w:pPr>
      <w:r>
        <w:rPr>
          <w:rFonts w:ascii="Arial" w:cs="Arial" w:eastAsia="Arial" w:hAnsi="Arial"/>
          <w:b/>
          <w:bCs/>
          <w:color w:val="15325C"/>
          <w:sz w:val="27"/>
          <w:szCs w:val="27"/>
          <w:rtl/>
        </w:rPr>
        <w:t xml:space="preserve">التعامل مع الأصول بحسب التصنيف</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872"/>
        <w:gridCol w:w="1872"/>
        <w:gridCol w:w="1872"/>
        <w:gridCol w:w="1872"/>
        <w:gridCol w:w="1872"/>
      </w:tblGrid>
      <w:tr>
        <w:trPr>
          <w:tblHeader/>
        </w:trPr>
        <w:tc>
          <w:tcPr>
            <w:tcW w:type="dxa" w:w="18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الإجراء</w:t>
            </w:r>
          </w:p>
        </w:tc>
        <w:tc>
          <w:tcPr>
            <w:tcW w:type="dxa" w:w="18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سري جداً</w:t>
            </w:r>
          </w:p>
        </w:tc>
        <w:tc>
          <w:tcPr>
            <w:tcW w:type="dxa" w:w="18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سري</w:t>
            </w:r>
          </w:p>
        </w:tc>
        <w:tc>
          <w:tcPr>
            <w:tcW w:type="dxa" w:w="18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داخلي</w:t>
            </w:r>
          </w:p>
        </w:tc>
        <w:tc>
          <w:tcPr>
            <w:tcW w:type="dxa" w:w="18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عام</w:t>
            </w:r>
          </w:p>
        </w:tc>
      </w:tr>
      <w:tr>
        <w:trPr>
          <w:tblHeader w:val="false"/>
        </w:trPr>
        <w:tc>
          <w:tcPr>
            <w:tcW w:type="dxa" w:w="18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التخزين</w:t>
            </w:r>
          </w:p>
        </w:tc>
        <w:tc>
          <w:tcPr>
            <w:tcW w:type="dxa" w:w="18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مشفَّر + وصول مسجَّل</w:t>
            </w:r>
          </w:p>
        </w:tc>
        <w:tc>
          <w:tcPr>
            <w:tcW w:type="dxa" w:w="18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مشفَّر</w:t>
            </w:r>
          </w:p>
        </w:tc>
        <w:tc>
          <w:tcPr>
            <w:tcW w:type="dxa" w:w="18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مشفَّر على مستوى التخزين</w:t>
            </w:r>
          </w:p>
        </w:tc>
        <w:tc>
          <w:tcPr>
            <w:tcW w:type="dxa" w:w="18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عادي</w:t>
            </w:r>
          </w:p>
        </w:tc>
      </w:tr>
      <w:tr>
        <w:trPr>
          <w:tblHeader w:val="false"/>
        </w:trPr>
        <w:tc>
          <w:tcPr>
            <w:tcW w:type="dxa" w:w="18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النقل داخلياً</w:t>
            </w:r>
          </w:p>
        </w:tc>
        <w:tc>
          <w:tcPr>
            <w:tcW w:type="dxa" w:w="18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قنوات مشفَّرة معتمدة</w:t>
            </w:r>
          </w:p>
        </w:tc>
        <w:tc>
          <w:tcPr>
            <w:tcW w:type="dxa" w:w="18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قنوات مشفَّرة</w:t>
            </w:r>
          </w:p>
        </w:tc>
        <w:tc>
          <w:tcPr>
            <w:tcW w:type="dxa" w:w="18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قنوات الشركة</w:t>
            </w:r>
          </w:p>
        </w:tc>
        <w:tc>
          <w:tcPr>
            <w:tcW w:type="dxa" w:w="18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أي قناة</w:t>
            </w:r>
          </w:p>
        </w:tc>
      </w:tr>
      <w:tr>
        <w:trPr>
          <w:tblHeader w:val="false"/>
        </w:trPr>
        <w:tc>
          <w:tcPr>
            <w:tcW w:type="dxa" w:w="18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النقل خارجياً</w:t>
            </w:r>
          </w:p>
        </w:tc>
        <w:tc>
          <w:tcPr>
            <w:tcW w:type="dxa" w:w="18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ممنوع إلا باعتماد مزدوج</w:t>
            </w:r>
          </w:p>
        </w:tc>
        <w:tc>
          <w:tcPr>
            <w:tcW w:type="dxa" w:w="18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باعتماد المالك</w:t>
            </w:r>
          </w:p>
        </w:tc>
        <w:tc>
          <w:tcPr>
            <w:tcW w:type="dxa" w:w="18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باعتماد المدير</w:t>
            </w:r>
          </w:p>
        </w:tc>
        <w:tc>
          <w:tcPr>
            <w:tcW w:type="dxa" w:w="18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مسموح</w:t>
            </w:r>
          </w:p>
        </w:tc>
      </w:tr>
      <w:tr>
        <w:trPr>
          <w:tblHeader w:val="false"/>
        </w:trPr>
        <w:tc>
          <w:tcPr>
            <w:tcW w:type="dxa" w:w="18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الطباعة</w:t>
            </w:r>
          </w:p>
        </w:tc>
        <w:tc>
          <w:tcPr>
            <w:tcW w:type="dxa" w:w="18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ممنوعة إلا بمبرر موثق</w:t>
            </w:r>
          </w:p>
        </w:tc>
        <w:tc>
          <w:tcPr>
            <w:tcW w:type="dxa" w:w="18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بحرص · لا تُترك دون إشراف</w:t>
            </w:r>
          </w:p>
        </w:tc>
        <w:tc>
          <w:tcPr>
            <w:tcW w:type="dxa" w:w="18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مسموح</w:t>
            </w:r>
          </w:p>
        </w:tc>
        <w:tc>
          <w:tcPr>
            <w:tcW w:type="dxa" w:w="18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مسموح</w:t>
            </w:r>
          </w:p>
        </w:tc>
      </w:tr>
      <w:tr>
        <w:trPr>
          <w:tblHeader w:val="false"/>
        </w:trPr>
        <w:tc>
          <w:tcPr>
            <w:tcW w:type="dxa" w:w="18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النسخ لبيئات الاختبار</w:t>
            </w:r>
          </w:p>
        </w:tc>
        <w:tc>
          <w:tcPr>
            <w:tcW w:type="dxa" w:w="18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ممنوع — تقنيع إلزامي</w:t>
            </w:r>
          </w:p>
        </w:tc>
        <w:tc>
          <w:tcPr>
            <w:tcW w:type="dxa" w:w="18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ممنوع — تقنيع إلزامي</w:t>
            </w:r>
          </w:p>
        </w:tc>
        <w:tc>
          <w:tcPr>
            <w:tcW w:type="dxa" w:w="18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باعتماد المالك</w:t>
            </w:r>
          </w:p>
        </w:tc>
        <w:tc>
          <w:tcPr>
            <w:tcW w:type="dxa" w:w="18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مسموح</w:t>
            </w:r>
          </w:p>
        </w:tc>
      </w:tr>
      <w:tr>
        <w:trPr>
          <w:tblHeader w:val="false"/>
        </w:trPr>
        <w:tc>
          <w:tcPr>
            <w:tcW w:type="dxa" w:w="18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الإتلاف</w:t>
            </w:r>
          </w:p>
        </w:tc>
        <w:tc>
          <w:tcPr>
            <w:tcW w:type="dxa" w:w="18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إتلاف آمن موثق بإفادة</w:t>
            </w:r>
          </w:p>
        </w:tc>
        <w:tc>
          <w:tcPr>
            <w:tcW w:type="dxa" w:w="18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إتلاف آمن</w:t>
            </w:r>
          </w:p>
        </w:tc>
        <w:tc>
          <w:tcPr>
            <w:tcW w:type="dxa" w:w="18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حذف عادي</w:t>
            </w:r>
          </w:p>
        </w:tc>
        <w:tc>
          <w:tcPr>
            <w:tcW w:type="dxa" w:w="18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مسؤوليات التنفيذ</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333"/>
        <w:gridCol w:w="6027"/>
      </w:tblGrid>
      <w:tr>
        <w:trPr>
          <w:tblHeader/>
        </w:trPr>
        <w:tc>
          <w:tcPr>
            <w:tcW w:type="dxa" w:w="333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602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المسؤولية</w:t>
            </w:r>
          </w:p>
        </w:tc>
      </w:tr>
      <w:tr>
        <w:trPr>
          <w:tblHeader w:val="false"/>
        </w:trPr>
        <w:tc>
          <w:tcPr>
            <w:tcW w:type="dxa" w:w="33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مالك الأصل</w:t>
            </w:r>
          </w:p>
        </w:tc>
        <w:tc>
          <w:tcPr>
            <w:tcW w:type="dxa" w:w="602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التصنيف والمراجعة واعتماد الاستثناءات</w:t>
            </w:r>
          </w:p>
        </w:tc>
      </w:tr>
      <w:tr>
        <w:trPr>
          <w:tblHeader w:val="false"/>
        </w:trPr>
        <w:tc>
          <w:tcPr>
            <w:tcW w:type="dxa" w:w="333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c>
          <w:tcPr>
            <w:tcW w:type="dxa" w:w="602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تطبيق الوسم الآلي ومنع الإنشاء بلا تصنيف</w:t>
            </w:r>
          </w:p>
        </w:tc>
      </w:tr>
      <w:tr>
        <w:trPr>
          <w:tblHeader w:val="false"/>
        </w:trPr>
        <w:tc>
          <w:tcPr>
            <w:tcW w:type="dxa" w:w="33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الهندسة والتطوير</w:t>
            </w:r>
          </w:p>
        </w:tc>
        <w:tc>
          <w:tcPr>
            <w:tcW w:type="dxa" w:w="602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وسم المستودعات والحاويات وتقنيع بيانات الاختبار</w:t>
            </w:r>
          </w:p>
        </w:tc>
      </w:tr>
      <w:tr>
        <w:trPr>
          <w:tblHeader w:val="false"/>
        </w:trPr>
        <w:tc>
          <w:tcPr>
            <w:tcW w:type="dxa" w:w="333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w:t>
            </w:r>
          </w:p>
        </w:tc>
        <w:tc>
          <w:tcPr>
            <w:tcW w:type="dxa" w:w="602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التحقق من اكتمال التصنيف ضمن المراجعة الدورية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المراجعة والتحديث</w:t>
      </w:r>
    </w:p>
    <w:p>
      <w:pPr>
        <w:bidi/>
        <w:spacing w:after="140" w:before="0" w:line="300"/>
        <w:jc w:val="start"/>
      </w:pPr>
      <w:r>
        <w:rPr>
          <w:rFonts w:ascii="Arial" w:cs="Arial" w:eastAsia="Arial" w:hAnsi="Arial"/>
          <w:b w:val="false"/>
          <w:bCs w:val="false"/>
          <w:color w:val="16202A"/>
          <w:sz w:val="21"/>
          <w:szCs w:val="21"/>
          <w:rtl/>
        </w:rPr>
        <w:t xml:space="preserve">يُراجَع هذا المعيار سنوياً على الأقل. ويُراجَع اكتمال تصنيف الأصول ربع سنوياً ضمن مراجعة سجل الأصول. وتُوثَّق التغييرات وتُعتمد من صاحب الصلاحية.</w:t>
      </w:r>
    </w:p>
    <w:p>
      <w:pPr>
        <w:pStyle w:val="Heading2"/>
        <w:bidi/>
        <w:spacing w:after="120" w:before="280" w:line="300"/>
        <w:jc w:val="start"/>
      </w:pPr>
      <w:r>
        <w:rPr>
          <w:rFonts w:ascii="Arial" w:cs="Arial" w:eastAsia="Arial" w:hAnsi="Arial"/>
          <w:b/>
          <w:bCs/>
          <w:color w:val="15325C"/>
          <w:sz w:val="27"/>
          <w:szCs w:val="27"/>
          <w:rtl/>
        </w:rPr>
        <w:t xml:space="preserve">سجل التغييرات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340"/>
        <w:gridCol w:w="2340"/>
        <w:gridCol w:w="2340"/>
        <w:gridCol w:w="2340"/>
      </w:tblGrid>
      <w:tr>
        <w:trPr>
          <w:tblHeader/>
        </w:trPr>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الإصدار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التغيير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المعتمِد</w:t>
            </w:r>
          </w:p>
        </w:tc>
      </w:tr>
      <w:tr>
        <w:trPr>
          <w:tblHeader w:val="false"/>
        </w:trPr>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 ربيع الأول ١٤٤٨هـ</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الإصدار الأول</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الرئيس التنفيذي</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الاعتماد</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931"/>
        <w:gridCol w:w="3565"/>
        <w:gridCol w:w="1931"/>
        <w:gridCol w:w="1933"/>
      </w:tblGrid>
      <w:tr>
        <w:trPr>
          <w:tblHeader/>
        </w:trPr>
        <w:tc>
          <w:tcPr>
            <w:tcW w:type="dxa" w:w="193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356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الاسم</w:t>
            </w:r>
          </w:p>
        </w:tc>
        <w:tc>
          <w:tcPr>
            <w:tcW w:type="dxa" w:w="193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التوقيع</w:t>
            </w:r>
          </w:p>
        </w:tc>
        <w:tc>
          <w:tcPr>
            <w:tcW w:type="dxa" w:w="193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r>
      <w:tr>
        <w:trPr>
          <w:tblHeader w:val="false"/>
        </w:trPr>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أُعدّ بواسطة</w:t>
            </w:r>
          </w:p>
        </w:tc>
        <w:tc>
          <w:tcPr>
            <w:tcW w:type="dxa" w:w="356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 والمخاطر والالتزام</w:t>
            </w:r>
          </w:p>
        </w:tc>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9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93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رُوجع بواسطة</w:t>
            </w:r>
          </w:p>
        </w:tc>
        <w:tc>
          <w:tcPr>
            <w:tcW w:type="dxa" w:w="356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 ريم الشهري — رئيس الأمن السيبراني</w:t>
            </w:r>
          </w:p>
        </w:tc>
        <w:tc>
          <w:tcPr>
            <w:tcW w:type="dxa" w:w="193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93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اعتُمد بواسطة</w:t>
            </w:r>
          </w:p>
        </w:tc>
        <w:tc>
          <w:tcPr>
            <w:tcW w:type="dxa" w:w="356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بدر العتيبي — الرئيس التنفيذي · صاحب الصلاحية</w:t>
            </w:r>
          </w:p>
        </w:tc>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9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تنويه</w:t>
      </w:r>
    </w:p>
    <w:p>
      <w:pPr>
        <w:bidi/>
        <w:spacing w:after="140" w:before="0" w:line="300"/>
        <w:jc w:val="start"/>
      </w:pPr>
      <w:r>
        <w:rPr>
          <w:rFonts w:ascii="Arial" w:cs="Arial" w:eastAsia="Arial" w:hAnsi="Arial"/>
          <w:b w:val="false"/>
          <w:bCs w:val="false"/>
          <w:color w:val="16202A"/>
          <w:sz w:val="21"/>
          <w:szCs w:val="21"/>
          <w:rtl/>
        </w:rPr>
        <w:t xml:space="preserve">شركة نَسَق وجميع البيانات والأسماء والأرقام الواردة في هذه الوثيقة افتراضية، وأُعدّت لأغراض التدريب على تطبيق الضوابط الأساسية للأمن السيبراني.</w:t>
      </w:r>
    </w:p>
    <w:sectPr>
      <w:headerReference w:type="default" r:id="rId9"/>
      <w:footerReference w:type="default" r:id="rId10"/>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CS-STD-011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CS-STD-011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3" w:sz="2" w:space="6"/>
      </w:pBdr>
      <w:bidi/>
      <w:jc w:val="start"/>
    </w:pPr>
    <w:r>
      <w:rPr>
        <w:rFonts w:ascii="Arial" w:cs="Arial" w:eastAsia="Arial" w:hAnsi="Arial"/>
        <w:b/>
        <w:bCs/>
        <w:color w:val="15325C"/>
        <w:sz w:val="16"/>
        <w:szCs w:val="16"/>
        <w:rtl/>
      </w:rPr>
      <w:t xml:space="preserve">شركة نَسَق للحلول الرقمية — إدارة الأمن السيبراني</w:t>
    </w:r>
    <w:r>
      <w:rPr>
        <w:rFonts w:ascii="Arial" w:cs="Arial" w:eastAsia="Arial" w:hAnsi="Arial"/>
        <w:color w:val="5A6672"/>
        <w:sz w:val="16"/>
        <w:szCs w:val="16"/>
      </w:rPr>
      <w:t xml:space="preserve">	CS-STD-011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2026-10-04T11:48:01.494Z</dcterms:created>
  <dcterms:modified xsi:type="dcterms:W3CDTF">2026-10-04T11:48:01.494Z</dcterms:modified>
</cp:coreProperties>
</file>

<file path=docProps/custom.xml><?xml version="1.0" encoding="utf-8"?>
<Properties xmlns="http://schemas.openxmlformats.org/officeDocument/2006/custom-properties" xmlns:vt="http://schemas.openxmlformats.org/officeDocument/2006/docPropsVTypes"/>
</file>