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C1F3D" w:color="auto" w:val="clear"/>
            <w:tcMar>
              <w:top w:type="dxa" w:w="340"/>
              <w:left w:type="dxa" w:w="340"/>
              <w:bottom w:type="dxa" w:w="340"/>
              <w:right w:type="dxa" w:w="340"/>
            </w:tcMar>
          </w:tcPr>
          <w:p>
            <w:pPr>
              <w:bidi/>
              <w:spacing w:after="4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30"/>
                <w:szCs w:val="30"/>
                <w:rtl/>
              </w:rPr>
              <w:t xml:space="preserve">شركة نَسَق للحلول الرقمية</w:t>
            </w:r>
          </w:p>
          <w:p>
            <w:pPr>
              <w:bidi/>
              <w:spacing w:after="3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9FB6C9"/>
                <w:sz w:val="18"/>
                <w:szCs w:val="18"/>
                <w:rtl/>
              </w:rPr>
              <w:t xml:space="preserve">إدارة الأمن السيبراني</w:t>
            </w:r>
          </w:p>
          <w:p>
            <w:pPr>
              <w:bidi/>
              <w:spacing w:after="700" w:before="0" w:line="300"/>
              <w:jc w:val="start"/>
            </w:pPr>
            <w:r>
              <w:rPr>
                <w:rFonts w:ascii="Arial" w:cs="Arial" w:eastAsia="Arial" w:hAnsi="Arial"/>
                <w:color w:val="6E8CA6"/>
                <w:sz w:val="14"/>
                <w:szCs w:val="14"/>
              </w:rPr>
              <w:t xml:space="preserve">NASAQ DIGITAL SOLUTIONS CO</w:t>
            </w:r>
          </w:p>
          <w:p>
            <w:pPr>
              <w:bidi/>
              <w:spacing w:after="9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C9A227"/>
                <w:sz w:val="19"/>
                <w:szCs w:val="19"/>
                <w:rtl/>
              </w:rPr>
              <w:t xml:space="preserve">تقرير اختبار</w:t>
            </w:r>
          </w:p>
          <w:p>
            <w:pPr>
              <w:bidi/>
              <w:spacing w:after="120" w:before="0" w:line="42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  <w:rtl/>
              </w:rPr>
              <w:t xml:space="preserve">تقرير اختبار الاختراق — الملخص الإداري</w:t>
            </w:r>
          </w:p>
          <w:p>
            <w:pPr>
              <w:bidi/>
              <w:spacing w:after="26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AFC4D4"/>
                <w:sz w:val="22"/>
                <w:szCs w:val="22"/>
                <w:rtl/>
              </w:rPr>
              <w:t xml:space="preserve">٦٩ ملاحظة · أربع حرجة · قياس قدرة الكشف</w:t>
            </w:r>
          </w:p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/>
                <w:bCs/>
                <w:color w:val="C9A227"/>
                <w:sz w:val="18"/>
                <w:szCs w:val="18"/>
                <w:rtl/>
              </w:rPr>
              <w:t xml:space="preserve">تصنيف الوثيقة: سري جداً</w:t>
            </w:r>
          </w:p>
        </w:tc>
      </w:tr>
    </w:tbl>
    <w:p>
      <w:pPr>
        <w:bidi/>
        <w:spacing w:after="2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tbl>
      <w:tblPr>
        <w:bidiVisual/>
        <w:tblW w:type="dxa" w:w="9360"/>
        <w:tblBorders>
          <w:top w:val="none"/>
          <w:left w:val="none"/>
          <w:bottom w:val="none"/>
          <w:right w:val="none"/>
          <w:insideH w:val="single" w:color="D8E0E3" w:sz="2"/>
          <w:insideV w:val="none"/>
        </w:tblBorders>
      </w:tblPr>
      <w:tblGrid>
        <w:gridCol w:w="3400"/>
        <w:gridCol w:w="5960"/>
      </w:tblGrid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CS-REG-016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رقم الإصدار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1.0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مالك الوثيقة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جهة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الرئيس التنفيذي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الاعتماد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١ ربيع الأول ١٤٤٩هـ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تاريخ المراجعة القادمة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ربع سنوي</w:t>
            </w:r>
          </w:p>
        </w:tc>
      </w:tr>
      <w:tr>
        <w:tc>
          <w:tcPr>
            <w:tcW w:type="dxa" w:w="3400"/>
            <w:tcMar>
              <w:top w:type="dxa" w:w="130"/>
              <w:bottom w:type="dxa" w:w="130"/>
              <w:right w:type="dxa" w:w="6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5A6672"/>
                <w:sz w:val="19"/>
                <w:szCs w:val="19"/>
                <w:rtl/>
              </w:rPr>
              <w:t xml:space="preserve">الضابط المرتبط</w:t>
            </w:r>
          </w:p>
        </w:tc>
        <w:tc>
          <w:tcPr>
            <w:tcW w:type="dxa" w:w="5960"/>
            <w:tcMar>
              <w:top w:type="dxa" w:w="130"/>
              <w:left w:type="dxa" w:w="60"/>
              <w:bottom w:type="dxa" w:w="130"/>
            </w:tcMar>
          </w:tcPr>
          <w:p>
            <w:pPr>
              <w:bidi/>
              <w:spacing w:after="0" w:before="0" w:line="300"/>
              <w:jc w:val="end"/>
            </w:pPr>
            <w:r>
              <w:rPr>
                <w:rFonts w:ascii="Arial" w:cs="Arial" w:eastAsia="Arial" w:hAnsi="Arial"/>
                <w:b/>
                <w:bCs/>
                <w:color w:val="16202A"/>
                <w:sz w:val="19"/>
                <w:szCs w:val="19"/>
                <w:rtl/>
              </w:rPr>
              <w:t xml:space="preserve">ECC-2:2024 — 2-11-2 · 2-11-3</w:t>
            </w:r>
          </w:p>
        </w:tc>
      </w:tr>
    </w:tbl>
    <w:p>
      <w:pPr>
        <w:bidi/>
        <w:spacing w:after="36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12"/>
          <w:szCs w:val="12"/>
          <w:rtl/>
        </w:rPr>
        <w:t xml:space="preserve"/>
      </w:r>
    </w:p>
    <w:p>
      <w:pPr>
        <w:bidi/>
        <w:spacing w:after="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5A6672"/>
          <w:sz w:val="16"/>
          <w:szCs w:val="16"/>
          <w:rtl/>
        </w:rPr>
        <w:t xml:space="preserve">هذه الوثيقة ملكية فكرية لـ شركة نَسَق للحلول الرقمية، وتصنيفها «سري جداً». لا يجوز نسخها أو تداولها خارج الشركة دون موافقة خطية من مالك الوثيقة.</w:t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000" w:right="1080" w:bottom="900" w:left="1080" w:header="708" w:footer="708" w:gutter="0"/>
          <w:pgNumType/>
          <w:docGrid w:linePitch="360"/>
        </w:sectPr>
      </w:pPr>
    </w:p>
    <w:p>
      <w:pPr>
        <w:pStyle w:val="Heading1"/>
        <w:bidi/>
        <w:spacing w:after="20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32"/>
          <w:szCs w:val="32"/>
          <w:rtl/>
        </w:rPr>
        <w:t xml:space="preserve">تقرير اختبار الاختراق — الملخص الإداري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الغرض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يلخّص هذا التقرير نتائج أول اختبار اختراق شامل نُفّذ على أنظمة شركة نَسَق للحلول الرقمية، ويُعدّ دليل التزام بالضابطين ٢-١١-٢ و ٢-١١-٣ ومخرَجاً من حزمة العمل WP-17.</w:t>
      </w:r>
    </w:p>
    <w:tbl>
      <w:tblPr>
        <w:bidiVisual/>
        <w:tblW w:type="dxa" w:w="9360"/>
        <w:tblBorders>
          <w:top w:val="none"/>
          <w:left w:val="none"/>
          <w:bottom w:val="none"/>
          <w:right w:val="single" w:color="15325C" w:sz="18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5325C" w:sz="18"/>
            </w:tcBorders>
            <w:shd w:fill="F2F7F8" w:color="auto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bidi/>
              <w:spacing w:after="0" w:before="0" w:line="30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0C1F3D"/>
                <w:sz w:val="20"/>
                <w:szCs w:val="20"/>
                <w:rtl/>
              </w:rPr>
              <w:t xml:space="preserve">التقرير الفني الكامل مصنّف </w:t>
            </w:r>
            <w:r>
              <w:rPr>
                <w:rFonts w:ascii="Arial" w:cs="Arial" w:eastAsia="Arial" w:hAnsi="Arial"/>
                <w:b/>
                <w:bCs/>
                <w:color w:val="0C1F3D"/>
                <w:sz w:val="20"/>
                <w:szCs w:val="20"/>
                <w:rtl/>
              </w:rPr>
              <w:t xml:space="preserve">سري جداً</w:t>
            </w:r>
            <w:r>
              <w:rPr>
                <w:rFonts w:ascii="Arial" w:cs="Arial" w:eastAsia="Arial" w:hAnsi="Arial"/>
                <w:b w:val="false"/>
                <w:bCs w:val="false"/>
                <w:color w:val="0C1F3D"/>
                <w:sz w:val="20"/>
                <w:szCs w:val="20"/>
                <w:rtl/>
              </w:rPr>
              <w:t xml:space="preserve"> ويقتصر الوصول إليه على رئيس الأمن السيبراني ووحدة الدفاع السيبراني ومالكي الأصول المعنيين، وفق معيار اختبار الاختراق CS-STD-009.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بيانات الاختبار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32"/>
        <w:gridCol w:w="6428"/>
      </w:tblGrid>
      <w:tr>
        <w:trPr>
          <w:tblHeader/>
        </w:trPr>
        <w:tc>
          <w:tcPr>
            <w:tcW w:type="dxa" w:w="293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42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رقم الاختبار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PT-1448-001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النوع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اختبار خارجي شامل + اختبار داخلي + اختبار البيئة السحابية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الفترة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١٠ – ٢٨ صفر ١٤٤٩هـ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الجهة المنفّذة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جهة خارجية مستقلة معتمدة · فريق حاصل على شهادات احترافية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موقع التنفيذ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داخل المملكة</w:t>
            </w:r>
          </w:p>
        </w:tc>
      </w:tr>
      <w:tr>
        <w:trPr>
          <w:tblHeader w:val="false"/>
        </w:trPr>
        <w:tc>
          <w:tcPr>
            <w:tcW w:type="dxa" w:w="293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المرجعية</w:t>
            </w:r>
          </w:p>
        </w:tc>
        <w:tc>
          <w:tcPr>
            <w:tcW w:type="dxa" w:w="642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معيار اختبار الاختراق CS-STD-009</w:t>
            </w:r>
          </w:p>
        </w:tc>
      </w:tr>
      <w:tr>
        <w:trPr>
          <w:tblHeader w:val="false"/>
        </w:trPr>
        <w:tc>
          <w:tcPr>
            <w:tcW w:type="dxa" w:w="293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المخاطرة المرتبطة</w:t>
            </w:r>
          </w:p>
        </w:tc>
        <w:tc>
          <w:tcPr>
            <w:tcW w:type="dxa" w:w="642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R-10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النطاق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918"/>
        <w:gridCol w:w="6442"/>
      </w:tblGrid>
      <w:tr>
        <w:trPr>
          <w:tblHeader/>
        </w:trPr>
        <w:tc>
          <w:tcPr>
            <w:tcW w:type="dxa" w:w="291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المكوّن</w:t>
            </w:r>
          </w:p>
        </w:tc>
        <w:tc>
          <w:tcPr>
            <w:tcW w:type="dxa" w:w="644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التفصيل</w:t>
            </w:r>
          </w:p>
        </w:tc>
      </w:tr>
      <w:tr>
        <w:trPr>
          <w:tblHeader w:val="false"/>
        </w:trPr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الخدمات المنشورة على الإنترنت</w:t>
            </w:r>
          </w:p>
        </w:tc>
        <w:tc>
          <w:tcPr>
            <w:tcW w:type="dxa" w:w="64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 نظاماً · بوابة الواجهات البرمجية · بوابات الخدمات الإلكترونية</w:t>
            </w:r>
          </w:p>
        </w:tc>
      </w:tr>
      <w:tr>
        <w:trPr>
          <w:tblHeader w:val="false"/>
        </w:trPr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الشبكة الداخلية</w:t>
            </w:r>
          </w:p>
        </w:tc>
        <w:tc>
          <w:tcPr>
            <w:tcW w:type="dxa" w:w="64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 منظور مهاجم حصل على موطئ قدم في شبكة المستخدمين</w:t>
            </w:r>
          </w:p>
        </w:tc>
      </w:tr>
      <w:tr>
        <w:trPr>
          <w:tblHeader w:val="false"/>
        </w:trPr>
        <w:tc>
          <w:tcPr>
            <w:tcW w:type="dxa" w:w="291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البيئة السحابية</w:t>
            </w:r>
          </w:p>
        </w:tc>
        <w:tc>
          <w:tcPr>
            <w:tcW w:type="dxa" w:w="644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الإعدادات والصلاحيات ومسارات تصعيد الامتيازات</w:t>
            </w:r>
          </w:p>
        </w:tc>
      </w:tr>
      <w:tr>
        <w:trPr>
          <w:tblHeader w:val="false"/>
        </w:trPr>
        <w:tc>
          <w:tcPr>
            <w:tcW w:type="dxa" w:w="291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تطبيقات الجوال</w:t>
            </w:r>
          </w:p>
        </w:tc>
        <w:tc>
          <w:tcPr>
            <w:tcW w:type="dxa" w:w="644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تطبيقان للجهات العميلة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الإذن: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أُخذ إذن خطي من الجهات العميلة الإحدى عشرة قبل شمول أنظمتها، ونُفّذت الاختبارات عالية الخطورة في نوافذ معلنة.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ملخص النتائج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مستوى الخطورة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مغلق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مفتوح ضمن المهلة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حرجة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عالية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١١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صفر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متوسطة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٢٣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</w:t>
            </w:r>
          </w:p>
        </w:tc>
      </w:tr>
      <w:tr>
        <w:trPr>
          <w:tblHeader w:val="false"/>
        </w:trPr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منخفضة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٣١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١٢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١٩</w:t>
            </w:r>
          </w:p>
        </w:tc>
      </w:tr>
      <w:tr>
        <w:trPr>
          <w:tblHeader w:val="false"/>
        </w:trPr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الإجمالي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٦٩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٤٥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٢٤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الملاحظات الحرجة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1137"/>
        <w:gridCol w:w="2974"/>
        <w:gridCol w:w="1312"/>
        <w:gridCol w:w="2799"/>
        <w:gridCol w:w="1138"/>
      </w:tblGrid>
      <w:tr>
        <w:trPr>
          <w:tblHeader/>
        </w:trPr>
        <w:tc>
          <w:tcPr>
            <w:tcW w:type="dxa" w:w="1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#</w:t>
            </w:r>
          </w:p>
        </w:tc>
        <w:tc>
          <w:tcPr>
            <w:tcW w:type="dxa" w:w="297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الملاحظة</w:t>
            </w:r>
          </w:p>
        </w:tc>
        <w:tc>
          <w:tcPr>
            <w:tcW w:type="dxa" w:w="1312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الأثر</w:t>
            </w:r>
          </w:p>
        </w:tc>
        <w:tc>
          <w:tcPr>
            <w:tcW w:type="dxa" w:w="2799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المعالجة</w:t>
            </w:r>
          </w:p>
        </w:tc>
        <w:tc>
          <w:tcPr>
            <w:tcW w:type="dxa" w:w="1138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المدة</w:t>
            </w:r>
          </w:p>
        </w:tc>
      </w:tr>
      <w:tr>
        <w:trPr>
          <w:tblHeader w:val="false"/>
        </w:trPr>
        <w:tc>
          <w:tcPr>
            <w:tcW w:type="dxa" w:w="1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</w:t>
            </w:r>
          </w:p>
        </w:tc>
        <w:tc>
          <w:tcPr>
            <w:tcW w:type="dxa" w:w="29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تجاوز التفويض في واجهة برمجية يتيح لمستخدم الوصول لبيانات مستفيد آخر بتغيير معرّف في الطلب</w:t>
            </w:r>
          </w:p>
        </w:tc>
        <w:tc>
          <w:tcPr>
            <w:tcW w:type="dxa" w:w="13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غير مصرح به لبيانات شخصية</w:t>
            </w:r>
          </w:p>
        </w:tc>
        <w:tc>
          <w:tcPr>
            <w:tcW w:type="dxa" w:w="27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تطبيق التحقق من التفويض على مستوى كل طلب لا الجلسة</w:t>
            </w:r>
          </w:p>
        </w:tc>
        <w:tc>
          <w:tcPr>
            <w:tcW w:type="dxa" w:w="11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 أيام</w:t>
            </w:r>
          </w:p>
        </w:tc>
      </w:tr>
      <w:tr>
        <w:trPr>
          <w:tblHeader w:val="false"/>
        </w:trPr>
        <w:tc>
          <w:tcPr>
            <w:tcW w:type="dxa" w:w="1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29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رفع ملف تنفيذي عبر نموذج مرفقات دون فحص كافٍ للنوع</w:t>
            </w:r>
          </w:p>
        </w:tc>
        <w:tc>
          <w:tcPr>
            <w:tcW w:type="dxa" w:w="13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إمكانية تنفيذ أوامر على الخادم</w:t>
            </w:r>
          </w:p>
        </w:tc>
        <w:tc>
          <w:tcPr>
            <w:tcW w:type="dxa" w:w="27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تقييد الأنواع · فحص المحتوى لا الامتداد · تخزين خارج جذر التطبيق</w:t>
            </w:r>
          </w:p>
        </w:tc>
        <w:tc>
          <w:tcPr>
            <w:tcW w:type="dxa" w:w="11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٦ أيام</w:t>
            </w:r>
          </w:p>
        </w:tc>
      </w:tr>
      <w:tr>
        <w:trPr>
          <w:tblHeader w:val="false"/>
        </w:trPr>
        <w:tc>
          <w:tcPr>
            <w:tcW w:type="dxa" w:w="1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297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حساب خدمة في البيئة السحابية بصلاحيات أوسع من اللازم يتيح تصعيد الامتيازات</w:t>
            </w:r>
          </w:p>
        </w:tc>
        <w:tc>
          <w:tcPr>
            <w:tcW w:type="dxa" w:w="1312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سيطرة محتملة على موارد سحابية</w:t>
            </w:r>
          </w:p>
        </w:tc>
        <w:tc>
          <w:tcPr>
            <w:tcW w:type="dxa" w:w="2799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تقليص الصلاحيات للحد الأدنى · مراجعة جميع حسابات الخدمة</w:t>
            </w:r>
          </w:p>
        </w:tc>
        <w:tc>
          <w:tcPr>
            <w:tcW w:type="dxa" w:w="1138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٥ أيام</w:t>
            </w:r>
          </w:p>
        </w:tc>
      </w:tr>
      <w:tr>
        <w:trPr>
          <w:tblHeader w:val="false"/>
        </w:trPr>
        <w:tc>
          <w:tcPr>
            <w:tcW w:type="dxa" w:w="1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297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نقطة إدارية لأحد الأنظمة كانت متاحة من الإنترنت دون تقييد</w:t>
            </w:r>
          </w:p>
        </w:tc>
        <w:tc>
          <w:tcPr>
            <w:tcW w:type="dxa" w:w="1312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وصول محتمل لواجهة إدارية</w:t>
            </w:r>
          </w:p>
        </w:tc>
        <w:tc>
          <w:tcPr>
            <w:tcW w:type="dxa" w:w="2799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حجبها وحصر الوصول عبر بوابة الوصول المُدارة</w:t>
            </w:r>
          </w:p>
        </w:tc>
        <w:tc>
          <w:tcPr>
            <w:tcW w:type="dxa" w:w="1138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يومان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الملاحظة الرابعة تستحق وقفة: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النقطة الإدارية لم تظهر في جرد الأصول ولا في فحص الثغرات، وظهرت في اختبار الاختراق فقط. وهذا سبب اشتراط الاختبار رغم وجود الفحص الآلي: </w:t>
      </w: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الفحص يبحث في ما تعرفه، والاختبار يبحث عمّا لا تعرفه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الملاحظات العالية — ملخص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880"/>
        <w:gridCol w:w="2340"/>
        <w:gridCol w:w="4140"/>
      </w:tblGrid>
      <w:tr>
        <w:trPr>
          <w:tblHeader/>
        </w:trPr>
        <w:tc>
          <w:tcPr>
            <w:tcW w:type="dxa" w:w="288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المجال</w:t>
            </w:r>
          </w:p>
        </w:tc>
        <w:tc>
          <w:tcPr>
            <w:tcW w:type="dxa" w:w="23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العدد</w:t>
            </w:r>
          </w:p>
        </w:tc>
        <w:tc>
          <w:tcPr>
            <w:tcW w:type="dxa" w:w="414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أمثلة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ضبط التفويض في الواجهات البرمجية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</w:t>
            </w:r>
          </w:p>
        </w:tc>
        <w:tc>
          <w:tcPr>
            <w:tcW w:type="dxa" w:w="41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كشف حقول أكثر من اللازم · تحقق ناقص من الملكية</w:t>
            </w:r>
          </w:p>
        </w:tc>
      </w:tr>
      <w:tr>
        <w:trPr>
          <w:tblHeader w:val="false"/>
        </w:trPr>
        <w:tc>
          <w:tcPr>
            <w:tcW w:type="dxa" w:w="28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إدارة الجلسات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1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عدم إبطال الجلسة عند تغيير كلمة المرور</w:t>
            </w:r>
          </w:p>
        </w:tc>
      </w:tr>
      <w:tr>
        <w:trPr>
          <w:tblHeader w:val="false"/>
        </w:trPr>
        <w:tc>
          <w:tcPr>
            <w:tcW w:type="dxa" w:w="288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إعدادات البيئة السحابية</w:t>
            </w:r>
          </w:p>
        </w:tc>
        <w:tc>
          <w:tcPr>
            <w:tcW w:type="dxa" w:w="23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٣</w:t>
            </w:r>
          </w:p>
        </w:tc>
        <w:tc>
          <w:tcPr>
            <w:tcW w:type="dxa" w:w="414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صلاحيات واسعة · تسجيل ناقص</w:t>
            </w:r>
          </w:p>
        </w:tc>
      </w:tr>
      <w:tr>
        <w:trPr>
          <w:tblHeader w:val="false"/>
        </w:trPr>
        <w:tc>
          <w:tcPr>
            <w:tcW w:type="dxa" w:w="288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منطق التطبيقات</w:t>
            </w:r>
          </w:p>
        </w:tc>
        <w:tc>
          <w:tcPr>
            <w:tcW w:type="dxa" w:w="23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</w:t>
            </w:r>
          </w:p>
        </w:tc>
        <w:tc>
          <w:tcPr>
            <w:tcW w:type="dxa" w:w="414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تجاوز خطوات في مسار عمل · تلاعب بقيم في الطلب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قياس قدرة الكشف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3705"/>
        <w:gridCol w:w="3120"/>
        <w:gridCol w:w="2535"/>
      </w:tblGrid>
      <w:tr>
        <w:trPr>
          <w:tblHeader/>
        </w:trPr>
        <w:tc>
          <w:tcPr>
            <w:tcW w:type="dxa" w:w="370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المرحلة</w:t>
            </w:r>
          </w:p>
        </w:tc>
        <w:tc>
          <w:tcPr>
            <w:tcW w:type="dxa" w:w="3120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هل اكتشفها مركز العمليات الأمنية</w:t>
            </w:r>
          </w:p>
        </w:tc>
        <w:tc>
          <w:tcPr>
            <w:tcW w:type="dxa" w:w="253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زمن الكشف</w:t>
            </w:r>
          </w:p>
        </w:tc>
      </w:tr>
      <w:tr>
        <w:trPr>
          <w:tblHeader w:val="false"/>
        </w:trPr>
        <w:tc>
          <w:tcPr>
            <w:tcW w:type="dxa" w:w="37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المسح الخارجي الأولي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١٨ دقيقة</w:t>
            </w:r>
          </w:p>
        </w:tc>
      </w:tr>
      <w:tr>
        <w:trPr>
          <w:tblHeader w:val="false"/>
        </w:trPr>
        <w:tc>
          <w:tcPr>
            <w:tcW w:type="dxa" w:w="37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محاولات الاستغلال على الخدمات المنشورة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٩ دقائق</w:t>
            </w:r>
          </w:p>
        </w:tc>
      </w:tr>
      <w:tr>
        <w:trPr>
          <w:tblHeader w:val="false"/>
        </w:trPr>
        <w:tc>
          <w:tcPr>
            <w:tcW w:type="dxa" w:w="37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رفع الملف التنفيذي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لا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7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التحرك الأفقي في الشبكة الداخلية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٤١ دقيقة</w:t>
            </w:r>
          </w:p>
        </w:tc>
      </w:tr>
      <w:tr>
        <w:trPr>
          <w:tblHeader w:val="false"/>
        </w:trPr>
        <w:tc>
          <w:tcPr>
            <w:tcW w:type="dxa" w:w="370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تصعيد الامتيازات في البيئة السحابية</w:t>
            </w:r>
          </w:p>
        </w:tc>
        <w:tc>
          <w:tcPr>
            <w:tcW w:type="dxa" w:w="3120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15325C"/>
                <w:sz w:val="19"/>
                <w:szCs w:val="19"/>
                <w:rtl/>
              </w:rPr>
              <w:t xml:space="preserve">لا</w:t>
            </w:r>
          </w:p>
        </w:tc>
        <w:tc>
          <w:tcPr>
            <w:tcW w:type="dxa" w:w="253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370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استخراج بيانات تجريبية</w:t>
            </w:r>
          </w:p>
        </w:tc>
        <w:tc>
          <w:tcPr>
            <w:tcW w:type="dxa" w:w="3120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نعم</w:t>
            </w:r>
          </w:p>
        </w:tc>
        <w:tc>
          <w:tcPr>
            <w:tcW w:type="dxa" w:w="253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٢٧ دقيقة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نسبة الكشف: ٦٧٪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مقابل مستهدف ٧٠٪.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الحالتان غير المكتشفتين أنتجتا ملاحظتين في برنامج المراقبة: غياب قاعدة كشف لرفع الملفات غير المعتادة، وغياب مراقبة لتغييرات الصلاحيات في البيئة السحابية. وأُضيفت القاعدتان.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/>
          <w:bCs/>
          <w:color w:val="15325C"/>
          <w:sz w:val="21"/>
          <w:szCs w:val="21"/>
          <w:rtl/>
        </w:rPr>
        <w:t xml:space="preserve">هذا الجزء أهم من قائمة الثغرات نفسها.</w:t>
      </w: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 الثغرة تُغلق مرة واحدة، أما ضعف الكشف فيبقى ويتكرر مع كل هجوم جديد.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إعادة الاختبار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734"/>
        <w:gridCol w:w="6626"/>
      </w:tblGrid>
      <w:tr>
        <w:trPr>
          <w:tblHeader/>
        </w:trPr>
        <w:tc>
          <w:tcPr>
            <w:tcW w:type="dxa" w:w="27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البند</w:t>
            </w:r>
          </w:p>
        </w:tc>
        <w:tc>
          <w:tcPr>
            <w:tcW w:type="dxa" w:w="6626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البيان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النطاق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جميع الملاحظات الحرجة والعالية</w:t>
            </w:r>
          </w:p>
        </w:tc>
      </w:tr>
      <w:tr>
        <w:trPr>
          <w:tblHeader w:val="false"/>
        </w:trPr>
        <w:tc>
          <w:tcPr>
            <w:tcW w:type="dxa" w:w="27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التاريخ</w:t>
            </w:r>
          </w:p>
        </w:tc>
        <w:tc>
          <w:tcPr>
            <w:tcW w:type="dxa" w:w="6626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بعد ٤٥ يوماً من التقرير الأول</w:t>
            </w:r>
          </w:p>
        </w:tc>
      </w:tr>
      <w:tr>
        <w:trPr>
          <w:tblHeader w:val="false"/>
        </w:trPr>
        <w:tc>
          <w:tcPr>
            <w:tcW w:type="dxa" w:w="27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النتيجة</w:t>
            </w:r>
          </w:p>
        </w:tc>
        <w:tc>
          <w:tcPr>
            <w:tcW w:type="dxa" w:w="6626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أُغلقت ١٥ ملاحظة من ١٥ · لم تُرصد ثغرات جديدة ناتجة عن المعالجة</w:t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إشعار الجهات العميلة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أُشعرت الجهات العميلة المعنية خطياً بما يخص أنظمتها خلال عشرة أيام عمل، وشمل الإشعار: الملاحظات المتعلقة بنظامها ومستوى خطورتها والمعالجة المنفَّذة وتاريخ إغلاقها. ولم يشمل الإشعار تفاصيل تخص أنظمة جهات أخرى.</w:t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الاعتماد</w:t>
      </w:r>
    </w:p>
    <w:tbl>
      <w:tblPr>
        <w:bidiVisual/>
        <w:tblW w:type="dxa" w:w="9360"/>
        <w:tblBorders>
          <w:top w:val="single" w:color="D8E0E3" w:sz="2"/>
          <w:left w:val="single" w:color="D8E0E3" w:sz="2"/>
          <w:bottom w:val="single" w:color="D8E0E3" w:sz="2"/>
          <w:right w:val="single" w:color="D8E0E3" w:sz="2"/>
          <w:insideH w:val="single" w:color="D8E0E3" w:sz="2"/>
          <w:insideV w:val="single" w:color="D8E0E3" w:sz="2"/>
        </w:tblBorders>
      </w:tblPr>
      <w:tblGrid>
        <w:gridCol w:w="2134"/>
        <w:gridCol w:w="2955"/>
        <w:gridCol w:w="2134"/>
        <w:gridCol w:w="2137"/>
      </w:tblGrid>
      <w:tr>
        <w:trPr>
          <w:tblHeader/>
        </w:trPr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الدور</w:t>
            </w:r>
          </w:p>
        </w:tc>
        <w:tc>
          <w:tcPr>
            <w:tcW w:type="dxa" w:w="2955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الاسم</w:t>
            </w:r>
          </w:p>
        </w:tc>
        <w:tc>
          <w:tcPr>
            <w:tcW w:type="dxa" w:w="2134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التوقيع</w:t>
            </w:r>
          </w:p>
        </w:tc>
        <w:tc>
          <w:tcPr>
            <w:tcW w:type="dxa" w:w="2137"/>
            <w:shd w:fill="15325C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  <w:rtl/>
              </w:rPr>
              <w:t xml:space="preserve">التاريخ</w:t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استلم التقرير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وحدة الدفاع السيبراني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راجع النتائج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أ. ريم الشهري — رئيس الأمن السيبراني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عُرض على</w:t>
            </w:r>
          </w:p>
        </w:tc>
        <w:tc>
          <w:tcPr>
            <w:tcW w:type="dxa" w:w="2955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اللجنة الإشرافية للأمن السيبراني</w:t>
            </w:r>
          </w:p>
        </w:tc>
        <w:tc>
          <w:tcPr>
            <w:tcW w:type="dxa" w:w="2134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اعتمد النتائج</w:t>
            </w:r>
          </w:p>
        </w:tc>
        <w:tc>
          <w:tcPr>
            <w:tcW w:type="dxa" w:w="2955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>م. بدر العتيبي — الرئيس التنفيذي</w:t>
            </w:r>
          </w:p>
        </w:tc>
        <w:tc>
          <w:tcPr>
            <w:tcW w:type="dxa" w:w="2134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  <w:tc>
          <w:tcPr>
            <w:tcW w:type="dxa" w:w="2137"/>
            <w:shd w:fill="F2F7F8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center"/>
          </w:tcPr>
          <w:p>
            <w:pPr>
              <w:bidi/>
              <w:spacing w:after="0" w:before="0" w:line="260"/>
              <w:jc w:val="start"/>
            </w:pPr>
            <w:r>
              <w:rPr>
                <w:rFonts w:ascii="Arial" w:cs="Arial" w:eastAsia="Arial" w:hAnsi="Arial"/>
                <w:b w:val="false"/>
                <w:bCs w:val="false"/>
                <w:color w:val="16202A"/>
                <w:sz w:val="19"/>
                <w:szCs w:val="19"/>
                <w:rtl/>
              </w:rPr>
              <w:t xml:space="preserve"/>
            </w:r>
          </w:p>
        </w:tc>
      </w:tr>
    </w:tbl>
    <w:p>
      <w:pPr>
        <w:bidi/>
        <w:spacing w:after="10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8"/>
          <w:szCs w:val="8"/>
          <w:rtl/>
        </w:rPr>
        <w:t xml:space="preserve"/>
      </w:r>
    </w:p>
    <w:p>
      <w:pPr>
        <w:pStyle w:val="Heading2"/>
        <w:bidi/>
        <w:spacing w:after="120" w:before="280" w:line="300"/>
        <w:jc w:val="start"/>
      </w:pPr>
      <w:r>
        <w:rPr>
          <w:rFonts w:ascii="Arial" w:cs="Arial" w:eastAsia="Arial" w:hAnsi="Arial"/>
          <w:b/>
          <w:bCs/>
          <w:color w:val="15325C"/>
          <w:sz w:val="27"/>
          <w:szCs w:val="27"/>
          <w:rtl/>
        </w:rPr>
        <w:t xml:space="preserve">تنويه</w:t>
      </w:r>
    </w:p>
    <w:p>
      <w:pPr>
        <w:bidi/>
        <w:spacing w:after="140" w:before="0" w:line="300"/>
        <w:jc w:val="start"/>
      </w:pPr>
      <w:r>
        <w:rPr>
          <w:rFonts w:ascii="Arial" w:cs="Arial" w:eastAsia="Arial" w:hAnsi="Arial"/>
          <w:b w:val="false"/>
          <w:bCs w:val="false"/>
          <w:color w:val="16202A"/>
          <w:sz w:val="21"/>
          <w:szCs w:val="21"/>
          <w:rtl/>
        </w:rPr>
        <w:t xml:space="preserve">شركة نَسَق وجميع البيانات والأسماء والأرقام والملاحظات الواردة في هذه الوثيقة افتراضية، وأُعدّت لأغراض التدريب على تطبيق الضوابط الأساسية للأمن السيبراني.</w:t>
      </w:r>
    </w:p>
    <w:sectPr>
      <w:headerReference w:type="default" r:id="rId9"/>
      <w:footerReference w:type="default" r:id="rId10"/>
      <w:pgSz w:w="11906" w:h="16838" w:orient="portrait"/>
      <w:pgMar w:top="10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 جداً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CS-REG-016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start"/>
    </w:pPr>
    <w:r>
      <w:rPr>
        <w:rFonts w:ascii="Arial" w:cs="Arial" w:eastAsia="Arial" w:hAnsi="Arial"/>
        <w:b/>
        <w:bCs/>
        <w:color w:val="9E2A2B"/>
        <w:sz w:val="16"/>
        <w:szCs w:val="16"/>
        <w:rtl/>
      </w:rPr>
      <w:t xml:space="preserve">سري جداً</w:t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       صفحة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color w:val="5A6672"/>
        <w:sz w:val="16"/>
        <w:szCs w:val="16"/>
        <w:rtl/>
      </w:rPr>
      <w:t xml:space="preserve"> من </w:t>
    </w:r>
    <w:r>
      <w:rPr>
        <w:rFonts w:ascii="Arial" w:cs="Arial" w:eastAsia="Arial" w:hAnsi="Arial"/>
        <w:color w:val="5A6672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5A6672"/>
        <w:sz w:val="16"/>
        <w:szCs w:val="16"/>
      </w:rPr>
      <w:t xml:space="preserve">	CS-REG-016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E0E3" w:sz="2" w:space="6"/>
      </w:pBdr>
      <w:bidi/>
      <w:jc w:val="start"/>
    </w:pPr>
    <w:r>
      <w:rPr>
        <w:rFonts w:ascii="Arial" w:cs="Arial" w:eastAsia="Arial" w:hAnsi="Arial"/>
        <w:b/>
        <w:bCs/>
        <w:color w:val="15325C"/>
        <w:sz w:val="16"/>
        <w:szCs w:val="16"/>
        <w:rtl/>
      </w:rPr>
      <w:t xml:space="preserve">شركة نَسَق للحلول الرقمية — إدارة الأمن السيبراني</w:t>
    </w:r>
    <w:r>
      <w:rPr>
        <w:rFonts w:ascii="Arial" w:cs="Arial" w:eastAsia="Arial" w:hAnsi="Arial"/>
        <w:color w:val="5A6672"/>
        <w:sz w:val="16"/>
        <w:szCs w:val="16"/>
      </w:rPr>
      <w:t xml:space="preserve">	CS-REG-016 ·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2026-10-04T11:48:02.041Z</dcterms:created>
  <dcterms:modified xsi:type="dcterms:W3CDTF">2026-10-04T11:48:02.041Z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