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سجل تنفيذ</w:t>
            </w:r>
          </w:p>
          <w:p>
            <w:pPr>
              <w:bidi/>
              <w:spacing w:after="120" w:before="0" w:line="420"/>
              <w:jc w:val="start"/>
            </w:pPr>
            <w:r>
              <w:rPr>
                <w:rFonts w:ascii="Arial" w:cs="Arial" w:eastAsia="Arial" w:hAnsi="Arial"/>
                <w:b/>
                <w:bCs/>
                <w:color w:val="FFFFFF"/>
                <w:sz w:val="52"/>
                <w:szCs w:val="52"/>
                <w:rtl/>
              </w:rPr>
              <w:t xml:space="preserve">سجل توسعة جمع السجلات والنسخ الاحتياطية</w:t>
            </w:r>
          </w:p>
          <w:p>
            <w:pPr>
              <w:bidi/>
              <w:spacing w:after="260" w:before="0" w:line="300"/>
              <w:jc w:val="start"/>
            </w:pPr>
            <w:r>
              <w:rPr>
                <w:rFonts w:ascii="Arial" w:cs="Arial" w:eastAsia="Arial" w:hAnsi="Arial"/>
                <w:b w:val="false"/>
                <w:bCs w:val="false"/>
                <w:color w:val="AFC4D4"/>
                <w:sz w:val="22"/>
                <w:szCs w:val="22"/>
                <w:rtl/>
              </w:rPr>
              <w:t xml:space="preserve">تغطية ١٠٠٪ للمصادر · إعادة اختبار التعافي بنجاح</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CS-REG-018</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مركز العمليات الأمنية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ربع سنوي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2-9-2 · 2-12-2</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سجل توسعة جمع السجلات والنسخ الاحتياطية</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يوثّق هذا السجل توسعة تغطية جمع سجلات الأحداث والمراقبة الأمنية، وتوسعة نطاق النسخ الاحتياطية في شركة نَسَق للحلول الرقمية، ونتيجة إعادة اختبار التعافي. ويُعدّ دليل التزام بالضابطين ٢-١٢-٢ و ٢-٩-٢، ومخرَجاً من حزمة العمل WP-18.</w:t>
      </w:r>
    </w:p>
    <w:p>
      <w:pPr>
        <w:pStyle w:val="Heading2"/>
        <w:bidi/>
        <w:spacing w:after="120" w:before="280" w:line="300"/>
        <w:jc w:val="start"/>
      </w:pPr>
      <w:r>
        <w:rPr>
          <w:rFonts w:ascii="Arial" w:cs="Arial" w:eastAsia="Arial" w:hAnsi="Arial"/>
          <w:b/>
          <w:bCs/>
          <w:color w:val="15325C"/>
          <w:sz w:val="27"/>
          <w:szCs w:val="27"/>
          <w:rtl/>
        </w:rPr>
        <w:t xml:space="preserve">بيانات المشروع</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645"/>
        <w:gridCol w:w="6715"/>
      </w:tblGrid>
      <w:tr>
        <w:trPr>
          <w:tblHeader/>
        </w:trPr>
        <w:tc>
          <w:tcPr>
            <w:tcW w:type="dxa" w:w="26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671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البيان</w:t>
            </w:r>
          </w:p>
        </w:tc>
      </w:tr>
      <w:tr>
        <w:trPr>
          <w:tblHeader w:val="false"/>
        </w:trPr>
        <w:tc>
          <w:tcPr>
            <w:tcW w:type="dxa" w:w="26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رقم المشروع</w:t>
            </w:r>
          </w:p>
        </w:tc>
        <w:tc>
          <w:tcPr>
            <w:tcW w:type="dxa" w:w="671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LOG-1449-001</w:t>
            </w:r>
          </w:p>
        </w:tc>
      </w:tr>
      <w:tr>
        <w:trPr>
          <w:tblHeader w:val="false"/>
        </w:trPr>
        <w:tc>
          <w:tcPr>
            <w:tcW w:type="dxa" w:w="26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الفترة</w:t>
            </w:r>
          </w:p>
        </w:tc>
        <w:tc>
          <w:tcPr>
            <w:tcW w:type="dxa" w:w="671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ربيع الأول – جمادى الأولى ١٤٤٩هـ</w:t>
            </w:r>
          </w:p>
        </w:tc>
      </w:tr>
      <w:tr>
        <w:trPr>
          <w:tblHeader w:val="false"/>
        </w:trPr>
        <w:tc>
          <w:tcPr>
            <w:tcW w:type="dxa" w:w="26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المرجعية</w:t>
            </w:r>
          </w:p>
        </w:tc>
        <w:tc>
          <w:tcPr>
            <w:tcW w:type="dxa" w:w="671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سجلات الأحداث CS-STD-002 · معيار النسخ الاحتياطية CS-STD-006</w:t>
            </w:r>
          </w:p>
        </w:tc>
      </w:tr>
      <w:tr>
        <w:trPr>
          <w:tblHeader w:val="false"/>
        </w:trPr>
        <w:tc>
          <w:tcPr>
            <w:tcW w:type="dxa" w:w="26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مالكا التنفيذ</w:t>
            </w:r>
          </w:p>
        </w:tc>
        <w:tc>
          <w:tcPr>
            <w:tcW w:type="dxa" w:w="671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 · إدارة العمليات السحابية</w:t>
            </w:r>
          </w:p>
        </w:tc>
      </w:tr>
      <w:tr>
        <w:trPr>
          <w:tblHeader w:val="false"/>
        </w:trPr>
        <w:tc>
          <w:tcPr>
            <w:tcW w:type="dxa" w:w="26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المخاطر المرتبطة</w:t>
            </w:r>
          </w:p>
        </w:tc>
        <w:tc>
          <w:tcPr>
            <w:tcW w:type="dxa" w:w="671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R-04 · R-07 · R-12</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w:t>
      </w:r>
    </w:p>
    <w:p>
      <w:pPr>
        <w:pStyle w:val="Heading1"/>
        <w:bidi/>
        <w:spacing w:after="200" w:before="0" w:line="300"/>
        <w:jc w:val="start"/>
      </w:pPr>
      <w:r>
        <w:rPr>
          <w:rFonts w:ascii="Arial" w:cs="Arial" w:eastAsia="Arial" w:hAnsi="Arial"/>
          <w:b/>
          <w:bCs/>
          <w:color w:val="15325C"/>
          <w:sz w:val="32"/>
          <w:szCs w:val="32"/>
          <w:rtl/>
        </w:rPr>
        <w:t xml:space="preserve">أولاً: توسعة جمع السجلات — الضابط ٢-١٢-٢</w:t>
      </w:r>
    </w:p>
    <w:p>
      <w:pPr>
        <w:pStyle w:val="Heading2"/>
        <w:bidi/>
        <w:spacing w:after="120" w:before="280" w:line="300"/>
        <w:jc w:val="start"/>
      </w:pPr>
      <w:r>
        <w:rPr>
          <w:rFonts w:ascii="Arial" w:cs="Arial" w:eastAsia="Arial" w:hAnsi="Arial"/>
          <w:b/>
          <w:bCs/>
          <w:color w:val="15325C"/>
          <w:sz w:val="27"/>
          <w:szCs w:val="27"/>
          <w:rtl/>
        </w:rPr>
        <w:t xml:space="preserve">تغطية المصادر الإلزامية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097"/>
        <w:gridCol w:w="3066"/>
        <w:gridCol w:w="2097"/>
        <w:gridCol w:w="2100"/>
      </w:tblGrid>
      <w:tr>
        <w:trPr>
          <w:tblHeader/>
        </w:trPr>
        <w:tc>
          <w:tcPr>
            <w:tcW w:type="dxa" w:w="209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306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المصدر</w:t>
            </w:r>
          </w:p>
        </w:tc>
        <w:tc>
          <w:tcPr>
            <w:tcW w:type="dxa" w:w="209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قبل</w:t>
            </w:r>
          </w:p>
        </w:tc>
        <w:tc>
          <w:tcPr>
            <w:tcW w:type="dxa" w:w="210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بعد</w:t>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30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الأنظمة المصنّفة حساسة</w:t>
            </w:r>
          </w:p>
        </w:tc>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w:t>
            </w:r>
          </w:p>
        </w:tc>
        <w:tc>
          <w:tcPr>
            <w:tcW w:type="dxa" w:w="21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w:t>
            </w:r>
          </w:p>
        </w:tc>
      </w:tr>
      <w:tr>
        <w:trPr>
          <w:tblHeader w:val="false"/>
        </w:trPr>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30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الحسابات ذات الصلاحيات الهامة</w:t>
            </w:r>
          </w:p>
        </w:tc>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جزئي</w:t>
            </w:r>
          </w:p>
        </w:tc>
        <w:tc>
          <w:tcPr>
            <w:tcW w:type="dxa" w:w="21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 بالكامل</w:t>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30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أنظمة إدارة الهويات والدخول</w:t>
            </w:r>
          </w:p>
        </w:tc>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w:t>
            </w:r>
          </w:p>
        </w:tc>
        <w:tc>
          <w:tcPr>
            <w:tcW w:type="dxa" w:w="21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w:t>
            </w:r>
          </w:p>
        </w:tc>
      </w:tr>
      <w:tr>
        <w:trPr>
          <w:tblHeader w:val="false"/>
        </w:trPr>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30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خوادم الإنتاج وعُقد الحاويات</w:t>
            </w:r>
          </w:p>
        </w:tc>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الخوادم فقط</w:t>
            </w:r>
          </w:p>
        </w:tc>
        <w:tc>
          <w:tcPr>
            <w:tcW w:type="dxa" w:w="21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 بالكامل</w:t>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30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منصة الحاويات</w:t>
            </w:r>
          </w:p>
        </w:tc>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مغطى</w:t>
            </w:r>
          </w:p>
        </w:tc>
        <w:tc>
          <w:tcPr>
            <w:tcW w:type="dxa" w:w="21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w:t>
            </w:r>
          </w:p>
        </w:tc>
      </w:tr>
      <w:tr>
        <w:trPr>
          <w:tblHeader w:val="false"/>
        </w:trPr>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30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البيئة السحابية</w:t>
            </w:r>
          </w:p>
        </w:tc>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مغطى</w:t>
            </w:r>
          </w:p>
        </w:tc>
        <w:tc>
          <w:tcPr>
            <w:tcW w:type="dxa" w:w="21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w:t>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30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البيانات</w:t>
            </w:r>
          </w:p>
        </w:tc>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جزئي</w:t>
            </w:r>
          </w:p>
        </w:tc>
        <w:tc>
          <w:tcPr>
            <w:tcW w:type="dxa" w:w="21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 بالكامل</w:t>
            </w:r>
          </w:p>
        </w:tc>
      </w:tr>
      <w:tr>
        <w:trPr>
          <w:tblHeader w:val="false"/>
        </w:trPr>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30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أجهزة الشبكة وجدران الحماية</w:t>
            </w:r>
          </w:p>
        </w:tc>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w:t>
            </w:r>
          </w:p>
        </w:tc>
        <w:tc>
          <w:tcPr>
            <w:tcW w:type="dxa" w:w="21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w:t>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30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بوابة الواجهات البرمجية وتطبيقات الويب</w:t>
            </w:r>
          </w:p>
        </w:tc>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مغطى</w:t>
            </w:r>
          </w:p>
        </w:tc>
        <w:tc>
          <w:tcPr>
            <w:tcW w:type="dxa" w:w="21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w:t>
            </w:r>
          </w:p>
        </w:tc>
      </w:tr>
      <w:tr>
        <w:trPr>
          <w:tblHeader w:val="false"/>
        </w:trPr>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30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مستودعات الكود وخطوط النشر</w:t>
            </w:r>
          </w:p>
        </w:tc>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مغطى</w:t>
            </w:r>
          </w:p>
        </w:tc>
        <w:tc>
          <w:tcPr>
            <w:tcW w:type="dxa" w:w="21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w:t>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١١</w:t>
            </w:r>
          </w:p>
        </w:tc>
        <w:tc>
          <w:tcPr>
            <w:tcW w:type="dxa" w:w="30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أنظمة الحماية من البرمجيات الضارة</w:t>
            </w:r>
          </w:p>
        </w:tc>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w:t>
            </w:r>
          </w:p>
        </w:tc>
        <w:tc>
          <w:tcPr>
            <w:tcW w:type="dxa" w:w="21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w:t>
            </w:r>
          </w:p>
        </w:tc>
      </w:tr>
      <w:tr>
        <w:trPr>
          <w:tblHeader w:val="false"/>
        </w:trPr>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w:t>
            </w:r>
          </w:p>
        </w:tc>
        <w:tc>
          <w:tcPr>
            <w:tcW w:type="dxa" w:w="306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البريد الإلكتروني</w:t>
            </w:r>
          </w:p>
        </w:tc>
        <w:tc>
          <w:tcPr>
            <w:tcW w:type="dxa" w:w="20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جزئي</w:t>
            </w:r>
          </w:p>
        </w:tc>
        <w:tc>
          <w:tcPr>
            <w:tcW w:type="dxa" w:w="21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 بالكامل</w:t>
            </w:r>
          </w:p>
        </w:tc>
      </w:tr>
      <w:tr>
        <w:trPr>
          <w:tblHeader w:val="false"/>
        </w:trPr>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١٣</w:t>
            </w:r>
          </w:p>
        </w:tc>
        <w:tc>
          <w:tcPr>
            <w:tcW w:type="dxa" w:w="306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التحكم بالدخول المادي</w:t>
            </w:r>
          </w:p>
        </w:tc>
        <w:tc>
          <w:tcPr>
            <w:tcW w:type="dxa" w:w="20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مغطى</w:t>
            </w:r>
          </w:p>
        </w:tc>
        <w:tc>
          <w:tcPr>
            <w:tcW w:type="dxa" w:w="21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مغطى</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نسبة تغطية المصادر الإلزامية: من ٣٨٪ إلى ١٠٠٪.</w:t>
      </w:r>
    </w:p>
    <w:p>
      <w:pPr>
        <w:pStyle w:val="Heading2"/>
        <w:bidi/>
        <w:spacing w:after="120" w:before="280" w:line="300"/>
        <w:jc w:val="start"/>
      </w:pPr>
      <w:r>
        <w:rPr>
          <w:rFonts w:ascii="Arial" w:cs="Arial" w:eastAsia="Arial" w:hAnsi="Arial"/>
          <w:b/>
          <w:bCs/>
          <w:color w:val="15325C"/>
          <w:sz w:val="27"/>
          <w:szCs w:val="27"/>
          <w:rtl/>
        </w:rPr>
        <w:t xml:space="preserve">حجم السجلات ومدة الاحتفاظ</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17"/>
        <w:gridCol w:w="2317"/>
        <w:gridCol w:w="4726"/>
      </w:tblGrid>
      <w:tr>
        <w:trPr>
          <w:tblHeader/>
        </w:trPr>
        <w:tc>
          <w:tcPr>
            <w:tcW w:type="dxa" w:w="231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231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قبل</w:t>
            </w:r>
          </w:p>
        </w:tc>
        <w:tc>
          <w:tcPr>
            <w:tcW w:type="dxa" w:w="472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بعد</w:t>
            </w:r>
          </w:p>
        </w:tc>
      </w:tr>
      <w:tr>
        <w:trPr>
          <w:tblHeader w:val="false"/>
        </w:trPr>
        <w:tc>
          <w:tcPr>
            <w:tcW w:type="dxa" w:w="231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الأحداث اليومية المستقبَلة</w:t>
            </w:r>
          </w:p>
        </w:tc>
        <w:tc>
          <w:tcPr>
            <w:tcW w:type="dxa" w:w="231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٤١ مليوناً</w:t>
            </w:r>
          </w:p>
        </w:tc>
        <w:tc>
          <w:tcPr>
            <w:tcW w:type="dxa" w:w="47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٢١٨ مليوناً</w:t>
            </w:r>
          </w:p>
        </w:tc>
      </w:tr>
      <w:tr>
        <w:trPr>
          <w:tblHeader w:val="false"/>
        </w:trPr>
        <w:tc>
          <w:tcPr>
            <w:tcW w:type="dxa" w:w="231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التخزين النشط</w:t>
            </w:r>
          </w:p>
        </w:tc>
        <w:tc>
          <w:tcPr>
            <w:tcW w:type="dxa" w:w="231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 أشهر</w:t>
            </w:r>
          </w:p>
        </w:tc>
        <w:tc>
          <w:tcPr>
            <w:tcW w:type="dxa" w:w="47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 أشهر</w:t>
            </w:r>
          </w:p>
        </w:tc>
      </w:tr>
      <w:tr>
        <w:trPr>
          <w:tblHeader w:val="false"/>
        </w:trPr>
        <w:tc>
          <w:tcPr>
            <w:tcW w:type="dxa" w:w="231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الأرشيف</w:t>
            </w:r>
          </w:p>
        </w:tc>
        <w:tc>
          <w:tcPr>
            <w:tcW w:type="dxa" w:w="231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موجود</w:t>
            </w:r>
          </w:p>
        </w:tc>
        <w:tc>
          <w:tcPr>
            <w:tcW w:type="dxa" w:w="47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 أشهر</w:t>
            </w:r>
          </w:p>
        </w:tc>
      </w:tr>
      <w:tr>
        <w:trPr>
          <w:tblHeader w:val="false"/>
        </w:trPr>
        <w:tc>
          <w:tcPr>
            <w:tcW w:type="dxa" w:w="231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إجمالي مدة الاحتفاظ</w:t>
            </w:r>
          </w:p>
        </w:tc>
        <w:tc>
          <w:tcPr>
            <w:tcW w:type="dxa" w:w="231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 أشهر</w:t>
            </w:r>
          </w:p>
        </w:tc>
        <w:tc>
          <w:tcPr>
            <w:tcW w:type="dxa" w:w="47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 شهراً</w:t>
            </w:r>
          </w:p>
        </w:tc>
      </w:tr>
      <w:tr>
        <w:trPr>
          <w:tblHeader w:val="false"/>
        </w:trPr>
        <w:tc>
          <w:tcPr>
            <w:tcW w:type="dxa" w:w="231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التخزين غير القابل للتعديل</w:t>
            </w:r>
          </w:p>
        </w:tc>
        <w:tc>
          <w:tcPr>
            <w:tcW w:type="dxa" w:w="231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مفعَّل</w:t>
            </w:r>
          </w:p>
        </w:tc>
        <w:tc>
          <w:tcPr>
            <w:tcW w:type="dxa" w:w="47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مفعَّل</w:t>
            </w:r>
          </w:p>
        </w:tc>
      </w:tr>
      <w:tr>
        <w:trPr>
          <w:tblHeader w:val="false"/>
        </w:trPr>
        <w:tc>
          <w:tcPr>
            <w:tcW w:type="dxa" w:w="231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استرجاع من الأرشيف</w:t>
            </w:r>
          </w:p>
        </w:tc>
        <w:tc>
          <w:tcPr>
            <w:tcW w:type="dxa" w:w="231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لم يُنفَّذ</w:t>
            </w:r>
          </w:p>
        </w:tc>
        <w:tc>
          <w:tcPr>
            <w:tcW w:type="dxa" w:w="47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نُفّذ بنجاح — استرجاع عينة عمرها ١١ شهراً في ٣١ دقيقة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مزامنة الوقت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042"/>
        <w:gridCol w:w="3042"/>
        <w:gridCol w:w="3276"/>
      </w:tblGrid>
      <w:tr>
        <w:trPr>
          <w:tblHeader/>
        </w:trPr>
        <w:tc>
          <w:tcPr>
            <w:tcW w:type="dxa" w:w="304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304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قبل</w:t>
            </w:r>
          </w:p>
        </w:tc>
        <w:tc>
          <w:tcPr>
            <w:tcW w:type="dxa" w:w="327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بعد</w:t>
            </w:r>
          </w:p>
        </w:tc>
      </w:tr>
      <w:tr>
        <w:trPr>
          <w:tblHeader w:val="false"/>
        </w:trPr>
        <w:tc>
          <w:tcPr>
            <w:tcW w:type="dxa" w:w="30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مصدر زمني موحد</w:t>
            </w:r>
          </w:p>
        </w:tc>
        <w:tc>
          <w:tcPr>
            <w:tcW w:type="dxa" w:w="30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محدد</w:t>
            </w:r>
          </w:p>
        </w:tc>
        <w:tc>
          <w:tcPr>
            <w:tcW w:type="dxa" w:w="32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معتمد وموثق</w:t>
            </w:r>
          </w:p>
        </w:tc>
      </w:tr>
      <w:tr>
        <w:trPr>
          <w:tblHeader w:val="false"/>
        </w:trPr>
        <w:tc>
          <w:tcPr>
            <w:tcW w:type="dxa" w:w="304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أصول خارج المزامنة</w:t>
            </w:r>
          </w:p>
        </w:tc>
        <w:tc>
          <w:tcPr>
            <w:tcW w:type="dxa" w:w="304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٨٧</w:t>
            </w:r>
          </w:p>
        </w:tc>
        <w:tc>
          <w:tcPr>
            <w:tcW w:type="dxa" w:w="327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صفر</w:t>
            </w:r>
          </w:p>
        </w:tc>
      </w:tr>
      <w:tr>
        <w:trPr>
          <w:tblHeader w:val="false"/>
        </w:trPr>
        <w:tc>
          <w:tcPr>
            <w:tcW w:type="dxa" w:w="30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تنبيه عند انقطاع المزامنة</w:t>
            </w:r>
          </w:p>
        </w:tc>
        <w:tc>
          <w:tcPr>
            <w:tcW w:type="dxa" w:w="304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مفعَّل</w:t>
            </w:r>
          </w:p>
        </w:tc>
        <w:tc>
          <w:tcPr>
            <w:tcW w:type="dxa" w:w="327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مفعَّل — معالجة خلال يوم عمل</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قواعد الكشف</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6392"/>
        <w:gridCol w:w="2968"/>
      </w:tblGrid>
      <w:tr>
        <w:trPr>
          <w:tblHeader/>
        </w:trPr>
        <w:tc>
          <w:tcPr>
            <w:tcW w:type="dxa" w:w="639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المصدر</w:t>
            </w:r>
          </w:p>
        </w:tc>
        <w:tc>
          <w:tcPr>
            <w:tcW w:type="dxa" w:w="296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عدد القواعد المضافة</w:t>
            </w:r>
          </w:p>
        </w:tc>
      </w:tr>
      <w:tr>
        <w:trPr>
          <w:tblHeader w:val="false"/>
        </w:trPr>
        <w:tc>
          <w:tcPr>
            <w:tcW w:type="dxa" w:w="63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أساسية للمصادر الجديدة</w:t>
            </w:r>
          </w:p>
        </w:tc>
        <w:tc>
          <w:tcPr>
            <w:tcW w:type="dxa" w:w="29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٦٤</w:t>
            </w:r>
          </w:p>
        </w:tc>
      </w:tr>
      <w:tr>
        <w:trPr>
          <w:tblHeader w:val="false"/>
        </w:trPr>
        <w:tc>
          <w:tcPr>
            <w:tcW w:type="dxa" w:w="63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من ملاحظات اختبار الاختراق</w:t>
            </w:r>
          </w:p>
        </w:tc>
        <w:tc>
          <w:tcPr>
            <w:tcW w:type="dxa" w:w="296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r>
      <w:tr>
        <w:trPr>
          <w:tblHeader w:val="false"/>
        </w:trPr>
        <w:tc>
          <w:tcPr>
            <w:tcW w:type="dxa" w:w="63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من مؤشرات الاختراق الواردة من المعلومات الاستباقية</w:t>
            </w:r>
          </w:p>
        </w:tc>
        <w:tc>
          <w:tcPr>
            <w:tcW w:type="dxa" w:w="29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٣٨</w:t>
            </w:r>
          </w:p>
        </w:tc>
      </w:tr>
      <w:tr>
        <w:trPr>
          <w:tblHeader w:val="false"/>
        </w:trPr>
        <w:tc>
          <w:tcPr>
            <w:tcW w:type="dxa" w:w="63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من الدروس المستفادة من الحوادث</w:t>
            </w:r>
          </w:p>
        </w:tc>
        <w:tc>
          <w:tcPr>
            <w:tcW w:type="dxa" w:w="296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r>
      <w:tr>
        <w:trPr>
          <w:tblHeader w:val="false"/>
        </w:trPr>
        <w:tc>
          <w:tcPr>
            <w:tcW w:type="dxa" w:w="6392"/>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الإجمالي</w:t>
            </w:r>
          </w:p>
        </w:tc>
        <w:tc>
          <w:tcPr>
            <w:tcW w:type="dxa" w:w="2968"/>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١١١</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القاعدتان من اختبار الاختراق:</w:t>
      </w:r>
      <w:r>
        <w:rPr>
          <w:rFonts w:ascii="Arial" w:cs="Arial" w:eastAsia="Arial" w:hAnsi="Arial"/>
          <w:b w:val="false"/>
          <w:bCs w:val="false"/>
          <w:color w:val="16202A"/>
          <w:sz w:val="21"/>
          <w:szCs w:val="21"/>
          <w:rtl/>
        </w:rPr>
        <w:t xml:space="preserve"> كشف رفع الملفات غير المعتادة، ومراقبة تغييرات الصلاحيات في البيئة السحابية — وهما الحالتان اللتان لم يكتشفهما المركز أثناء الاختبار.</w:t>
      </w:r>
    </w:p>
    <w:p>
      <w:pPr>
        <w:pStyle w:val="Heading2"/>
        <w:bidi/>
        <w:spacing w:after="120" w:before="280" w:line="300"/>
        <w:jc w:val="start"/>
      </w:pPr>
      <w:r>
        <w:rPr>
          <w:rFonts w:ascii="Arial" w:cs="Arial" w:eastAsia="Arial" w:hAnsi="Arial"/>
          <w:b/>
          <w:bCs/>
          <w:color w:val="15325C"/>
          <w:sz w:val="27"/>
          <w:szCs w:val="27"/>
          <w:rtl/>
        </w:rPr>
        <w:t xml:space="preserve">مراقبة تدفق السجلات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6199"/>
        <w:gridCol w:w="3161"/>
      </w:tblGrid>
      <w:tr>
        <w:trPr>
          <w:tblHeader/>
        </w:trPr>
        <w:tc>
          <w:tcPr>
            <w:tcW w:type="dxa" w:w="619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الضابط</w:t>
            </w:r>
          </w:p>
        </w:tc>
        <w:tc>
          <w:tcPr>
            <w:tcW w:type="dxa" w:w="316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الحالة</w:t>
            </w:r>
          </w:p>
        </w:tc>
      </w:tr>
      <w:tr>
        <w:trPr>
          <w:tblHeader w:val="false"/>
        </w:trPr>
        <w:tc>
          <w:tcPr>
            <w:tcW w:type="dxa" w:w="619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تنبيه عند انقطاع التدفق من مصدر إلزامي أكثر من ساعة</w:t>
            </w:r>
          </w:p>
        </w:tc>
        <w:tc>
          <w:tcPr>
            <w:tcW w:type="dxa" w:w="316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مفعَّل</w:t>
            </w:r>
          </w:p>
        </w:tc>
      </w:tr>
      <w:tr>
        <w:trPr>
          <w:tblHeader w:val="false"/>
        </w:trPr>
        <w:tc>
          <w:tcPr>
            <w:tcW w:type="dxa" w:w="619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الشهري من اكتمال المصادر مقابل سجل الأصول</w:t>
            </w:r>
          </w:p>
        </w:tc>
        <w:tc>
          <w:tcPr>
            <w:tcW w:type="dxa" w:w="316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مفعَّل — نُفّذ مرتان</w:t>
            </w:r>
          </w:p>
        </w:tc>
      </w:tr>
      <w:tr>
        <w:trPr>
          <w:tblHeader w:val="false"/>
        </w:trPr>
        <w:tc>
          <w:tcPr>
            <w:tcW w:type="dxa" w:w="619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مصادر رُصد انقطاعها وعولجت</w:t>
            </w:r>
          </w:p>
        </w:tc>
        <w:tc>
          <w:tcPr>
            <w:tcW w:type="dxa" w:w="316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أثر التوسعة على أداء الكشف</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069"/>
        <w:gridCol w:w="2645"/>
        <w:gridCol w:w="2646"/>
      </w:tblGrid>
      <w:tr>
        <w:trPr>
          <w:tblHeader/>
        </w:trPr>
        <w:tc>
          <w:tcPr>
            <w:tcW w:type="dxa" w:w="406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المؤشر</w:t>
            </w:r>
          </w:p>
        </w:tc>
        <w:tc>
          <w:tcPr>
            <w:tcW w:type="dxa" w:w="26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قبل</w:t>
            </w:r>
          </w:p>
        </w:tc>
        <w:tc>
          <w:tcPr>
            <w:tcW w:type="dxa" w:w="264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بعد</w:t>
            </w:r>
          </w:p>
        </w:tc>
      </w:tr>
      <w:tr>
        <w:trPr>
          <w:tblHeader w:val="false"/>
        </w:trPr>
        <w:tc>
          <w:tcPr>
            <w:tcW w:type="dxa" w:w="40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متوسط زمن الكشف للتنبيهات عالية الأولوية</w:t>
            </w:r>
          </w:p>
        </w:tc>
        <w:tc>
          <w:tcPr>
            <w:tcW w:type="dxa" w:w="26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مقاس</w:t>
            </w:r>
          </w:p>
        </w:tc>
        <w:tc>
          <w:tcPr>
            <w:tcW w:type="dxa" w:w="26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٣٨ دقيقة</w:t>
            </w:r>
          </w:p>
        </w:tc>
      </w:tr>
      <w:tr>
        <w:trPr>
          <w:tblHeader w:val="false"/>
        </w:trPr>
        <w:tc>
          <w:tcPr>
            <w:tcW w:type="dxa" w:w="40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التنبيهات المفروزة خلال ٣٠ دقيقة</w:t>
            </w:r>
          </w:p>
        </w:tc>
        <w:tc>
          <w:tcPr>
            <w:tcW w:type="dxa" w:w="26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مقاسة</w:t>
            </w:r>
          </w:p>
        </w:tc>
        <w:tc>
          <w:tcPr>
            <w:tcW w:type="dxa" w:w="26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٩١%</w:t>
            </w:r>
          </w:p>
        </w:tc>
      </w:tr>
      <w:tr>
        <w:trPr>
          <w:tblHeader w:val="false"/>
        </w:trPr>
        <w:tc>
          <w:tcPr>
            <w:tcW w:type="dxa" w:w="406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تنبيهات يومية بعد ضبط الضجيج</w:t>
            </w:r>
          </w:p>
        </w:tc>
        <w:tc>
          <w:tcPr>
            <w:tcW w:type="dxa" w:w="26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26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٣٤٠</w:t>
            </w:r>
          </w:p>
        </w:tc>
      </w:tr>
      <w:tr>
        <w:trPr>
          <w:tblHeader w:val="false"/>
        </w:trPr>
        <w:tc>
          <w:tcPr>
            <w:tcW w:type="dxa" w:w="406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الإيجابيات الخاطئة</w:t>
            </w:r>
          </w:p>
        </w:tc>
        <w:tc>
          <w:tcPr>
            <w:tcW w:type="dxa" w:w="26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c>
          <w:tcPr>
            <w:tcW w:type="dxa" w:w="26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٢٢%</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معالجة الضجيج:</w:t>
      </w:r>
      <w:r>
        <w:rPr>
          <w:rFonts w:ascii="Arial" w:cs="Arial" w:eastAsia="Arial" w:hAnsi="Arial"/>
          <w:b w:val="false"/>
          <w:bCs w:val="false"/>
          <w:color w:val="16202A"/>
          <w:sz w:val="21"/>
          <w:szCs w:val="21"/>
          <w:rtl/>
        </w:rPr>
        <w:t xml:space="preserve"> أنتجت المصادر الجديدة في الأسبوع الأول ما يزيد على ٤٬٢٠٠ تنبيه يومي، وهو رقم يستحيل فرزه بفريق من ستة محللين. ضُبطت القواعد على مدى ثلاثة أسابيع حتى استقر الرقم عند ٣٤٠.</w:t>
      </w:r>
    </w:p>
    <w:p>
      <w:pPr>
        <w:bidi/>
        <w:spacing w:after="140" w:before="0" w:line="300"/>
        <w:jc w:val="start"/>
      </w:pPr>
      <w:r>
        <w:rPr>
          <w:rFonts w:ascii="Arial" w:cs="Arial" w:eastAsia="Arial" w:hAnsi="Arial"/>
          <w:b/>
          <w:bCs/>
          <w:color w:val="15325C"/>
          <w:sz w:val="21"/>
          <w:szCs w:val="21"/>
          <w:rtl/>
        </w:rPr>
        <w:t xml:space="preserve">الدرس:</w:t>
      </w:r>
      <w:r>
        <w:rPr>
          <w:rFonts w:ascii="Arial" w:cs="Arial" w:eastAsia="Arial" w:hAnsi="Arial"/>
          <w:b w:val="false"/>
          <w:bCs w:val="false"/>
          <w:color w:val="16202A"/>
          <w:sz w:val="21"/>
          <w:szCs w:val="21"/>
          <w:rtl/>
        </w:rPr>
        <w:t xml:space="preserve"> توسعة جمع السجلات دون ضبط القواعد تُنتج عمى تنبيهات، وقد تكون أسوأ من التغطية الناقصة لأنها تُغرق التنبيه الحقيقي وسط الضجيج.</w:t>
      </w:r>
    </w:p>
    <w:p>
      <w:pPr>
        <w:bidi/>
        <w:spacing w:after="140" w:before="0" w:line="300"/>
        <w:jc w:val="start"/>
      </w:pPr>
      <w:r>
        <w:rPr>
          <w:rFonts w:ascii="Arial" w:cs="Arial" w:eastAsia="Arial" w:hAnsi="Arial"/>
          <w:b w:val="false"/>
          <w:bCs w:val="false"/>
          <w:color w:val="16202A"/>
          <w:sz w:val="21"/>
          <w:szCs w:val="21"/>
          <w:rtl/>
        </w:rPr>
        <w:t xml:space="preserve">---</w:t>
      </w:r>
    </w:p>
    <w:p>
      <w:pPr>
        <w:pStyle w:val="Heading1"/>
        <w:bidi/>
        <w:spacing w:after="200" w:before="0" w:line="300"/>
        <w:jc w:val="start"/>
      </w:pPr>
      <w:r>
        <w:rPr>
          <w:rFonts w:ascii="Arial" w:cs="Arial" w:eastAsia="Arial" w:hAnsi="Arial"/>
          <w:b/>
          <w:bCs/>
          <w:color w:val="15325C"/>
          <w:sz w:val="32"/>
          <w:szCs w:val="32"/>
          <w:rtl/>
        </w:rPr>
        <w:t xml:space="preserve">ثانياً: توسعة نطاق النسخ الاحتياطية — الضابط ٢-٩-٢</w:t>
      </w:r>
    </w:p>
    <w:p>
      <w:pPr>
        <w:pStyle w:val="Heading2"/>
        <w:bidi/>
        <w:spacing w:after="120" w:before="280" w:line="300"/>
        <w:jc w:val="start"/>
      </w:pPr>
      <w:r>
        <w:rPr>
          <w:rFonts w:ascii="Arial" w:cs="Arial" w:eastAsia="Arial" w:hAnsi="Arial"/>
          <w:b/>
          <w:bCs/>
          <w:color w:val="15325C"/>
          <w:sz w:val="27"/>
          <w:szCs w:val="27"/>
          <w:rtl/>
        </w:rPr>
        <w:t xml:space="preserve">نطاق النسخ</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153"/>
        <w:gridCol w:w="2899"/>
        <w:gridCol w:w="2153"/>
        <w:gridCol w:w="2155"/>
      </w:tblGrid>
      <w:tr>
        <w:trPr>
          <w:tblHeader/>
        </w:trPr>
        <w:tc>
          <w:tcPr>
            <w:tcW w:type="dxa" w:w="215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289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الأصل</w:t>
            </w:r>
          </w:p>
        </w:tc>
        <w:tc>
          <w:tcPr>
            <w:tcW w:type="dxa" w:w="215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قبل</w:t>
            </w:r>
          </w:p>
        </w:tc>
        <w:tc>
          <w:tcPr>
            <w:tcW w:type="dxa" w:w="215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بعد</w:t>
            </w:r>
          </w:p>
        </w:tc>
      </w:tr>
      <w:tr>
        <w:trPr>
          <w:tblHeader w:val="false"/>
        </w:trPr>
        <w:tc>
          <w:tcPr>
            <w:tcW w:type="dxa" w:w="215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289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بيانات الأنظمة</w:t>
            </w:r>
          </w:p>
        </w:tc>
        <w:tc>
          <w:tcPr>
            <w:tcW w:type="dxa" w:w="215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مشمول</w:t>
            </w:r>
          </w:p>
        </w:tc>
        <w:tc>
          <w:tcPr>
            <w:tcW w:type="dxa" w:w="21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مشمول</w:t>
            </w:r>
          </w:p>
        </w:tc>
      </w:tr>
      <w:tr>
        <w:trPr>
          <w:tblHeader w:val="false"/>
        </w:trPr>
        <w:tc>
          <w:tcPr>
            <w:tcW w:type="dxa" w:w="215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289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ملفات ومرفقات الأنظمة</w:t>
            </w:r>
          </w:p>
        </w:tc>
        <w:tc>
          <w:tcPr>
            <w:tcW w:type="dxa" w:w="215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مشمول</w:t>
            </w:r>
          </w:p>
        </w:tc>
        <w:tc>
          <w:tcPr>
            <w:tcW w:type="dxa" w:w="21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مشمول</w:t>
            </w:r>
          </w:p>
        </w:tc>
      </w:tr>
      <w:tr>
        <w:trPr>
          <w:tblHeader w:val="false"/>
        </w:trPr>
        <w:tc>
          <w:tcPr>
            <w:tcW w:type="dxa" w:w="215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289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إعدادات البنية التحتية والبنية ككود</w:t>
            </w:r>
          </w:p>
        </w:tc>
        <w:tc>
          <w:tcPr>
            <w:tcW w:type="dxa" w:w="215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مشمول</w:t>
            </w:r>
          </w:p>
        </w:tc>
        <w:tc>
          <w:tcPr>
            <w:tcW w:type="dxa" w:w="21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مشمول</w:t>
            </w:r>
          </w:p>
        </w:tc>
      </w:tr>
      <w:tr>
        <w:trPr>
          <w:tblHeader w:val="false"/>
        </w:trPr>
        <w:tc>
          <w:tcPr>
            <w:tcW w:type="dxa" w:w="215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89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مستودعات الكود المصدري</w:t>
            </w:r>
          </w:p>
        </w:tc>
        <w:tc>
          <w:tcPr>
            <w:tcW w:type="dxa" w:w="215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مشمول</w:t>
            </w:r>
          </w:p>
        </w:tc>
        <w:tc>
          <w:tcPr>
            <w:tcW w:type="dxa" w:w="21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مشمول</w:t>
            </w:r>
          </w:p>
        </w:tc>
      </w:tr>
      <w:tr>
        <w:trPr>
          <w:tblHeader w:val="false"/>
        </w:trPr>
        <w:tc>
          <w:tcPr>
            <w:tcW w:type="dxa" w:w="215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289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إعدادات منصة الحاويات وسجل الصور</w:t>
            </w:r>
          </w:p>
        </w:tc>
        <w:tc>
          <w:tcPr>
            <w:tcW w:type="dxa" w:w="215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مشمول</w:t>
            </w:r>
          </w:p>
        </w:tc>
        <w:tc>
          <w:tcPr>
            <w:tcW w:type="dxa" w:w="21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مشمول</w:t>
            </w:r>
          </w:p>
        </w:tc>
      </w:tr>
      <w:tr>
        <w:trPr>
          <w:tblHeader w:val="false"/>
        </w:trPr>
        <w:tc>
          <w:tcPr>
            <w:tcW w:type="dxa" w:w="215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289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إعدادات أجهزة الشبكة وجدران الحماية</w:t>
            </w:r>
          </w:p>
        </w:tc>
        <w:tc>
          <w:tcPr>
            <w:tcW w:type="dxa" w:w="215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مشمول</w:t>
            </w:r>
          </w:p>
        </w:tc>
        <w:tc>
          <w:tcPr>
            <w:tcW w:type="dxa" w:w="21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مشمول</w:t>
            </w:r>
          </w:p>
        </w:tc>
      </w:tr>
      <w:tr>
        <w:trPr>
          <w:tblHeader w:val="false"/>
        </w:trPr>
        <w:tc>
          <w:tcPr>
            <w:tcW w:type="dxa" w:w="215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289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خزنة الأسرار المركزية</w:t>
            </w:r>
          </w:p>
        </w:tc>
        <w:tc>
          <w:tcPr>
            <w:tcW w:type="dxa" w:w="215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مشمول</w:t>
            </w:r>
          </w:p>
        </w:tc>
        <w:tc>
          <w:tcPr>
            <w:tcW w:type="dxa" w:w="21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مشمول — بمفتاح منفصل</w:t>
            </w:r>
          </w:p>
        </w:tc>
      </w:tr>
      <w:tr>
        <w:trPr>
          <w:tblHeader w:val="false"/>
        </w:trPr>
        <w:tc>
          <w:tcPr>
            <w:tcW w:type="dxa" w:w="215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289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نظام إدارة الأحداث والسجلات</w:t>
            </w:r>
          </w:p>
        </w:tc>
        <w:tc>
          <w:tcPr>
            <w:tcW w:type="dxa" w:w="215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مشمول</w:t>
            </w:r>
          </w:p>
        </w:tc>
        <w:tc>
          <w:tcPr>
            <w:tcW w:type="dxa" w:w="21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مشمول</w:t>
            </w:r>
          </w:p>
        </w:tc>
      </w:tr>
      <w:tr>
        <w:trPr>
          <w:tblHeader w:val="false"/>
        </w:trPr>
        <w:tc>
          <w:tcPr>
            <w:tcW w:type="dxa" w:w="215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289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أنظمة الشركة الإدارية</w:t>
            </w:r>
          </w:p>
        </w:tc>
        <w:tc>
          <w:tcPr>
            <w:tcW w:type="dxa" w:w="215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مشمول</w:t>
            </w:r>
          </w:p>
        </w:tc>
        <w:tc>
          <w:tcPr>
            <w:tcW w:type="dxa" w:w="21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مشمول</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أداء عمليات النسخ</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235"/>
        <w:gridCol w:w="4125"/>
      </w:tblGrid>
      <w:tr>
        <w:trPr>
          <w:tblHeader/>
        </w:trPr>
        <w:tc>
          <w:tcPr>
            <w:tcW w:type="dxa" w:w="523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المؤشر</w:t>
            </w:r>
          </w:p>
        </w:tc>
        <w:tc>
          <w:tcPr>
            <w:tcW w:type="dxa" w:w="412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القيمة</w:t>
            </w:r>
          </w:p>
        </w:tc>
      </w:tr>
      <w:tr>
        <w:trPr>
          <w:tblHeader w:val="false"/>
        </w:trPr>
        <w:tc>
          <w:tcPr>
            <w:tcW w:type="dxa" w:w="523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عمليات النسخ اليومية</w:t>
            </w:r>
          </w:p>
        </w:tc>
        <w:tc>
          <w:tcPr>
            <w:tcW w:type="dxa" w:w="41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١,٨٤٧</w:t>
            </w:r>
          </w:p>
        </w:tc>
      </w:tr>
      <w:tr>
        <w:trPr>
          <w:tblHeader w:val="false"/>
        </w:trPr>
        <w:tc>
          <w:tcPr>
            <w:tcW w:type="dxa" w:w="523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نجاح العمليات</w:t>
            </w:r>
          </w:p>
        </w:tc>
        <w:tc>
          <w:tcPr>
            <w:tcW w:type="dxa" w:w="41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٩٩.٤%</w:t>
            </w:r>
          </w:p>
        </w:tc>
      </w:tr>
      <w:tr>
        <w:trPr>
          <w:tblHeader w:val="false"/>
        </w:trPr>
        <w:tc>
          <w:tcPr>
            <w:tcW w:type="dxa" w:w="523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عمليات فاشلة عولجت خلال المهلة</w:t>
            </w:r>
          </w:p>
        </w:tc>
        <w:tc>
          <w:tcPr>
            <w:tcW w:type="dxa" w:w="41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١١</w:t>
            </w:r>
          </w:p>
        </w:tc>
      </w:tr>
      <w:tr>
        <w:trPr>
          <w:tblHeader w:val="false"/>
        </w:trPr>
        <w:tc>
          <w:tcPr>
            <w:tcW w:type="dxa" w:w="523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فشل على أصل من الفئة الأولى</w:t>
            </w:r>
          </w:p>
        </w:tc>
        <w:tc>
          <w:tcPr>
            <w:tcW w:type="dxa" w:w="41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صفر</w:t>
            </w:r>
          </w:p>
        </w:tc>
      </w:tr>
      <w:tr>
        <w:trPr>
          <w:tblHeader w:val="false"/>
        </w:trPr>
        <w:tc>
          <w:tcPr>
            <w:tcW w:type="dxa" w:w="523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النسخ المخزّنة بخاصية منع التعديل</w:t>
            </w:r>
          </w:p>
        </w:tc>
        <w:tc>
          <w:tcPr>
            <w:tcW w:type="dxa" w:w="41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١٠٠%</w:t>
            </w:r>
          </w:p>
        </w:tc>
      </w:tr>
      <w:tr>
        <w:trPr>
          <w:tblHeader w:val="false"/>
        </w:trPr>
        <w:tc>
          <w:tcPr>
            <w:tcW w:type="dxa" w:w="523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النسخ المشفَّرة أثناء التخزين</w:t>
            </w:r>
          </w:p>
        </w:tc>
        <w:tc>
          <w:tcPr>
            <w:tcW w:type="dxa" w:w="41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١٠٠%</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إعادة اختبار التعافي</w:t>
      </w:r>
    </w:p>
    <w:p>
      <w:pPr>
        <w:bidi/>
        <w:spacing w:after="140" w:before="0" w:line="300"/>
        <w:jc w:val="start"/>
      </w:pPr>
      <w:r>
        <w:rPr>
          <w:rFonts w:ascii="Arial" w:cs="Arial" w:eastAsia="Arial" w:hAnsi="Arial"/>
          <w:b w:val="false"/>
          <w:bCs w:val="false"/>
          <w:color w:val="16202A"/>
          <w:sz w:val="21"/>
          <w:szCs w:val="21"/>
          <w:rtl/>
        </w:rPr>
        <w:t xml:space="preserve">نُفّذت إعادة الاختبار بعد تنفيذ الإجراءات التصحيحية الأربعة الموثقة في سجل اختبارات الاستعادة CS-REG-005، تنفيذاً لقرار اللجنة الإشرافية بعدم اعتماد أهداف التعافي قبل إثباتها.</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750"/>
        <w:gridCol w:w="2356"/>
        <w:gridCol w:w="1750"/>
        <w:gridCol w:w="1750"/>
        <w:gridCol w:w="1754"/>
      </w:tblGrid>
      <w:tr>
        <w:trPr>
          <w:tblHeader/>
        </w:trPr>
        <w:tc>
          <w:tcPr>
            <w:tcW w:type="dxa" w:w="175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235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المرحلة</w:t>
            </w:r>
          </w:p>
        </w:tc>
        <w:tc>
          <w:tcPr>
            <w:tcW w:type="dxa" w:w="175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المستهدف</w:t>
            </w:r>
          </w:p>
        </w:tc>
        <w:tc>
          <w:tcPr>
            <w:tcW w:type="dxa" w:w="175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الاختبار الأول</w:t>
            </w:r>
          </w:p>
        </w:tc>
        <w:tc>
          <w:tcPr>
            <w:tcW w:type="dxa" w:w="175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إعادة الاختبار</w:t>
            </w:r>
          </w:p>
        </w:tc>
      </w:tr>
      <w:tr>
        <w:trPr>
          <w:tblHeader w:val="false"/>
        </w:trPr>
        <w:tc>
          <w:tcPr>
            <w:tcW w:type="dxa" w:w="17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23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إعلان حالة التعافي واعتماد التحويل</w:t>
            </w:r>
          </w:p>
        </w:tc>
        <w:tc>
          <w:tcPr>
            <w:tcW w:type="dxa" w:w="17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٣٠ دقيقة</w:t>
            </w:r>
          </w:p>
        </w:tc>
        <w:tc>
          <w:tcPr>
            <w:tcW w:type="dxa" w:w="17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٢٢</w:t>
            </w:r>
          </w:p>
        </w:tc>
        <w:tc>
          <w:tcPr>
            <w:tcW w:type="dxa" w:w="175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١٩</w:t>
            </w:r>
          </w:p>
        </w:tc>
      </w:tr>
      <w:tr>
        <w:trPr>
          <w:tblHeader w:val="false"/>
        </w:trPr>
        <w:tc>
          <w:tcPr>
            <w:tcW w:type="dxa" w:w="17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23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إشعار الجهات العميلة</w:t>
            </w:r>
          </w:p>
        </w:tc>
        <w:tc>
          <w:tcPr>
            <w:tcW w:type="dxa" w:w="17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٣٠ دقيقة</w:t>
            </w:r>
          </w:p>
        </w:tc>
        <w:tc>
          <w:tcPr>
            <w:tcW w:type="dxa" w:w="17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١٨</w:t>
            </w:r>
          </w:p>
        </w:tc>
        <w:tc>
          <w:tcPr>
            <w:tcW w:type="dxa" w:w="175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١٥</w:t>
            </w:r>
          </w:p>
        </w:tc>
      </w:tr>
      <w:tr>
        <w:trPr>
          <w:tblHeader w:val="false"/>
        </w:trPr>
        <w:tc>
          <w:tcPr>
            <w:tcW w:type="dxa" w:w="17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23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سلامة البيانات</w:t>
            </w:r>
          </w:p>
        </w:tc>
        <w:tc>
          <w:tcPr>
            <w:tcW w:type="dxa" w:w="17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٤٥ دقيقة</w:t>
            </w:r>
          </w:p>
        </w:tc>
        <w:tc>
          <w:tcPr>
            <w:tcW w:type="dxa" w:w="17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٦٧</w:t>
            </w:r>
          </w:p>
        </w:tc>
        <w:tc>
          <w:tcPr>
            <w:tcW w:type="dxa" w:w="175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٣٤</w:t>
            </w:r>
          </w:p>
        </w:tc>
      </w:tr>
      <w:tr>
        <w:trPr>
          <w:tblHeader w:val="false"/>
        </w:trPr>
        <w:tc>
          <w:tcPr>
            <w:tcW w:type="dxa" w:w="17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3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تشغيل الأنظمة من الفئة الأولى</w:t>
            </w:r>
          </w:p>
        </w:tc>
        <w:tc>
          <w:tcPr>
            <w:tcW w:type="dxa" w:w="17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٩٠ دقيقة</w:t>
            </w:r>
          </w:p>
        </w:tc>
        <w:tc>
          <w:tcPr>
            <w:tcW w:type="dxa" w:w="17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١٣٨</w:t>
            </w:r>
          </w:p>
        </w:tc>
        <w:tc>
          <w:tcPr>
            <w:tcW w:type="dxa" w:w="175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٧١</w:t>
            </w:r>
          </w:p>
        </w:tc>
      </w:tr>
      <w:tr>
        <w:trPr>
          <w:tblHeader w:val="false"/>
        </w:trPr>
        <w:tc>
          <w:tcPr>
            <w:tcW w:type="dxa" w:w="17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23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تحويل مسارات الشبكة وأسماء النطاقات</w:t>
            </w:r>
          </w:p>
        </w:tc>
        <w:tc>
          <w:tcPr>
            <w:tcW w:type="dxa" w:w="17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٣٠ دقيقة</w:t>
            </w:r>
          </w:p>
        </w:tc>
        <w:tc>
          <w:tcPr>
            <w:tcW w:type="dxa" w:w="17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٧١</w:t>
            </w:r>
          </w:p>
        </w:tc>
        <w:tc>
          <w:tcPr>
            <w:tcW w:type="dxa" w:w="175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٢٤</w:t>
            </w:r>
          </w:p>
        </w:tc>
      </w:tr>
      <w:tr>
        <w:trPr>
          <w:tblHeader w:val="false"/>
        </w:trPr>
        <w:tc>
          <w:tcPr>
            <w:tcW w:type="dxa" w:w="17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23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الخدمات والتحقق</w:t>
            </w:r>
          </w:p>
        </w:tc>
        <w:tc>
          <w:tcPr>
            <w:tcW w:type="dxa" w:w="17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٤٥ دقيقة</w:t>
            </w:r>
          </w:p>
        </w:tc>
        <w:tc>
          <w:tcPr>
            <w:tcW w:type="dxa" w:w="17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٥٢</w:t>
            </w:r>
          </w:p>
        </w:tc>
        <w:tc>
          <w:tcPr>
            <w:tcW w:type="dxa" w:w="175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٣٨</w:t>
            </w:r>
          </w:p>
        </w:tc>
      </w:tr>
      <w:tr>
        <w:trPr>
          <w:tblHeader w:val="false"/>
        </w:trPr>
        <w:tc>
          <w:tcPr>
            <w:tcW w:type="dxa" w:w="17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23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إعلان استئناف الخدمة</w:t>
            </w:r>
          </w:p>
        </w:tc>
        <w:tc>
          <w:tcPr>
            <w:tcW w:type="dxa" w:w="17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٢٠ دقيقة</w:t>
            </w:r>
          </w:p>
        </w:tc>
        <w:tc>
          <w:tcPr>
            <w:tcW w:type="dxa" w:w="175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١٤</w:t>
            </w:r>
          </w:p>
        </w:tc>
        <w:tc>
          <w:tcPr>
            <w:tcW w:type="dxa" w:w="175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w:t>
            </w:r>
          </w:p>
        </w:tc>
      </w:tr>
      <w:tr>
        <w:trPr>
          <w:tblHeader w:val="false"/>
        </w:trPr>
        <w:tc>
          <w:tcPr>
            <w:tcW w:type="dxa" w:w="17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الإجمالي</w:t>
            </w:r>
          </w:p>
        </w:tc>
        <w:tc>
          <w:tcPr>
            <w:tcW w:type="dxa" w:w="23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٤ ساعات و٥٠ دقيقة</w:t>
            </w:r>
          </w:p>
        </w:tc>
        <w:tc>
          <w:tcPr>
            <w:tcW w:type="dxa" w:w="17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٦ ساعات و٢٢ دقيقة</w:t>
            </w:r>
          </w:p>
        </w:tc>
        <w:tc>
          <w:tcPr>
            <w:tcW w:type="dxa" w:w="175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٣ ساعات و٣٣ دقيقة</w:t>
            </w:r>
          </w:p>
        </w:tc>
        <w:tc>
          <w:tcPr>
            <w:tcW w:type="dxa" w:w="175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النتيجة: زمن التعافي الفعلي ٣ ساعات و٣٣ دقيقة، أي دون الهدف المعتمد للفئة الأولى بمقدار ٢٧ دقيقة.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502"/>
        <w:gridCol w:w="4858"/>
      </w:tblGrid>
      <w:tr>
        <w:trPr>
          <w:tblHeader/>
        </w:trPr>
        <w:tc>
          <w:tcPr>
            <w:tcW w:type="dxa" w:w="450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الإجراء التصحيحي</w:t>
            </w:r>
          </w:p>
        </w:tc>
        <w:tc>
          <w:tcPr>
            <w:tcW w:type="dxa" w:w="485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الأثر المقاس</w:t>
            </w:r>
          </w:p>
        </w:tc>
      </w:tr>
      <w:tr>
        <w:trPr>
          <w:tblHeader w:val="false"/>
        </w:trPr>
        <w:tc>
          <w:tcPr>
            <w:tcW w:type="dxa" w:w="45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إعادة تنظيم تخزين النسخ على وسيط سريع</w:t>
            </w:r>
          </w:p>
        </w:tc>
        <w:tc>
          <w:tcPr>
            <w:tcW w:type="dxa" w:w="485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خفض زمن الاستعادة الكبيرة بنسبة ٤٦٪</w:t>
            </w:r>
          </w:p>
        </w:tc>
      </w:tr>
      <w:tr>
        <w:trPr>
          <w:tblHeader w:val="false"/>
        </w:trPr>
        <w:tc>
          <w:tcPr>
            <w:tcW w:type="dxa" w:w="45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تقليل مدة صلاحية أسماء النطاقات الحرجة</w:t>
            </w:r>
          </w:p>
        </w:tc>
        <w:tc>
          <w:tcPr>
            <w:tcW w:type="dxa" w:w="485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خفض زمن التحويل الشبكي من ٧١ إلى ٢٤ دقيقة</w:t>
            </w:r>
          </w:p>
        </w:tc>
      </w:tr>
      <w:tr>
        <w:trPr>
          <w:tblHeader w:val="false"/>
        </w:trPr>
        <w:tc>
          <w:tcPr>
            <w:tcW w:type="dxa" w:w="45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أتمتة تشغيل الأنظمة من الفئة الأولى</w:t>
            </w:r>
          </w:p>
        </w:tc>
        <w:tc>
          <w:tcPr>
            <w:tcW w:type="dxa" w:w="485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خفض زمن التشغيل من ١٣٨ إلى ٧١ دقيقة</w:t>
            </w:r>
          </w:p>
        </w:tc>
      </w:tr>
      <w:tr>
        <w:trPr>
          <w:tblHeader w:val="false"/>
        </w:trPr>
        <w:tc>
          <w:tcPr>
            <w:tcW w:type="dxa" w:w="45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أتمتة التحقق من سلامة البيانات</w:t>
            </w:r>
          </w:p>
        </w:tc>
        <w:tc>
          <w:tcPr>
            <w:tcW w:type="dxa" w:w="485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خفض زمن التحقق من ٦٧ إلى ٣٤ دقيقة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الأثر على سجل المخاطر</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224"/>
        <w:gridCol w:w="2045"/>
        <w:gridCol w:w="2045"/>
        <w:gridCol w:w="2046"/>
      </w:tblGrid>
      <w:tr>
        <w:trPr>
          <w:tblHeader/>
        </w:trPr>
        <w:tc>
          <w:tcPr>
            <w:tcW w:type="dxa" w:w="322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المخاطرة</w:t>
            </w:r>
          </w:p>
        </w:tc>
        <w:tc>
          <w:tcPr>
            <w:tcW w:type="dxa" w:w="20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الدرجة قبل</w:t>
            </w:r>
          </w:p>
        </w:tc>
        <w:tc>
          <w:tcPr>
            <w:tcW w:type="dxa" w:w="20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الدرجة بعد</w:t>
            </w:r>
          </w:p>
        </w:tc>
        <w:tc>
          <w:tcPr>
            <w:tcW w:type="dxa" w:w="204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الحالة</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R-04 — فشل التعافي من هجوم فدية</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 — متوسطة</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 — منخفضة</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مغلقة</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R-07 — تعذّر التحقيق في اختراق طويل الأمد</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١٦ — حرجة</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 — منخفضة</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مغلقة</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R-12 — انقطاع ممتد للخدمات عند وقوع كارثة</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 — متوسطة</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 — منخفضة</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مغلقة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الأثر على الضوابط</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556"/>
        <w:gridCol w:w="2433"/>
        <w:gridCol w:w="3371"/>
      </w:tblGrid>
      <w:tr>
        <w:trPr>
          <w:tblHeader/>
        </w:trPr>
        <w:tc>
          <w:tcPr>
            <w:tcW w:type="dxa" w:w="355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الضابط</w:t>
            </w:r>
          </w:p>
        </w:tc>
        <w:tc>
          <w:tcPr>
            <w:tcW w:type="dxa" w:w="243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قبل</w:t>
            </w:r>
          </w:p>
        </w:tc>
        <w:tc>
          <w:tcPr>
            <w:tcW w:type="dxa" w:w="337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بعد</w:t>
            </w:r>
          </w:p>
        </w:tc>
      </w:tr>
      <w:tr>
        <w:trPr>
          <w:tblHeader w:val="false"/>
        </w:trPr>
        <w:tc>
          <w:tcPr>
            <w:tcW w:type="dxa" w:w="35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٢-٩-٢ تطبيق متطلبات النسخ الاحتياطية</w:t>
            </w:r>
          </w:p>
        </w:tc>
        <w:tc>
          <w:tcPr>
            <w:tcW w:type="dxa" w:w="24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مطبَّق جزئياً</w:t>
            </w:r>
          </w:p>
        </w:tc>
        <w:tc>
          <w:tcPr>
            <w:tcW w:type="dxa" w:w="337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مطبَّق بالكامل</w:t>
            </w:r>
          </w:p>
        </w:tc>
      </w:tr>
      <w:tr>
        <w:trPr>
          <w:tblHeader w:val="false"/>
        </w:trPr>
        <w:tc>
          <w:tcPr>
            <w:tcW w:type="dxa" w:w="35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٢-١٢-٢ تطبيق متطلبات السجلات والمراقبة</w:t>
            </w:r>
          </w:p>
        </w:tc>
        <w:tc>
          <w:tcPr>
            <w:tcW w:type="dxa" w:w="243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مطبَّق جزئياً</w:t>
            </w:r>
          </w:p>
        </w:tc>
        <w:tc>
          <w:tcPr>
            <w:tcW w:type="dxa" w:w="337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مطبَّق بالكامل</w:t>
            </w:r>
          </w:p>
        </w:tc>
      </w:tr>
      <w:tr>
        <w:trPr>
          <w:tblHeader w:val="false"/>
        </w:trPr>
        <w:tc>
          <w:tcPr>
            <w:tcW w:type="dxa" w:w="35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٣-١-٢</w:t>
            </w:r>
            <w:r>
              <w:rPr>
                <w:rFonts w:ascii="Arial" w:cs="Arial" w:eastAsia="Arial" w:hAnsi="Arial"/>
                <w:b w:val="false"/>
                <w:bCs w:val="false"/>
                <w:color w:val="16202A"/>
                <w:sz w:val="19"/>
                <w:szCs w:val="19"/>
                <w:rtl/>
              </w:rPr>
              <w:br/>
              <w:t xml:space="preserve">٣-١-٣</w:t>
            </w:r>
          </w:p>
        </w:tc>
        <w:tc>
          <w:tcPr>
            <w:tcW w:type="dxa" w:w="243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مطبَّق جزئياً</w:t>
            </w:r>
          </w:p>
        </w:tc>
        <w:tc>
          <w:tcPr>
            <w:tcW w:type="dxa" w:w="337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مطبَّق بالكامل — أهداف التعافي مثبتة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455"/>
        <w:gridCol w:w="2915"/>
        <w:gridCol w:w="1994"/>
        <w:gridCol w:w="1996"/>
      </w:tblGrid>
      <w:tr>
        <w:trPr>
          <w:tblHeader/>
        </w:trPr>
        <w:tc>
          <w:tcPr>
            <w:tcW w:type="dxa" w:w="245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291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99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99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4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نفّذ توسعة السجلات</w:t>
            </w:r>
          </w:p>
        </w:tc>
        <w:tc>
          <w:tcPr>
            <w:tcW w:type="dxa" w:w="291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c>
          <w:tcPr>
            <w:tcW w:type="dxa" w:w="19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9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4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نفّذ توسعة النسخ وإعادة الاختبار</w:t>
            </w:r>
          </w:p>
        </w:tc>
        <w:tc>
          <w:tcPr>
            <w:tcW w:type="dxa" w:w="291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عمر البلوي — مدير العمليات السحابية</w:t>
            </w:r>
          </w:p>
        </w:tc>
        <w:tc>
          <w:tcPr>
            <w:tcW w:type="dxa" w:w="19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9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4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راجع النتائج</w:t>
            </w:r>
          </w:p>
        </w:tc>
        <w:tc>
          <w:tcPr>
            <w:tcW w:type="dxa" w:w="291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199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9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4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النتائج</w:t>
            </w:r>
          </w:p>
        </w:tc>
        <w:tc>
          <w:tcPr>
            <w:tcW w:type="dxa" w:w="291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199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99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CS-REG-018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CS-REG-018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CS-REG-018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2026-10-04T11:48:02.183Z</dcterms:created>
  <dcterms:modified xsi:type="dcterms:W3CDTF">2026-10-04T11:48:02.183Z</dcterms:modified>
</cp:coreProperties>
</file>

<file path=docProps/custom.xml><?xml version="1.0" encoding="utf-8"?>
<Properties xmlns="http://schemas.openxmlformats.org/officeDocument/2006/custom-properties" xmlns:vt="http://schemas.openxmlformats.org/officeDocument/2006/docPropsVTypes"/>
</file>