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إدارة سجلات الأحداث والاحتفاظ بها</w:t>
            </w:r>
          </w:p>
          <w:p>
            <w:pPr>
              <w:bidi/>
              <w:spacing w:after="260" w:before="0" w:line="300"/>
              <w:jc w:val="start"/>
            </w:pPr>
            <w:r>
              <w:rPr>
                <w:rFonts w:ascii="Arial" w:cs="Arial" w:eastAsia="Arial" w:hAnsi="Arial"/>
                <w:b w:val="false"/>
                <w:bCs w:val="false"/>
                <w:color w:val="AFC4D4"/>
                <w:sz w:val="22"/>
                <w:szCs w:val="22"/>
                <w:rtl/>
              </w:rPr>
              <w:t xml:space="preserve">ثلاثة عشر مصدراً إلزامياً · احتفاظ اثني عشر شهراً</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CS-STD-002</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مركز العمليات الأمنية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2-12-3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إدارة سجلات الأحداث والاحتفاظ بها</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ويُعدّ مخرَجاً من حزمة العمل WP-05.</w:t>
      </w:r>
    </w:p>
    <w:p>
      <w:pPr>
        <w:bidi/>
        <w:spacing w:after="140" w:before="0" w:line="300"/>
        <w:jc w:val="start"/>
      </w:pPr>
      <w:r>
        <w:rPr>
          <w:rFonts w:ascii="Arial" w:cs="Arial" w:eastAsia="Arial" w:hAnsi="Arial"/>
          <w:b w:val="false"/>
          <w:bCs w:val="false"/>
          <w:color w:val="16202A"/>
          <w:sz w:val="21"/>
          <w:szCs w:val="21"/>
          <w:rtl/>
        </w:rPr>
        <w:t xml:space="preserve">يحدد هذا المعيار مصادر سجلات الأحداث الإلزامية في شركة نَسَق للحلول الرقمية، ومدة الاحتفاظ بها، ومتطلبات حمايتها، بما يضمن توافر أدلة كافية للتحقيق في الحوادث السيبرانية.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836"/>
        <w:gridCol w:w="3524"/>
      </w:tblGrid>
      <w:tr>
        <w:trPr>
          <w:tblHeader/>
        </w:trPr>
        <w:tc>
          <w:tcPr>
            <w:tcW w:type="dxa" w:w="583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52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8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٢-١٢-٣</w:t>
            </w:r>
          </w:p>
        </w:tc>
        <w:tc>
          <w:tcPr>
            <w:tcW w:type="dxa" w:w="35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الذي يستوفيه هذا المعيار</w:t>
            </w:r>
          </w:p>
        </w:tc>
      </w:tr>
      <w:tr>
        <w:trPr>
          <w:tblHeader w:val="false"/>
        </w:trPr>
        <w:tc>
          <w:tcPr>
            <w:tcW w:type="dxa" w:w="58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الاستجابة لحوادث الأمن السيبراني CS-PRO-002</w:t>
            </w:r>
          </w:p>
        </w:tc>
        <w:tc>
          <w:tcPr>
            <w:tcW w:type="dxa" w:w="35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السجلات كأدلة في التحقيق</w:t>
            </w:r>
          </w:p>
        </w:tc>
      </w:tr>
      <w:tr>
        <w:trPr>
          <w:tblHeader w:val="false"/>
        </w:trPr>
        <w:tc>
          <w:tcPr>
            <w:tcW w:type="dxa" w:w="58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إدارة حوادث وتهديدات الأمن السيبراني CS-POL-001</w:t>
            </w:r>
          </w:p>
        </w:tc>
        <w:tc>
          <w:tcPr>
            <w:tcW w:type="dxa" w:w="35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الحاكمة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مصادر السجلات الإلزامية</w:t>
      </w:r>
    </w:p>
    <w:p>
      <w:pPr>
        <w:bidi/>
        <w:spacing w:after="140" w:before="0" w:line="300"/>
        <w:jc w:val="start"/>
      </w:pPr>
      <w:r>
        <w:rPr>
          <w:rFonts w:ascii="Arial" w:cs="Arial" w:eastAsia="Arial" w:hAnsi="Arial"/>
          <w:b w:val="false"/>
          <w:bCs w:val="false"/>
          <w:color w:val="16202A"/>
          <w:sz w:val="21"/>
          <w:szCs w:val="21"/>
          <w:rtl/>
        </w:rPr>
        <w:t xml:space="preserve">تُجمع سجلات المصادر التالية مركزياً في نظام إدارة المعلومات والأحداث الأمنية، دون استثناء.</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493"/>
        <w:gridCol w:w="2469"/>
        <w:gridCol w:w="3904"/>
        <w:gridCol w:w="1494"/>
      </w:tblGrid>
      <w:tr>
        <w:trPr>
          <w:tblHeader/>
        </w:trPr>
        <w:tc>
          <w:tcPr>
            <w:tcW w:type="dxa" w:w="149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46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c>
          <w:tcPr>
            <w:tcW w:type="dxa" w:w="39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أمثلة على الأحداث المطلوبة</w:t>
            </w:r>
          </w:p>
        </w:tc>
        <w:tc>
          <w:tcPr>
            <w:tcW w:type="dxa" w:w="149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الأولوية</w:t>
            </w:r>
          </w:p>
        </w:tc>
      </w:tr>
      <w:tr>
        <w:trPr>
          <w:tblHeader w:val="false"/>
        </w:trPr>
        <w:tc>
          <w:tcPr>
            <w:tcW w:type="dxa" w:w="149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4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الأنظمة المصنّفة حساسة</w:t>
            </w:r>
          </w:p>
        </w:tc>
        <w:tc>
          <w:tcPr>
            <w:tcW w:type="dxa" w:w="39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الدخول والخروج، تغيير الصلاحيات، الوصول للبيانات، تغيير الإعدادات</w:t>
            </w:r>
          </w:p>
        </w:tc>
        <w:tc>
          <w:tcPr>
            <w:tcW w:type="dxa" w:w="1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4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الحسابات ذات الصلاحيات الهامة</w:t>
            </w:r>
          </w:p>
        </w:tc>
        <w:tc>
          <w:tcPr>
            <w:tcW w:type="dxa" w:w="39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استخدام للحساب، وكل أمر يُنفَّذ به، ومصدر الاتصال</w:t>
            </w:r>
          </w:p>
        </w:tc>
        <w:tc>
          <w:tcPr>
            <w:tcW w:type="dxa" w:w="14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4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إدارة الهويات والدخول</w:t>
            </w:r>
          </w:p>
        </w:tc>
        <w:tc>
          <w:tcPr>
            <w:tcW w:type="dxa" w:w="39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نجاح وفشل المصادقة، المصادقة متعددة العناصر، إعادة تعيين كلمات المرور</w:t>
            </w:r>
          </w:p>
        </w:tc>
        <w:tc>
          <w:tcPr>
            <w:tcW w:type="dxa" w:w="1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4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خوادم الإنتاج وعُقد الحاويات</w:t>
            </w:r>
          </w:p>
        </w:tc>
        <w:tc>
          <w:tcPr>
            <w:tcW w:type="dxa" w:w="39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بدء العمليات، تغيير ملفات النظام، تصعيد الصلاحيات</w:t>
            </w:r>
          </w:p>
        </w:tc>
        <w:tc>
          <w:tcPr>
            <w:tcW w:type="dxa" w:w="14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4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منصة الحاويات</w:t>
            </w:r>
          </w:p>
        </w:tc>
        <w:tc>
          <w:tcPr>
            <w:tcW w:type="dxa" w:w="39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إنشاء الحاويات وحذفها، تغيير الإعدادات، الوصول لواجهة الإدارة</w:t>
            </w:r>
          </w:p>
        </w:tc>
        <w:tc>
          <w:tcPr>
            <w:tcW w:type="dxa" w:w="1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4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البيئة السحابية</w:t>
            </w:r>
          </w:p>
        </w:tc>
        <w:tc>
          <w:tcPr>
            <w:tcW w:type="dxa" w:w="39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عمليات لوحة التحكم، تغيير الصلاحيات، تغيير مجموعات الأمان</w:t>
            </w:r>
          </w:p>
        </w:tc>
        <w:tc>
          <w:tcPr>
            <w:tcW w:type="dxa" w:w="14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4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البيانات</w:t>
            </w:r>
          </w:p>
        </w:tc>
        <w:tc>
          <w:tcPr>
            <w:tcW w:type="dxa" w:w="39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الوصول الإداري، تصدير البيانات، تغيير الهيكل</w:t>
            </w:r>
          </w:p>
        </w:tc>
        <w:tc>
          <w:tcPr>
            <w:tcW w:type="dxa" w:w="1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24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الشبكة وجدران الحماية</w:t>
            </w:r>
          </w:p>
        </w:tc>
        <w:tc>
          <w:tcPr>
            <w:tcW w:type="dxa" w:w="39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السماح والحظر، تغيير القواعد، الاتصالات المرفوضة</w:t>
            </w:r>
          </w:p>
        </w:tc>
        <w:tc>
          <w:tcPr>
            <w:tcW w:type="dxa" w:w="14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24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بوابة الواجهات البرمجية وتطبيقات الويب</w:t>
            </w:r>
          </w:p>
        </w:tc>
        <w:tc>
          <w:tcPr>
            <w:tcW w:type="dxa" w:w="39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الطلبات المرفوضة، أخطاء المصادقة، تنبيهات جدار حماية التطبيقات</w:t>
            </w:r>
          </w:p>
        </w:tc>
        <w:tc>
          <w:tcPr>
            <w:tcW w:type="dxa" w:w="1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4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مستودعات الكود وخطوط النشر</w:t>
            </w:r>
          </w:p>
        </w:tc>
        <w:tc>
          <w:tcPr>
            <w:tcW w:type="dxa" w:w="39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الدمج في الفروع الرئيسية، النشر إلى الإنتاج، تغيير صلاحيات المستودع</w:t>
            </w:r>
          </w:p>
        </w:tc>
        <w:tc>
          <w:tcPr>
            <w:tcW w:type="dxa" w:w="14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c>
          <w:tcPr>
            <w:tcW w:type="dxa" w:w="24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الحماية من البرمجيات الضارة</w:t>
            </w:r>
          </w:p>
        </w:tc>
        <w:tc>
          <w:tcPr>
            <w:tcW w:type="dxa" w:w="39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الاكتشاف والحجر والحذف</w:t>
            </w:r>
          </w:p>
        </w:tc>
        <w:tc>
          <w:tcPr>
            <w:tcW w:type="dxa" w:w="1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c>
          <w:tcPr>
            <w:tcW w:type="dxa" w:w="24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البريد الإلكتروني</w:t>
            </w:r>
          </w:p>
        </w:tc>
        <w:tc>
          <w:tcPr>
            <w:tcW w:type="dxa" w:w="39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التصفية، رسائل التصيّد المحجوبة، الدخول من مواقع غير معتادة</w:t>
            </w:r>
          </w:p>
        </w:tc>
        <w:tc>
          <w:tcPr>
            <w:tcW w:type="dxa" w:w="14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149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١٣</w:t>
            </w:r>
          </w:p>
        </w:tc>
        <w:tc>
          <w:tcPr>
            <w:tcW w:type="dxa" w:w="24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التحكم بالدخول المادي لمراكز البيانات</w:t>
            </w:r>
          </w:p>
        </w:tc>
        <w:tc>
          <w:tcPr>
            <w:tcW w:type="dxa" w:w="39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الدخول والخروج ومحاولات الدخول المرفوضة</w:t>
            </w:r>
          </w:p>
        </w:tc>
        <w:tc>
          <w:tcPr>
            <w:tcW w:type="dxa" w:w="1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الحد الأدنى لمحتوى السجل</w:t>
      </w:r>
    </w:p>
    <w:p>
      <w:pPr>
        <w:bidi/>
        <w:spacing w:after="140" w:before="0" w:line="300"/>
        <w:jc w:val="start"/>
      </w:pPr>
      <w:r>
        <w:rPr>
          <w:rFonts w:ascii="Arial" w:cs="Arial" w:eastAsia="Arial" w:hAnsi="Arial"/>
          <w:b w:val="false"/>
          <w:bCs w:val="false"/>
          <w:color w:val="16202A"/>
          <w:sz w:val="21"/>
          <w:szCs w:val="21"/>
          <w:rtl/>
        </w:rPr>
        <w:t xml:space="preserve">يجب أن يتضمن كل حدث مسجَّل: الطابع الزمني، ومعرّف المستخدم أو الحساب، وعنوان المصدر، والنظام أو الأصل المستهدف، ونوع الحدث، ونتيجته.</w:t>
      </w:r>
    </w:p>
    <w:p>
      <w:pPr>
        <w:bidi/>
        <w:spacing w:after="140" w:before="0" w:line="300"/>
        <w:jc w:val="start"/>
      </w:pPr>
      <w:r>
        <w:rPr>
          <w:rFonts w:ascii="Arial" w:cs="Arial" w:eastAsia="Arial" w:hAnsi="Arial"/>
          <w:b/>
          <w:bCs/>
          <w:color w:val="15325C"/>
          <w:sz w:val="21"/>
          <w:szCs w:val="21"/>
          <w:rtl/>
        </w:rPr>
        <w:t xml:space="preserve">لا يُقبل</w:t>
      </w:r>
      <w:r>
        <w:rPr>
          <w:rFonts w:ascii="Arial" w:cs="Arial" w:eastAsia="Arial" w:hAnsi="Arial"/>
          <w:b w:val="false"/>
          <w:bCs w:val="false"/>
          <w:color w:val="16202A"/>
          <w:sz w:val="21"/>
          <w:szCs w:val="21"/>
          <w:rtl/>
        </w:rPr>
        <w:t xml:space="preserve"> سجل يُنسب إلى حساب مشترك، لأنه لا يتيح نسب الفعل إلى فاعله. وتُعالَج الحسابات المشتركة القائمة ضمن الحزمة WP-03 من خطة المعالجة.</w:t>
      </w:r>
    </w:p>
    <w:p>
      <w:pPr>
        <w:pStyle w:val="Heading2"/>
        <w:bidi/>
        <w:spacing w:after="120" w:before="280" w:line="300"/>
        <w:jc w:val="start"/>
      </w:pPr>
      <w:r>
        <w:rPr>
          <w:rFonts w:ascii="Arial" w:cs="Arial" w:eastAsia="Arial" w:hAnsi="Arial"/>
          <w:b/>
          <w:bCs/>
          <w:color w:val="15325C"/>
          <w:sz w:val="27"/>
          <w:szCs w:val="27"/>
          <w:rtl/>
        </w:rPr>
        <w:t xml:space="preserve">مزامنة الوقت</w:t>
      </w:r>
    </w:p>
    <w:p>
      <w:pPr>
        <w:bidi/>
        <w:spacing w:after="140" w:before="0" w:line="300"/>
        <w:jc w:val="start"/>
      </w:pPr>
      <w:r>
        <w:rPr>
          <w:rFonts w:ascii="Arial" w:cs="Arial" w:eastAsia="Arial" w:hAnsi="Arial"/>
          <w:b w:val="false"/>
          <w:bCs w:val="false"/>
          <w:color w:val="16202A"/>
          <w:sz w:val="21"/>
          <w:szCs w:val="21"/>
          <w:rtl/>
        </w:rPr>
        <w:t xml:space="preserve">تُزامَن جميع الأنظمة مع مصدر زمني موحد معتمد للشركة. واختلاف الطوابع الزمنية بين المصادر يُفقد السجلات قيمتها في إعادة بناء التسلسل الزمني للحادثة، لذا يُعدّ انقطاع المزامنة عن أي أصل حرج حدثاً يستوجب معالجة خلال يوم عمل.</w:t>
      </w:r>
    </w:p>
    <w:p>
      <w:pPr>
        <w:pStyle w:val="Heading2"/>
        <w:bidi/>
        <w:spacing w:after="120" w:before="280" w:line="300"/>
        <w:jc w:val="start"/>
      </w:pPr>
      <w:r>
        <w:rPr>
          <w:rFonts w:ascii="Arial" w:cs="Arial" w:eastAsia="Arial" w:hAnsi="Arial"/>
          <w:b/>
          <w:bCs/>
          <w:color w:val="15325C"/>
          <w:sz w:val="27"/>
          <w:szCs w:val="27"/>
          <w:rtl/>
        </w:rPr>
        <w:t xml:space="preserve">مدة الاحتفاظ</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433"/>
        <w:gridCol w:w="2433"/>
        <w:gridCol w:w="4494"/>
      </w:tblGrid>
      <w:tr>
        <w:trPr>
          <w:tblHeader/>
        </w:trPr>
        <w:tc>
          <w:tcPr>
            <w:tcW w:type="dxa" w:w="24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الطبقة</w:t>
            </w:r>
          </w:p>
        </w:tc>
        <w:tc>
          <w:tcPr>
            <w:tcW w:type="dxa" w:w="24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المدة</w:t>
            </w:r>
          </w:p>
        </w:tc>
        <w:tc>
          <w:tcPr>
            <w:tcW w:type="dxa" w:w="449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r>
      <w:tr>
        <w:trPr>
          <w:tblHeader w:val="false"/>
        </w:trPr>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التخزين النشط</w:t>
            </w:r>
          </w:p>
        </w:tc>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 أشهر</w:t>
            </w:r>
          </w:p>
        </w:tc>
        <w:tc>
          <w:tcPr>
            <w:tcW w:type="dxa" w:w="4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متاح للبحث الفوري والتحليل في نظام إدارة الأحداث</w:t>
            </w:r>
          </w:p>
        </w:tc>
      </w:tr>
      <w:tr>
        <w:trPr>
          <w:tblHeader w:val="false"/>
        </w:trPr>
        <w:tc>
          <w:tcPr>
            <w:tcW w:type="dxa" w:w="24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الأرشيف</w:t>
            </w:r>
          </w:p>
        </w:tc>
        <w:tc>
          <w:tcPr>
            <w:tcW w:type="dxa" w:w="24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 أشهر إضافية</w:t>
            </w:r>
          </w:p>
        </w:tc>
        <w:tc>
          <w:tcPr>
            <w:tcW w:type="dxa" w:w="44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تخزين مضغوط قابل للاسترجاع خلال ٤٨ ساعة</w:t>
            </w:r>
          </w:p>
        </w:tc>
      </w:tr>
      <w:tr>
        <w:trPr>
          <w:tblHeader w:val="false"/>
        </w:trPr>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الإجمالي</w:t>
            </w:r>
          </w:p>
        </w:tc>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١٢ شهراً كحد أدنى</w:t>
            </w:r>
          </w:p>
        </w:tc>
        <w:tc>
          <w:tcPr>
            <w:tcW w:type="dxa" w:w="44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متطلب الضابط ٢-١٢-٣</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تُحفظ سجلات الأحداث المتعلقة بحادثة مفتوحة أو تحقيق جارٍ حتى إغلاق الحادثة رسمياً، ولو تجاوزت المدة أعلاه.</w:t>
      </w:r>
    </w:p>
    <w:p>
      <w:pPr>
        <w:pStyle w:val="Heading2"/>
        <w:bidi/>
        <w:spacing w:after="120" w:before="280" w:line="300"/>
        <w:jc w:val="start"/>
      </w:pPr>
      <w:r>
        <w:rPr>
          <w:rFonts w:ascii="Arial" w:cs="Arial" w:eastAsia="Arial" w:hAnsi="Arial"/>
          <w:b/>
          <w:bCs/>
          <w:color w:val="15325C"/>
          <w:sz w:val="27"/>
          <w:szCs w:val="27"/>
          <w:rtl/>
        </w:rPr>
        <w:t xml:space="preserve">حماية السجلات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تُخزَّن السجلات في وسط غير قابل للتعديل أو الحذف خلال مدة الاحتفاظ.</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يملك مديرو الأنظمة صلاحية حذف أو تعديل سجلات أنظمتهم.</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تُقيَّد صلاحية الوصول لنظام إدارة الأحداث بفريق مركز العمليات الأمنية ووحدة الحوكمة، وتُسجَّل كل عملية وصول إليه.</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تُشفَّر السجلات أثناء النقل وأثناء التخزين.</w:t>
      </w:r>
    </w:p>
    <w:p>
      <w:pPr>
        <w:pStyle w:val="Heading2"/>
        <w:bidi/>
        <w:spacing w:after="120" w:before="280" w:line="300"/>
        <w:jc w:val="start"/>
      </w:pPr>
      <w:r>
        <w:rPr>
          <w:rFonts w:ascii="Arial" w:cs="Arial" w:eastAsia="Arial" w:hAnsi="Arial"/>
          <w:b/>
          <w:bCs/>
          <w:color w:val="15325C"/>
          <w:sz w:val="27"/>
          <w:szCs w:val="27"/>
          <w:rtl/>
        </w:rPr>
        <w:t xml:space="preserve">المراقبة والتحقق</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680"/>
        <w:gridCol w:w="2340"/>
        <w:gridCol w:w="2340"/>
      </w:tblGrid>
      <w:tr>
        <w:trPr>
          <w:tblHeader/>
        </w:trPr>
        <w:tc>
          <w:tcPr>
            <w:tcW w:type="dxa" w:w="46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اكتمال مصادر السجلات ومقارنتها بسجل الأصول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شهري</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46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انقطاع تدفق السجلات من أي مصدر</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آلي ومستمر</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استرجاع عينة من الأرشيف</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46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فعالية قواعد الكشف والتنبيه</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تنبيه إلزامي:</w:t>
      </w:r>
      <w:r>
        <w:rPr>
          <w:rFonts w:ascii="Arial" w:cs="Arial" w:eastAsia="Arial" w:hAnsi="Arial"/>
          <w:b w:val="false"/>
          <w:bCs w:val="false"/>
          <w:color w:val="16202A"/>
          <w:sz w:val="21"/>
          <w:szCs w:val="21"/>
          <w:rtl/>
        </w:rPr>
        <w:t xml:space="preserve"> انقطاع تدفق السجلات من أي مصدر مصنّف إلزامياً لمدة تتجاوز ساعة يُولّد تنبيهاً يُعامَل معاملة حدث أمني.</w:t>
      </w:r>
    </w:p>
    <w:p>
      <w:pPr>
        <w:pStyle w:val="Heading2"/>
        <w:bidi/>
        <w:spacing w:after="120" w:before="280" w:line="300"/>
        <w:jc w:val="start"/>
      </w:pPr>
      <w:r>
        <w:rPr>
          <w:rFonts w:ascii="Arial" w:cs="Arial" w:eastAsia="Arial" w:hAnsi="Arial"/>
          <w:b/>
          <w:bCs/>
          <w:color w:val="15325C"/>
          <w:sz w:val="27"/>
          <w:szCs w:val="27"/>
          <w:rtl/>
        </w:rPr>
        <w:t xml:space="preserve">أدلة الالتزام المطلوبة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714"/>
        <w:gridCol w:w="2646"/>
      </w:tblGrid>
      <w:tr>
        <w:trPr>
          <w:tblHeader/>
        </w:trPr>
        <w:tc>
          <w:tcPr>
            <w:tcW w:type="dxa" w:w="67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c>
          <w:tcPr>
            <w:tcW w:type="dxa" w:w="26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r>
      <w:tr>
        <w:trPr>
          <w:tblHeader w:val="false"/>
        </w:trPr>
        <w:tc>
          <w:tcPr>
            <w:tcW w:type="dxa" w:w="6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هذا المعيار معتمداً من صاحب الصلاحية</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67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من نظام إدارة الأحداث يوضح إعداد مدة الاحتفاظ باثني عشر شهراً</w:t>
            </w:r>
          </w:p>
        </w:tc>
        <w:tc>
          <w:tcPr>
            <w:tcW w:type="dxa" w:w="26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6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عينة سجلات مستخرجة مضى عليها اثنا عشر شهراً</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67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اكتمال مصادر السجلات الشهري</w:t>
            </w:r>
          </w:p>
        </w:tc>
        <w:tc>
          <w:tcPr>
            <w:tcW w:type="dxa" w:w="26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6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جدول ورديات مركز العمليات الأمنية</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إضافة أنظمة جديدة إلى بيئة الإنتاج، وعند تغيّر المتطلبات التشريعية أو التنظيمية.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34"/>
        <w:gridCol w:w="2955"/>
        <w:gridCol w:w="2134"/>
        <w:gridCol w:w="2137"/>
      </w:tblGrid>
      <w:tr>
        <w:trPr>
          <w:tblHeader/>
        </w:trPr>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9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CS-STD-002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2026-10-04T11:47:59.358Z</dcterms:created>
  <dcterms:modified xsi:type="dcterms:W3CDTF">2026-10-04T11:47:59.358Z</dcterms:modified>
</cp:coreProperties>
</file>

<file path=docProps/custom.xml><?xml version="1.0" encoding="utf-8"?>
<Properties xmlns="http://schemas.openxmlformats.org/officeDocument/2006/custom-properties" xmlns:vt="http://schemas.openxmlformats.org/officeDocument/2006/docPropsVTypes"/>
</file>