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سياسة معتمدة</w:t>
            </w:r>
          </w:p>
          <w:p>
            <w:pPr>
              <w:bidi/>
              <w:spacing w:after="120" w:before="0" w:line="420"/>
              <w:jc w:val="start"/>
            </w:pPr>
            <w:r>
              <w:rPr>
                <w:rFonts w:ascii="Arial" w:cs="Arial" w:eastAsia="Arial" w:hAnsi="Arial"/>
                <w:b/>
                <w:bCs/>
                <w:color w:val="FFFFFF"/>
                <w:sz w:val="52"/>
                <w:szCs w:val="52"/>
                <w:rtl/>
              </w:rPr>
              <w:t xml:space="preserve">سياسة إدارة حوادث وتهديدات الأمن السيبراني</w:t>
            </w:r>
          </w:p>
          <w:p>
            <w:pPr>
              <w:bidi/>
              <w:spacing w:after="260" w:before="0" w:line="300"/>
              <w:jc w:val="start"/>
            </w:pPr>
            <w:r>
              <w:rPr>
                <w:rFonts w:ascii="Arial" w:cs="Arial" w:eastAsia="Arial" w:hAnsi="Arial"/>
                <w:b w:val="false"/>
                <w:bCs w:val="false"/>
                <w:color w:val="AFC4D4"/>
                <w:sz w:val="22"/>
                <w:szCs w:val="22"/>
                <w:rtl/>
              </w:rPr>
              <w:t xml:space="preserve">متطلبات الاكتشاف والاستجابة والإبلاغ التنظيمي</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CS-POL-001</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2-13-1</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سياسة إدارة حوادث وتهديدات الأمن السيبراني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ويُعدّ مخرَجاً من حزمة العمل WP-05.</w:t>
      </w:r>
    </w:p>
    <w:p>
      <w:pPr>
        <w:bidi/>
        <w:spacing w:after="140" w:before="0" w:line="300"/>
        <w:jc w:val="start"/>
      </w:pPr>
      <w:r>
        <w:rPr>
          <w:rFonts w:ascii="Arial" w:cs="Arial" w:eastAsia="Arial" w:hAnsi="Arial"/>
          <w:b w:val="false"/>
          <w:bCs w:val="false"/>
          <w:color w:val="16202A"/>
          <w:sz w:val="21"/>
          <w:szCs w:val="21"/>
          <w:rtl/>
        </w:rPr>
        <w:t xml:space="preserve">تحدد هذه السياسة متطلبات إدارة حوادث وتهديدات الأمن السيبراني في شركة نَسَق للحلول الرقمية، بما يضمن اكتشاف الحوادث في الوقت المناسب وإدارتها بفعالية، والتعامل مع التهديدات استباقياً، والوفاء بمتطلبات الإبلاغ التنظيمية.</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تسري هذه السياسة على جميع العاملين والمتعاقدين، وعلى جميع الأصول المعلوماتية والتقنية للشركة، وعلى الأنظمة المستضافة للجهات العميلة، وعلى الخدمات المقدمة من الأطراف الخارجية.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389"/>
        <w:gridCol w:w="3971"/>
      </w:tblGrid>
      <w:tr>
        <w:trPr>
          <w:tblHeader/>
        </w:trPr>
        <w:tc>
          <w:tcPr>
            <w:tcW w:type="dxa" w:w="538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97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3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٢-١٣</w:t>
            </w:r>
          </w:p>
        </w:tc>
        <w:tc>
          <w:tcPr>
            <w:tcW w:type="dxa" w:w="397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تستوفيها هذه السياسة</w:t>
            </w:r>
          </w:p>
        </w:tc>
      </w:tr>
      <w:tr>
        <w:trPr>
          <w:tblHeader w:val="false"/>
        </w:trPr>
        <w:tc>
          <w:tcPr>
            <w:tcW w:type="dxa" w:w="53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٢-١٢-٣</w:t>
            </w:r>
          </w:p>
        </w:tc>
        <w:tc>
          <w:tcPr>
            <w:tcW w:type="dxa" w:w="397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متطلبات سجلات الأحداث المستخدمة في التحقيق</w:t>
            </w:r>
          </w:p>
        </w:tc>
      </w:tr>
      <w:tr>
        <w:trPr>
          <w:tblHeader w:val="false"/>
        </w:trPr>
        <w:tc>
          <w:tcPr>
            <w:tcW w:type="dxa" w:w="53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متطلبات الإبلاغ الصادرة عن الهيئة الوطنية للأمن السيبراني</w:t>
            </w:r>
          </w:p>
        </w:tc>
        <w:tc>
          <w:tcPr>
            <w:tcW w:type="dxa" w:w="397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إلزامية الإبلاغ عن الحوادث</w:t>
            </w:r>
          </w:p>
        </w:tc>
      </w:tr>
      <w:tr>
        <w:trPr>
          <w:tblHeader w:val="false"/>
        </w:trPr>
        <w:tc>
          <w:tcPr>
            <w:tcW w:type="dxa" w:w="53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منهجية إدارة مخاطر الأمن السيبراني CS-STD-001</w:t>
            </w:r>
          </w:p>
        </w:tc>
        <w:tc>
          <w:tcPr>
            <w:tcW w:type="dxa" w:w="397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تقدير أثر الحوادث</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التعريفات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المصطلح</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التعريف</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حدث أمن سيبراني</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أي واقعة مرصودة في نظام أو شبكة قد تشير إلى خرق أمني</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حادثة أمن سيبراني</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حدث أو مجموعة أحداث تُهدد فعلياً سرية الأصول المعلوماتية أو سلامتها أو توافرها</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تهديد سيبراني</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احتمال وقوع فعل ضار يستغل ثغرة قائمة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مؤشرات الاختراق</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دلائل تقنية تشير إلى نشاط ضار محتمل أو مؤكد</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المعلومات الاستباقية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معلومات عن التهديدات والأساليب المستخدمة تُستخدم للكشف والوقاية قبل وقوع الحادثة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متطلبات السياسة</w:t>
      </w:r>
    </w:p>
    <w:p>
      <w:pPr>
        <w:pStyle w:val="Heading3"/>
        <w:bidi/>
        <w:spacing w:after="90" w:before="200" w:line="300"/>
        <w:jc w:val="start"/>
      </w:pPr>
      <w:r>
        <w:rPr>
          <w:rFonts w:ascii="Arial" w:cs="Arial" w:eastAsia="Arial" w:hAnsi="Arial"/>
          <w:b/>
          <w:bCs/>
          <w:color w:val="0C1F3D"/>
          <w:sz w:val="23"/>
          <w:szCs w:val="23"/>
          <w:rtl/>
        </w:rPr>
        <w:t xml:space="preserve">أولاً: الاكتشاف والإبلاغ الداخلي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يعمل مركز العمليات الأمنية على مدار الساعة طوال أيام الأسبوع لرصد الأحداث والتنبيهات.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يلتزم كل عامل ومتعاقد بالإبلاغ الفوري عن أي حدث مشبوه عبر القنوات المعتمدة، ولا يُعدّ عدم التأكد مبرراً للتأخر في الإبلاغ.</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يجوز لأي عامل محاولة معالجة حادثة مشتبه بها بنفسه أو حذف أي أثر قبل إبلاغ مركز العمليات الأمنية.</w:t>
      </w:r>
    </w:p>
    <w:p>
      <w:pPr>
        <w:pStyle w:val="Heading3"/>
        <w:bidi/>
        <w:spacing w:after="90" w:before="200" w:line="300"/>
        <w:jc w:val="start"/>
      </w:pPr>
      <w:r>
        <w:rPr>
          <w:rFonts w:ascii="Arial" w:cs="Arial" w:eastAsia="Arial" w:hAnsi="Arial"/>
          <w:b/>
          <w:bCs/>
          <w:color w:val="0C1F3D"/>
          <w:sz w:val="23"/>
          <w:szCs w:val="23"/>
          <w:rtl/>
        </w:rPr>
        <w:t xml:space="preserve">ثانياً: التصنيف</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تُصنَّف كل حادثة عند تأكيدها وفق مستوى الخطورة والحساسية المحددين في خطة الاستجابة CS-PRO-002.</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يُعاد تصنيف الحادثة كلما ظهرت معلومات جديدة، ويُوثَّق سبب إعادة التصنيف.</w:t>
      </w:r>
    </w:p>
    <w:p>
      <w:pPr>
        <w:pStyle w:val="Heading3"/>
        <w:bidi/>
        <w:spacing w:after="90" w:before="200" w:line="300"/>
        <w:jc w:val="start"/>
      </w:pPr>
      <w:r>
        <w:rPr>
          <w:rFonts w:ascii="Arial" w:cs="Arial" w:eastAsia="Arial" w:hAnsi="Arial"/>
          <w:b/>
          <w:bCs/>
          <w:color w:val="0C1F3D"/>
          <w:sz w:val="23"/>
          <w:szCs w:val="23"/>
          <w:rtl/>
        </w:rPr>
        <w:t xml:space="preserve">ثالثاً: الاستجابة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تُدار كل حادثة وفق خطة الاستجابة المعتمدة، ويُعيَّن لها قائد حادثة مسؤول عن القرار والتوثيق.</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تُوثَّق جميع الإجراءات والقرارات والأدلة الرقمية بما يحفظ سلامتها وقابليتها للاستدلال.</w:t>
      </w:r>
    </w:p>
    <w:p>
      <w:pPr>
        <w:pStyle w:val="Heading3"/>
        <w:bidi/>
        <w:spacing w:after="90" w:before="200" w:line="300"/>
        <w:jc w:val="start"/>
      </w:pPr>
      <w:r>
        <w:rPr>
          <w:rFonts w:ascii="Arial" w:cs="Arial" w:eastAsia="Arial" w:hAnsi="Arial"/>
          <w:b/>
          <w:bCs/>
          <w:color w:val="0C1F3D"/>
          <w:sz w:val="23"/>
          <w:szCs w:val="23"/>
          <w:rtl/>
        </w:rPr>
        <w:t xml:space="preserve">رابعاً: الإبلاغ التنظيمي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تُبلَّغ الهيئة الوطنية للأمن السيبراني عن حوادث الأمن السيبراني وفق الإجراء المعتمد في خطة الاستجابة والمهل المحددة فيها.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تُبلَّغ الجهة العميلة المالكة للنظام خطياً عند وقوع حادثة تمسّ نظاماً مستضافاً لديها.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تُبلَّغ الجهات الرقابية الأخرى ذات العلاقة عند وقوع حادثة تمسّ بيانات شخصية، وفق المتطلبات النظامية المنطبقة.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يجوز لأي جهة داخل الشركة الإفصاح عن حادثة لأي طرف خارجي خارج القنوات المعتمدة في هذه السياسة.</w:t>
      </w:r>
    </w:p>
    <w:p>
      <w:pPr>
        <w:pStyle w:val="Heading3"/>
        <w:bidi/>
        <w:spacing w:after="90" w:before="200" w:line="300"/>
        <w:jc w:val="start"/>
      </w:pPr>
      <w:r>
        <w:rPr>
          <w:rFonts w:ascii="Arial" w:cs="Arial" w:eastAsia="Arial" w:hAnsi="Arial"/>
          <w:b/>
          <w:bCs/>
          <w:color w:val="0C1F3D"/>
          <w:sz w:val="23"/>
          <w:szCs w:val="23"/>
          <w:rtl/>
        </w:rPr>
        <w:t xml:space="preserve">خامساً: التهديدات والمعلومات الاستباقية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تشترك الشركة في مصدر أو أكثر للمعلومات الاستباقية عن التهديدات.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تُغذّى مؤشرات الاختراق الواردة في أنظمة المراقبة والكشف، ويُوثَّق التعامل معها.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تُشارَك مؤشرات الاختراق وتقارير الحوادث ذات العلاقة مع الهيئة الوطنية للأمن السيبراني وفق الإجراء المعتمد.</w:t>
      </w:r>
    </w:p>
    <w:p>
      <w:pPr>
        <w:pStyle w:val="Heading3"/>
        <w:bidi/>
        <w:spacing w:after="90" w:before="200" w:line="300"/>
        <w:jc w:val="start"/>
      </w:pPr>
      <w:r>
        <w:rPr>
          <w:rFonts w:ascii="Arial" w:cs="Arial" w:eastAsia="Arial" w:hAnsi="Arial"/>
          <w:b/>
          <w:bCs/>
          <w:color w:val="0C1F3D"/>
          <w:sz w:val="23"/>
          <w:szCs w:val="23"/>
          <w:rtl/>
        </w:rPr>
        <w:t xml:space="preserve">سادساً: التعافي والدروس المستفادة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تُغلق أي حادثة قبل التحقق من إزالة سبب الجذر والعودة للتشغيل الآمن.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يُعقد اجتماع دروس مستفادة لكل حادثة مصنّفة حرجة أو عالية خلال عشرة أيام عمل من إغلاقها، وتُحوَّل مخرجاته إلى إجراءات بمالكين ومواعيد.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تُقيَّد المخاطر التي تكشفها الحادثة في سجل مخاطر الأمن السيبراني.</w:t>
      </w:r>
    </w:p>
    <w:p>
      <w:pPr>
        <w:pStyle w:val="Heading3"/>
        <w:bidi/>
        <w:spacing w:after="90" w:before="200" w:line="300"/>
        <w:jc w:val="start"/>
      </w:pPr>
      <w:r>
        <w:rPr>
          <w:rFonts w:ascii="Arial" w:cs="Arial" w:eastAsia="Arial" w:hAnsi="Arial"/>
          <w:b/>
          <w:bCs/>
          <w:color w:val="0C1F3D"/>
          <w:sz w:val="23"/>
          <w:szCs w:val="23"/>
          <w:rtl/>
        </w:rPr>
        <w:t xml:space="preserve">سابعاً: الاختبار</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يُنفَّذ تمرين محاكاة لحادثة سيبرانية مرتين سنوياً على الأقل، أحدهما يغطي سيناريو يمسّ نظاماً مستضافاً لجهة عميلة.</w:t>
      </w:r>
    </w:p>
    <w:p>
      <w:pPr>
        <w:pStyle w:val="Heading2"/>
        <w:bidi/>
        <w:spacing w:after="120" w:before="280" w:line="300"/>
        <w:jc w:val="start"/>
      </w:pPr>
      <w:r>
        <w:rPr>
          <w:rFonts w:ascii="Arial" w:cs="Arial" w:eastAsia="Arial" w:hAnsi="Arial"/>
          <w:b/>
          <w:bCs/>
          <w:color w:val="15325C"/>
          <w:sz w:val="27"/>
          <w:szCs w:val="27"/>
          <w:rtl/>
        </w:rPr>
        <w:t xml:space="preserve">الالتزام بالسياسة</w:t>
      </w:r>
    </w:p>
    <w:p>
      <w:pPr>
        <w:bidi/>
        <w:spacing w:after="140" w:before="0" w:line="300"/>
        <w:jc w:val="start"/>
      </w:pPr>
      <w:r>
        <w:rPr>
          <w:rFonts w:ascii="Arial" w:cs="Arial" w:eastAsia="Arial" w:hAnsi="Arial"/>
          <w:b w:val="false"/>
          <w:bCs w:val="false"/>
          <w:color w:val="16202A"/>
          <w:sz w:val="21"/>
          <w:szCs w:val="21"/>
          <w:rtl/>
        </w:rPr>
        <w:t xml:space="preserve">يُعدّ الإخلال بهذه السياسة مخالفة تستوجب اتخاذ الإجراءات النظامية وفق لائحة الموارد البشرية والعقود ذات العلاقة.</w:t>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السياسة سنوياً على الأقل، وعند تغيّر المتطلبات التشريعية أو التنظيمية، أو عقب وقوع حادثة ذات أثر جوهري.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34"/>
        <w:gridCol w:w="2955"/>
        <w:gridCol w:w="2134"/>
        <w:gridCol w:w="2137"/>
      </w:tblGrid>
      <w:tr>
        <w:trPr>
          <w:tblHeader/>
        </w:trPr>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9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CS-POL-001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2026-10-04T11:47:59.217Z</dcterms:created>
  <dcterms:modified xsi:type="dcterms:W3CDTF">2026-10-04T11:47:59.217Z</dcterms:modified>
</cp:coreProperties>
</file>

<file path=docProps/custom.xml><?xml version="1.0" encoding="utf-8"?>
<Properties xmlns="http://schemas.openxmlformats.org/officeDocument/2006/custom-properties" xmlns:vt="http://schemas.openxmlformats.org/officeDocument/2006/docPropsVTypes"/>
</file>