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خطة معتمدة</w:t>
            </w:r>
          </w:p>
          <w:p>
            <w:pPr>
              <w:bidi/>
              <w:spacing w:after="120" w:before="0" w:line="420"/>
              <w:jc w:val="start"/>
            </w:pPr>
            <w:r>
              <w:rPr>
                <w:rFonts w:ascii="Arial" w:cs="Arial" w:eastAsia="Arial" w:hAnsi="Arial"/>
                <w:b/>
                <w:bCs/>
                <w:color w:val="FFFFFF"/>
                <w:sz w:val="52"/>
                <w:szCs w:val="52"/>
                <w:rtl/>
              </w:rPr>
              <w:t xml:space="preserve">خطة الاستجابة لحوادث الأمن السيبراني</w:t>
            </w:r>
          </w:p>
          <w:p>
            <w:pPr>
              <w:bidi/>
              <w:spacing w:after="260" w:before="0" w:line="300"/>
              <w:jc w:val="start"/>
            </w:pPr>
            <w:r>
              <w:rPr>
                <w:rFonts w:ascii="Arial" w:cs="Arial" w:eastAsia="Arial" w:hAnsi="Arial"/>
                <w:b w:val="false"/>
                <w:bCs w:val="false"/>
                <w:color w:val="AFC4D4"/>
                <w:sz w:val="22"/>
                <w:szCs w:val="22"/>
                <w:rtl/>
              </w:rPr>
              <w:t xml:space="preserve">التصنيف · المراحل الست · الإبلاغ التنظيمي · المعلومات الاستباقية</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CS-PRO-002</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رئيس الأمن السيبراني</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الرئيس التنفيذي — صاحب الصلاحية</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2-13-3</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خطة الاستجابة لحوادث الأمن السيبراني</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ويُعدّ مخرَجاً من حزمة العمل WP-05.</w:t>
      </w:r>
    </w:p>
    <w:p>
      <w:pPr>
        <w:bidi/>
        <w:spacing w:after="140" w:before="0" w:line="300"/>
        <w:jc w:val="start"/>
      </w:pPr>
      <w:r>
        <w:rPr>
          <w:rFonts w:ascii="Arial" w:cs="Arial" w:eastAsia="Arial" w:hAnsi="Arial"/>
          <w:b w:val="false"/>
          <w:bCs w:val="false"/>
          <w:color w:val="16202A"/>
          <w:sz w:val="21"/>
          <w:szCs w:val="21"/>
          <w:rtl/>
        </w:rPr>
        <w:t xml:space="preserve">تحدد هذه الخطة الخطوات التنفيذية للتعامل مع حوادث الأمن السيبراني في شركة نَسَق للحلول الرقمية، من الاكتشاف حتى الإغلاق، وتفصّل تصنيف الحوادث ومسارات التصعيد وإجراءات الإبلاغ التنظيمي والتعامل مع المعلومات الاستباقية.</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5768"/>
        <w:gridCol w:w="3592"/>
      </w:tblGrid>
      <w:tr>
        <w:trPr>
          <w:tblHeader/>
        </w:trPr>
        <w:tc>
          <w:tcPr>
            <w:tcW w:type="dxa" w:w="576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359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576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سياسة إدارة حوادث وتهديدات الأمن السيبراني CS-POL-001</w:t>
            </w:r>
          </w:p>
        </w:tc>
        <w:tc>
          <w:tcPr>
            <w:tcW w:type="dxa" w:w="35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السياسة الحاكمة لهذه الخطة</w:t>
            </w:r>
          </w:p>
        </w:tc>
      </w:tr>
      <w:tr>
        <w:trPr>
          <w:tblHeader w:val="false"/>
        </w:trPr>
        <w:tc>
          <w:tcPr>
            <w:tcW w:type="dxa" w:w="576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ECC-2:2024 — الضابط ٢-١٣-٣</w:t>
            </w:r>
          </w:p>
        </w:tc>
        <w:tc>
          <w:tcPr>
            <w:tcW w:type="dxa" w:w="359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الضابط الذي تستوفيه هذه الخطة</w:t>
            </w:r>
          </w:p>
        </w:tc>
      </w:tr>
      <w:tr>
        <w:trPr>
          <w:tblHeader w:val="false"/>
        </w:trPr>
        <w:tc>
          <w:tcPr>
            <w:tcW w:type="dxa" w:w="576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معيار إدارة سجلات الأحداث CS-STD-002</w:t>
            </w:r>
          </w:p>
        </w:tc>
        <w:tc>
          <w:tcPr>
            <w:tcW w:type="dxa" w:w="359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مصادر الأدلة المستخدمة في التحليل</w:t>
            </w:r>
          </w:p>
        </w:tc>
      </w:tr>
      <w:tr>
        <w:trPr>
          <w:tblHeader w:val="false"/>
        </w:trPr>
        <w:tc>
          <w:tcPr>
            <w:tcW w:type="dxa" w:w="576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منهجية إدارة مخاطر الأمن السيبراني CS-STD-001</w:t>
            </w:r>
          </w:p>
        </w:tc>
        <w:tc>
          <w:tcPr>
            <w:tcW w:type="dxa" w:w="359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تقدير الأثر عند التصنيف</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فريق الاستجابة للحوادث</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458"/>
        <w:gridCol w:w="3025"/>
        <w:gridCol w:w="3877"/>
      </w:tblGrid>
      <w:tr>
        <w:trPr>
          <w:tblHeader/>
        </w:trPr>
        <w:tc>
          <w:tcPr>
            <w:tcW w:type="dxa" w:w="2458"/>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302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الجهة</w:t>
            </w:r>
          </w:p>
        </w:tc>
        <w:tc>
          <w:tcPr>
            <w:tcW w:type="dxa" w:w="387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المسؤولية</w:t>
            </w:r>
          </w:p>
        </w:tc>
      </w:tr>
      <w:tr>
        <w:trPr>
          <w:tblHeader w:val="false"/>
        </w:trPr>
        <w:tc>
          <w:tcPr>
            <w:tcW w:type="dxa" w:w="245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قائد الحادثة</w:t>
            </w:r>
          </w:p>
        </w:tc>
        <w:tc>
          <w:tcPr>
            <w:tcW w:type="dxa" w:w="302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 أو من ينيبه</w:t>
            </w:r>
          </w:p>
        </w:tc>
        <w:tc>
          <w:tcPr>
            <w:tcW w:type="dxa" w:w="387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القرار والتصعيد والتوثيق وإغلاق الحادثة</w:t>
            </w:r>
          </w:p>
        </w:tc>
      </w:tr>
      <w:tr>
        <w:trPr>
          <w:tblHeader w:val="false"/>
        </w:trPr>
        <w:tc>
          <w:tcPr>
            <w:tcW w:type="dxa" w:w="245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محلل الاستجابة</w:t>
            </w:r>
          </w:p>
        </w:tc>
        <w:tc>
          <w:tcPr>
            <w:tcW w:type="dxa" w:w="302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مركز العمليات الأمنية</w:t>
            </w:r>
          </w:p>
        </w:tc>
        <w:tc>
          <w:tcPr>
            <w:tcW w:type="dxa" w:w="387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التحليل الفني وجمع الأدلة وتنفيذ الاحتواء</w:t>
            </w:r>
          </w:p>
        </w:tc>
      </w:tr>
      <w:tr>
        <w:trPr>
          <w:tblHeader w:val="false"/>
        </w:trPr>
        <w:tc>
          <w:tcPr>
            <w:tcW w:type="dxa" w:w="245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ممثل الهندسة</w:t>
            </w:r>
          </w:p>
        </w:tc>
        <w:tc>
          <w:tcPr>
            <w:tcW w:type="dxa" w:w="302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الهندسة والتطوير</w:t>
            </w:r>
          </w:p>
        </w:tc>
        <w:tc>
          <w:tcPr>
            <w:tcW w:type="dxa" w:w="387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التعامل مع الكود والتطبيقات وخطوط النشر</w:t>
            </w:r>
          </w:p>
        </w:tc>
      </w:tr>
      <w:tr>
        <w:trPr>
          <w:tblHeader w:val="false"/>
        </w:trPr>
        <w:tc>
          <w:tcPr>
            <w:tcW w:type="dxa" w:w="245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ممثل البنية التحتية</w:t>
            </w:r>
          </w:p>
        </w:tc>
        <w:tc>
          <w:tcPr>
            <w:tcW w:type="dxa" w:w="302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العمليات السحابية</w:t>
            </w:r>
          </w:p>
        </w:tc>
        <w:tc>
          <w:tcPr>
            <w:tcW w:type="dxa" w:w="387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العزل الشبكي والخوادم والنسخ الاحتياطية</w:t>
            </w:r>
          </w:p>
        </w:tc>
      </w:tr>
      <w:tr>
        <w:trPr>
          <w:tblHeader w:val="false"/>
        </w:trPr>
        <w:tc>
          <w:tcPr>
            <w:tcW w:type="dxa" w:w="245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ممثل قانوني</w:t>
            </w:r>
          </w:p>
        </w:tc>
        <w:tc>
          <w:tcPr>
            <w:tcW w:type="dxa" w:w="302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الشؤون القانونية</w:t>
            </w:r>
          </w:p>
        </w:tc>
        <w:tc>
          <w:tcPr>
            <w:tcW w:type="dxa" w:w="387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الالتزامات التعاقدية والتنظيمية</w:t>
            </w:r>
          </w:p>
        </w:tc>
      </w:tr>
      <w:tr>
        <w:trPr>
          <w:tblHeader w:val="false"/>
        </w:trPr>
        <w:tc>
          <w:tcPr>
            <w:tcW w:type="dxa" w:w="2458"/>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ممثل الاتصال</w:t>
            </w:r>
          </w:p>
        </w:tc>
        <w:tc>
          <w:tcPr>
            <w:tcW w:type="dxa" w:w="302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الاتصال المؤسسي</w:t>
            </w:r>
          </w:p>
        </w:tc>
        <w:tc>
          <w:tcPr>
            <w:tcW w:type="dxa" w:w="387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التواصل الداخلي والخارجي المعتمد</w:t>
            </w:r>
          </w:p>
        </w:tc>
      </w:tr>
      <w:tr>
        <w:trPr>
          <w:tblHeader w:val="false"/>
        </w:trPr>
        <w:tc>
          <w:tcPr>
            <w:tcW w:type="dxa" w:w="2458"/>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ممثل الجهة العميلة</w:t>
            </w:r>
          </w:p>
        </w:tc>
        <w:tc>
          <w:tcPr>
            <w:tcW w:type="dxa" w:w="302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تُحدَّد عند الحاجة</w:t>
            </w:r>
          </w:p>
        </w:tc>
        <w:tc>
          <w:tcPr>
            <w:tcW w:type="dxa" w:w="387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التنسيق عند مساس الحادثة بنظام مستضاف</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قاعدة ملزِمة:</w:t>
      </w:r>
      <w:r>
        <w:rPr>
          <w:rFonts w:ascii="Arial" w:cs="Arial" w:eastAsia="Arial" w:hAnsi="Arial"/>
          <w:b w:val="false"/>
          <w:bCs w:val="false"/>
          <w:color w:val="16202A"/>
          <w:sz w:val="21"/>
          <w:szCs w:val="21"/>
          <w:rtl/>
        </w:rPr>
        <w:t xml:space="preserve"> قائد الحادثة هو صاحب القرار التشغيلي طوال مدة الحادثة، ولا يجوز لأي إدارة اتخاذ إجراء على الأصول المتأثرة دون موافقته.</w:t>
      </w:r>
    </w:p>
    <w:p>
      <w:pPr>
        <w:pStyle w:val="Heading2"/>
        <w:bidi/>
        <w:spacing w:after="120" w:before="280" w:line="300"/>
        <w:jc w:val="start"/>
      </w:pPr>
      <w:r>
        <w:rPr>
          <w:rFonts w:ascii="Arial" w:cs="Arial" w:eastAsia="Arial" w:hAnsi="Arial"/>
          <w:b/>
          <w:bCs/>
          <w:color w:val="15325C"/>
          <w:sz w:val="27"/>
          <w:szCs w:val="27"/>
          <w:rtl/>
        </w:rPr>
        <w:t xml:space="preserve">تصنيف الحوادث</w:t>
      </w:r>
    </w:p>
    <w:p>
      <w:pPr>
        <w:bidi/>
        <w:spacing w:after="140" w:before="0" w:line="300"/>
        <w:jc w:val="start"/>
      </w:pPr>
      <w:r>
        <w:rPr>
          <w:rFonts w:ascii="Arial" w:cs="Arial" w:eastAsia="Arial" w:hAnsi="Arial"/>
          <w:b w:val="false"/>
          <w:bCs w:val="false"/>
          <w:color w:val="16202A"/>
          <w:sz w:val="21"/>
          <w:szCs w:val="21"/>
          <w:rtl/>
        </w:rPr>
        <w:t xml:space="preserve">يُحدَّد المستوى بأعلى معيار ينطبق، لا بمجموع المعايير.</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062"/>
        <w:gridCol w:w="2779"/>
        <w:gridCol w:w="1921"/>
        <w:gridCol w:w="1062"/>
        <w:gridCol w:w="2536"/>
      </w:tblGrid>
      <w:tr>
        <w:trPr>
          <w:tblHeader/>
        </w:trPr>
        <w:tc>
          <w:tcPr>
            <w:tcW w:type="dxa" w:w="106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المستوى</w:t>
            </w:r>
          </w:p>
        </w:tc>
        <w:tc>
          <w:tcPr>
            <w:tcW w:type="dxa" w:w="277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الوصف</w:t>
            </w:r>
          </w:p>
        </w:tc>
        <w:tc>
          <w:tcPr>
            <w:tcW w:type="dxa" w:w="192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أمثلة</w:t>
            </w:r>
          </w:p>
        </w:tc>
        <w:tc>
          <w:tcPr>
            <w:tcW w:type="dxa" w:w="106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الاستجابة الأولية</w:t>
            </w:r>
          </w:p>
        </w:tc>
        <w:tc>
          <w:tcPr>
            <w:tcW w:type="dxa" w:w="253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التصعيد</w:t>
            </w:r>
          </w:p>
        </w:tc>
      </w:tr>
      <w:tr>
        <w:trPr>
          <w:tblHeader w:val="false"/>
        </w:trPr>
        <w:tc>
          <w:tcPr>
            <w:tcW w:type="dxa" w:w="10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حرج</w:t>
            </w:r>
          </w:p>
        </w:tc>
        <w:tc>
          <w:tcPr>
            <w:tcW w:type="dxa" w:w="277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اختراق مؤكد يمسّ نظاماً مستضافاً لجهة عميلة، أو تسرب بيانات شخصية، أو برنامج فدية</w:t>
            </w:r>
          </w:p>
        </w:tc>
        <w:tc>
          <w:tcPr>
            <w:tcW w:type="dxa" w:w="192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تشفير خوادم إنتاج · تسريب قاعدة بيانات مستفيدين</w:t>
            </w:r>
          </w:p>
        </w:tc>
        <w:tc>
          <w:tcPr>
            <w:tcW w:type="dxa" w:w="10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فوراً · على مدار الساعة</w:t>
            </w:r>
          </w:p>
        </w:tc>
        <w:tc>
          <w:tcPr>
            <w:tcW w:type="dxa" w:w="253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 خلال ساعة · الجهة العميلة خلال ٤ ساعات</w:t>
            </w:r>
          </w:p>
        </w:tc>
      </w:tr>
      <w:tr>
        <w:trPr>
          <w:tblHeader w:val="false"/>
        </w:trPr>
        <w:tc>
          <w:tcPr>
            <w:tcW w:type="dxa" w:w="106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عالٍ</w:t>
            </w:r>
          </w:p>
        </w:tc>
        <w:tc>
          <w:tcPr>
            <w:tcW w:type="dxa" w:w="277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اختراق نظام داخلي، أو استحواذ على حساب بصلاحيات إدارية، أو انتشار برمجية ضارة</w:t>
            </w:r>
          </w:p>
        </w:tc>
        <w:tc>
          <w:tcPr>
            <w:tcW w:type="dxa" w:w="192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استخدام حساب إداري من موقع غير معتاد</w:t>
            </w:r>
          </w:p>
        </w:tc>
        <w:tc>
          <w:tcPr>
            <w:tcW w:type="dxa" w:w="106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خلال ٣٠ دقيقة</w:t>
            </w:r>
          </w:p>
        </w:tc>
        <w:tc>
          <w:tcPr>
            <w:tcW w:type="dxa" w:w="253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 خلال ساعة · اللجنة الإشرافية خلال يوم عمل</w:t>
            </w:r>
          </w:p>
        </w:tc>
      </w:tr>
      <w:tr>
        <w:trPr>
          <w:tblHeader w:val="false"/>
        </w:trPr>
        <w:tc>
          <w:tcPr>
            <w:tcW w:type="dxa" w:w="10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متوسط</w:t>
            </w:r>
          </w:p>
        </w:tc>
        <w:tc>
          <w:tcPr>
            <w:tcW w:type="dxa" w:w="277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محاولة اختراق محتواة، أو برمجية ضارة على جهاز واحد، أو تسرب بيانات داخلية محدود</w:t>
            </w:r>
          </w:p>
        </w:tc>
        <w:tc>
          <w:tcPr>
            <w:tcW w:type="dxa" w:w="192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إصابة جهاز مستخدم محتواة بالحماية</w:t>
            </w:r>
          </w:p>
        </w:tc>
        <w:tc>
          <w:tcPr>
            <w:tcW w:type="dxa" w:w="10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خلال ٤ ساعات</w:t>
            </w:r>
          </w:p>
        </w:tc>
        <w:tc>
          <w:tcPr>
            <w:tcW w:type="dxa" w:w="253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 في التقرير اليومي</w:t>
            </w:r>
          </w:p>
        </w:tc>
      </w:tr>
      <w:tr>
        <w:trPr>
          <w:tblHeader w:val="false"/>
        </w:trPr>
        <w:tc>
          <w:tcPr>
            <w:tcW w:type="dxa" w:w="106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منخفض</w:t>
            </w:r>
          </w:p>
        </w:tc>
        <w:tc>
          <w:tcPr>
            <w:tcW w:type="dxa" w:w="277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حدث مشبوه دون أثر مؤكد</w:t>
            </w:r>
          </w:p>
        </w:tc>
        <w:tc>
          <w:tcPr>
            <w:tcW w:type="dxa" w:w="192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محاولات دخول فاشلة متكررة</w:t>
            </w:r>
          </w:p>
        </w:tc>
        <w:tc>
          <w:tcPr>
            <w:tcW w:type="dxa" w:w="106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خلال يوم عمل</w:t>
            </w:r>
          </w:p>
        </w:tc>
        <w:tc>
          <w:tcPr>
            <w:tcW w:type="dxa" w:w="253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يُوثَّق في التقرير الأسبوعي</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val="false"/>
          <w:bCs w:val="false"/>
          <w:color w:val="16202A"/>
          <w:sz w:val="21"/>
          <w:szCs w:val="21"/>
          <w:rtl/>
        </w:rPr>
        <w:t xml:space="preserve">يُعاد التصنيف عند ظهور معلومات جديدة، ويُوثَّق سبب التغيير وتوقيته في تقرير الحادثة.</w:t>
      </w:r>
    </w:p>
    <w:p>
      <w:pPr>
        <w:pStyle w:val="Heading2"/>
        <w:bidi/>
        <w:spacing w:after="120" w:before="280" w:line="300"/>
        <w:jc w:val="start"/>
      </w:pPr>
      <w:r>
        <w:rPr>
          <w:rFonts w:ascii="Arial" w:cs="Arial" w:eastAsia="Arial" w:hAnsi="Arial"/>
          <w:b/>
          <w:bCs/>
          <w:color w:val="15325C"/>
          <w:sz w:val="27"/>
          <w:szCs w:val="27"/>
          <w:rtl/>
        </w:rPr>
        <w:t xml:space="preserve">مراحل الاستجابة</w:t>
      </w:r>
    </w:p>
    <w:p>
      <w:pPr>
        <w:pStyle w:val="Heading3"/>
        <w:bidi/>
        <w:spacing w:after="90" w:before="200" w:line="300"/>
        <w:jc w:val="start"/>
      </w:pPr>
      <w:r>
        <w:rPr>
          <w:rFonts w:ascii="Arial" w:cs="Arial" w:eastAsia="Arial" w:hAnsi="Arial"/>
          <w:b/>
          <w:bCs/>
          <w:color w:val="0C1F3D"/>
          <w:sz w:val="23"/>
          <w:szCs w:val="23"/>
          <w:rtl/>
        </w:rPr>
        <w:t xml:space="preserve">المرحلة الأولى: التحضير</w:t>
      </w:r>
    </w:p>
    <w:p>
      <w:pPr>
        <w:bidi/>
        <w:spacing w:after="140" w:before="0" w:line="300"/>
        <w:jc w:val="start"/>
      </w:pPr>
      <w:r>
        <w:rPr>
          <w:rFonts w:ascii="Arial" w:cs="Arial" w:eastAsia="Arial" w:hAnsi="Arial"/>
          <w:b w:val="false"/>
          <w:bCs w:val="false"/>
          <w:color w:val="16202A"/>
          <w:sz w:val="21"/>
          <w:szCs w:val="21"/>
          <w:rtl/>
        </w:rPr>
        <w:t xml:space="preserve">جاهزية دائمة تسبق وقوع الحادثة: قوائم اتصال محدَّثة، وصلاحيات طوارئ مُعدّة مسبقاً، وأدوات تحليل جاهزة، ونسخ احتياطية معزولة ومختبَرة، وتمارين محاكاة نصف سنوية.</w:t>
      </w:r>
    </w:p>
    <w:p>
      <w:pPr>
        <w:pStyle w:val="Heading3"/>
        <w:bidi/>
        <w:spacing w:after="90" w:before="200" w:line="300"/>
        <w:jc w:val="start"/>
      </w:pPr>
      <w:r>
        <w:rPr>
          <w:rFonts w:ascii="Arial" w:cs="Arial" w:eastAsia="Arial" w:hAnsi="Arial"/>
          <w:b/>
          <w:bCs/>
          <w:color w:val="0C1F3D"/>
          <w:sz w:val="23"/>
          <w:szCs w:val="23"/>
          <w:rtl/>
        </w:rPr>
        <w:t xml:space="preserve">المرحلة الثانية: الاكتشاف والتحليل</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797"/>
        <w:gridCol w:w="6563"/>
      </w:tblGrid>
      <w:tr>
        <w:trPr>
          <w:tblHeader/>
        </w:trPr>
        <w:tc>
          <w:tcPr>
            <w:tcW w:type="dxa" w:w="279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الخطوة</w:t>
            </w:r>
          </w:p>
        </w:tc>
        <w:tc>
          <w:tcPr>
            <w:tcW w:type="dxa" w:w="656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الوصف</w:t>
            </w:r>
          </w:p>
        </w:tc>
      </w:tr>
      <w:tr>
        <w:trPr>
          <w:tblHeader w:val="false"/>
        </w:trPr>
        <w:tc>
          <w:tcPr>
            <w:tcW w:type="dxa" w:w="27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استقبال البلاغ</w:t>
            </w:r>
          </w:p>
        </w:tc>
        <w:tc>
          <w:tcPr>
            <w:tcW w:type="dxa" w:w="65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من أنظمة المراقبة أو من عامل أو من طرف خارجي أو من الهيئة</w:t>
            </w:r>
          </w:p>
        </w:tc>
      </w:tr>
      <w:tr>
        <w:trPr>
          <w:tblHeader w:val="false"/>
        </w:trPr>
        <w:tc>
          <w:tcPr>
            <w:tcW w:type="dxa" w:w="27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الأولي</w:t>
            </w:r>
          </w:p>
        </w:tc>
        <w:tc>
          <w:tcPr>
            <w:tcW w:type="dxa" w:w="656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تمييز الحدث عن الحادثة خلال ٣٠ دقيقة للتنبيهات عالية الأولوية</w:t>
            </w:r>
          </w:p>
        </w:tc>
      </w:tr>
      <w:tr>
        <w:trPr>
          <w:tblHeader w:val="false"/>
        </w:trPr>
        <w:tc>
          <w:tcPr>
            <w:tcW w:type="dxa" w:w="27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فتح سجل الحادثة</w:t>
            </w:r>
          </w:p>
        </w:tc>
        <w:tc>
          <w:tcPr>
            <w:tcW w:type="dxa" w:w="65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رقم مرجعي وتوقيت وقائد حادثة معيَّن</w:t>
            </w:r>
          </w:p>
        </w:tc>
      </w:tr>
      <w:tr>
        <w:trPr>
          <w:tblHeader w:val="false"/>
        </w:trPr>
        <w:tc>
          <w:tcPr>
            <w:tcW w:type="dxa" w:w="27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جمع الأدلة</w:t>
            </w:r>
          </w:p>
        </w:tc>
        <w:tc>
          <w:tcPr>
            <w:tcW w:type="dxa" w:w="656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سجلات الأحداث وصور الذاكرة والأقراص، مع حفظ سلسلة الحيازة</w:t>
            </w:r>
          </w:p>
        </w:tc>
      </w:tr>
      <w:tr>
        <w:trPr>
          <w:tblHeader w:val="false"/>
        </w:trPr>
        <w:tc>
          <w:tcPr>
            <w:tcW w:type="dxa" w:w="279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تحديد النطاق</w:t>
            </w:r>
          </w:p>
        </w:tc>
        <w:tc>
          <w:tcPr>
            <w:tcW w:type="dxa" w:w="656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الأصول والحسابات والبيانات المتأثرة</w:t>
            </w:r>
          </w:p>
        </w:tc>
      </w:tr>
      <w:tr>
        <w:trPr>
          <w:tblHeader w:val="false"/>
        </w:trPr>
        <w:tc>
          <w:tcPr>
            <w:tcW w:type="dxa" w:w="279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التصنيف</w:t>
            </w:r>
          </w:p>
        </w:tc>
        <w:tc>
          <w:tcPr>
            <w:tcW w:type="dxa" w:w="656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وفق جدول التصنيف أعلاه</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3"/>
        <w:bidi/>
        <w:spacing w:after="90" w:before="200" w:line="300"/>
        <w:jc w:val="start"/>
      </w:pPr>
      <w:r>
        <w:rPr>
          <w:rFonts w:ascii="Arial" w:cs="Arial" w:eastAsia="Arial" w:hAnsi="Arial"/>
          <w:b/>
          <w:bCs/>
          <w:color w:val="0C1F3D"/>
          <w:sz w:val="23"/>
          <w:szCs w:val="23"/>
          <w:rtl/>
        </w:rPr>
        <w:t xml:space="preserve">المرحلة الثالثة: الاحتواء</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62"/>
        <w:gridCol w:w="3544"/>
        <w:gridCol w:w="3454"/>
      </w:tblGrid>
      <w:tr>
        <w:trPr>
          <w:tblHeader/>
        </w:trPr>
        <w:tc>
          <w:tcPr>
            <w:tcW w:type="dxa" w:w="236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النوع</w:t>
            </w:r>
          </w:p>
        </w:tc>
        <w:tc>
          <w:tcPr>
            <w:tcW w:type="dxa" w:w="354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الوصف</w:t>
            </w:r>
          </w:p>
        </w:tc>
        <w:tc>
          <w:tcPr>
            <w:tcW w:type="dxa" w:w="345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مثال</w:t>
            </w:r>
          </w:p>
        </w:tc>
      </w:tr>
      <w:tr>
        <w:trPr>
          <w:tblHeader w:val="false"/>
        </w:trPr>
        <w:tc>
          <w:tcPr>
            <w:tcW w:type="dxa" w:w="23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احتواء فوري</w:t>
            </w:r>
          </w:p>
        </w:tc>
        <w:tc>
          <w:tcPr>
            <w:tcW w:type="dxa" w:w="354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إيقاف انتشار الضرر ولو على حساب التوافر</w:t>
            </w:r>
          </w:p>
        </w:tc>
        <w:tc>
          <w:tcPr>
            <w:tcW w:type="dxa" w:w="345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عزل خادم مصاب عن الشبكة</w:t>
            </w:r>
          </w:p>
        </w:tc>
      </w:tr>
      <w:tr>
        <w:trPr>
          <w:tblHeader w:val="false"/>
        </w:trPr>
        <w:tc>
          <w:tcPr>
            <w:tcW w:type="dxa" w:w="236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احتواء مؤقت</w:t>
            </w:r>
          </w:p>
        </w:tc>
        <w:tc>
          <w:tcPr>
            <w:tcW w:type="dxa" w:w="354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إجراءات تحدّ من الأثر مع استمرار الخدمة</w:t>
            </w:r>
          </w:p>
        </w:tc>
        <w:tc>
          <w:tcPr>
            <w:tcW w:type="dxa" w:w="345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تعطيل حساب مخترق وتدوير بيانات اعتماده</w:t>
            </w:r>
          </w:p>
        </w:tc>
      </w:tr>
      <w:tr>
        <w:trPr>
          <w:tblHeader w:val="false"/>
        </w:trPr>
        <w:tc>
          <w:tcPr>
            <w:tcW w:type="dxa" w:w="236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احتواء طويل المدى</w:t>
            </w:r>
          </w:p>
        </w:tc>
        <w:tc>
          <w:tcPr>
            <w:tcW w:type="dxa" w:w="354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حل مستقر قبل الاستئصال</w:t>
            </w:r>
          </w:p>
        </w:tc>
        <w:tc>
          <w:tcPr>
            <w:tcW w:type="dxa" w:w="345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تحويل الخدمة لموقع التعافي</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قاعدة الأدلة:</w:t>
      </w:r>
      <w:r>
        <w:rPr>
          <w:rFonts w:ascii="Arial" w:cs="Arial" w:eastAsia="Arial" w:hAnsi="Arial"/>
          <w:b w:val="false"/>
          <w:bCs w:val="false"/>
          <w:color w:val="16202A"/>
          <w:sz w:val="21"/>
          <w:szCs w:val="21"/>
          <w:rtl/>
        </w:rPr>
        <w:t xml:space="preserve"> لا يُعاد تشغيل نظام متأثر أو يُمسح قبل جمع الأدلة اللازمة، ما لم يقرر قائد الحادثة أن استمرار الضرر يفوق قيمة الدليل، ويُوثَّق القرار ومبرره.</w:t>
      </w:r>
    </w:p>
    <w:p>
      <w:pPr>
        <w:pStyle w:val="Heading3"/>
        <w:bidi/>
        <w:spacing w:after="90" w:before="200" w:line="300"/>
        <w:jc w:val="start"/>
      </w:pPr>
      <w:r>
        <w:rPr>
          <w:rFonts w:ascii="Arial" w:cs="Arial" w:eastAsia="Arial" w:hAnsi="Arial"/>
          <w:b/>
          <w:bCs/>
          <w:color w:val="0C1F3D"/>
          <w:sz w:val="23"/>
          <w:szCs w:val="23"/>
          <w:rtl/>
        </w:rPr>
        <w:t xml:space="preserve">المرحلة الرابعة: الاستئصال</w:t>
      </w:r>
    </w:p>
    <w:p>
      <w:pPr>
        <w:bidi/>
        <w:spacing w:after="140" w:before="0" w:line="300"/>
        <w:jc w:val="start"/>
      </w:pPr>
      <w:r>
        <w:rPr>
          <w:rFonts w:ascii="Arial" w:cs="Arial" w:eastAsia="Arial" w:hAnsi="Arial"/>
          <w:b w:val="false"/>
          <w:bCs w:val="false"/>
          <w:color w:val="16202A"/>
          <w:sz w:val="21"/>
          <w:szCs w:val="21"/>
          <w:rtl/>
        </w:rPr>
        <w:t xml:space="preserve">إزالة سبب الجذر: حذف البرمجيات الضارة، وإغلاق الثغرة المستغَلة، وإلغاء الوصول غير المصرح به، وتدوير جميع بيانات الاعتماد المحتمل كشفها.</w:t>
      </w:r>
    </w:p>
    <w:p>
      <w:pPr>
        <w:pStyle w:val="Heading3"/>
        <w:bidi/>
        <w:spacing w:after="90" w:before="200" w:line="300"/>
        <w:jc w:val="start"/>
      </w:pPr>
      <w:r>
        <w:rPr>
          <w:rFonts w:ascii="Arial" w:cs="Arial" w:eastAsia="Arial" w:hAnsi="Arial"/>
          <w:b/>
          <w:bCs/>
          <w:color w:val="0C1F3D"/>
          <w:sz w:val="23"/>
          <w:szCs w:val="23"/>
          <w:rtl/>
        </w:rPr>
        <w:t xml:space="preserve">المرحلة الخامسة: الاستعادة</w:t>
      </w:r>
    </w:p>
    <w:p>
      <w:pPr>
        <w:bidi/>
        <w:spacing w:after="140" w:before="0" w:line="300"/>
        <w:jc w:val="start"/>
      </w:pPr>
      <w:r>
        <w:rPr>
          <w:rFonts w:ascii="Arial" w:cs="Arial" w:eastAsia="Arial" w:hAnsi="Arial"/>
          <w:b w:val="false"/>
          <w:bCs w:val="false"/>
          <w:color w:val="16202A"/>
          <w:sz w:val="21"/>
          <w:szCs w:val="21"/>
          <w:rtl/>
        </w:rPr>
        <w:t xml:space="preserve">إعادة الخدمة من مصدر موثوق، ومراقبة مكثفة لمدة لا تقل عن أربعة عشر يوماً بعد الاستعادة، والتحقق من سلامة البيانات قبل إعلان العودة للتشغيل الطبيعي.</w:t>
      </w:r>
    </w:p>
    <w:p>
      <w:pPr>
        <w:pStyle w:val="Heading3"/>
        <w:bidi/>
        <w:spacing w:after="90" w:before="200" w:line="300"/>
        <w:jc w:val="start"/>
      </w:pPr>
      <w:r>
        <w:rPr>
          <w:rFonts w:ascii="Arial" w:cs="Arial" w:eastAsia="Arial" w:hAnsi="Arial"/>
          <w:b/>
          <w:bCs/>
          <w:color w:val="0C1F3D"/>
          <w:sz w:val="23"/>
          <w:szCs w:val="23"/>
          <w:rtl/>
        </w:rPr>
        <w:t xml:space="preserve">المرحلة السادسة: الدروس المستفادة</w:t>
      </w:r>
    </w:p>
    <w:p>
      <w:pPr>
        <w:bidi/>
        <w:spacing w:after="140" w:before="0" w:line="300"/>
        <w:jc w:val="start"/>
      </w:pPr>
      <w:r>
        <w:rPr>
          <w:rFonts w:ascii="Arial" w:cs="Arial" w:eastAsia="Arial" w:hAnsi="Arial"/>
          <w:b w:val="false"/>
          <w:bCs w:val="false"/>
          <w:color w:val="16202A"/>
          <w:sz w:val="21"/>
          <w:szCs w:val="21"/>
          <w:rtl/>
        </w:rPr>
        <w:t xml:space="preserve">اجتماع خلال عشرة أيام عمل من الإغلاق لكل حادثة حرجة أو عالية، يخرج بتقرير نهائي يتضمن التسلسل الزمني وسبب الجذر والإجراءات التصحيحية بمالكين ومواعيد، وتُقيَّد المخاطر المكتشفة في سجل مخاطر الأمن السيبراني.</w:t>
      </w:r>
    </w:p>
    <w:p>
      <w:pPr>
        <w:pStyle w:val="Heading2"/>
        <w:bidi/>
        <w:spacing w:after="120" w:before="280" w:line="300"/>
        <w:jc w:val="start"/>
      </w:pPr>
      <w:r>
        <w:rPr>
          <w:rFonts w:ascii="Arial" w:cs="Arial" w:eastAsia="Arial" w:hAnsi="Arial"/>
          <w:b/>
          <w:bCs/>
          <w:color w:val="15325C"/>
          <w:sz w:val="27"/>
          <w:szCs w:val="27"/>
          <w:rtl/>
        </w:rPr>
        <w:t xml:space="preserve">إجراء الإبلاغ عن الحوادث للهيئة الوطنية للأمن السيبراني</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080"/>
        <w:gridCol w:w="2480"/>
        <w:gridCol w:w="2800"/>
      </w:tblGrid>
      <w:tr>
        <w:trPr>
          <w:tblHeader/>
        </w:trPr>
        <w:tc>
          <w:tcPr>
            <w:tcW w:type="dxa" w:w="40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الخطوة</w:t>
            </w:r>
          </w:p>
        </w:tc>
        <w:tc>
          <w:tcPr>
            <w:tcW w:type="dxa" w:w="24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المسؤول</w:t>
            </w:r>
          </w:p>
        </w:tc>
        <w:tc>
          <w:tcPr>
            <w:tcW w:type="dxa" w:w="280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التوقيت</w:t>
            </w:r>
          </w:p>
        </w:tc>
      </w:tr>
      <w:tr>
        <w:trPr>
          <w:tblHeader w:val="false"/>
        </w:trPr>
        <w:tc>
          <w:tcPr>
            <w:tcW w:type="dxa" w:w="4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تقدير قابلية الحادثة للإبلاغ وفق معايير الهيئة</w:t>
            </w:r>
          </w:p>
        </w:tc>
        <w:tc>
          <w:tcPr>
            <w:tcW w:type="dxa" w:w="24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قائد الحادثة</w:t>
            </w:r>
          </w:p>
        </w:tc>
        <w:tc>
          <w:tcPr>
            <w:tcW w:type="dxa" w:w="28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فور تأكيد التصنيف</w:t>
            </w:r>
          </w:p>
        </w:tc>
      </w:tr>
      <w:tr>
        <w:trPr>
          <w:tblHeader w:val="false"/>
        </w:trPr>
        <w:tc>
          <w:tcPr>
            <w:tcW w:type="dxa" w:w="4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اعتماد قرار الإبلاغ</w:t>
            </w:r>
          </w:p>
        </w:tc>
        <w:tc>
          <w:tcPr>
            <w:tcW w:type="dxa" w:w="24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w:t>
            </w:r>
          </w:p>
        </w:tc>
        <w:tc>
          <w:tcPr>
            <w:tcW w:type="dxa" w:w="28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خلال ساعتين من التصنيف</w:t>
            </w:r>
          </w:p>
        </w:tc>
      </w:tr>
      <w:tr>
        <w:trPr>
          <w:tblHeader w:val="false"/>
        </w:trPr>
        <w:tc>
          <w:tcPr>
            <w:tcW w:type="dxa" w:w="4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إعداد البلاغ الأولي</w:t>
            </w:r>
          </w:p>
        </w:tc>
        <w:tc>
          <w:tcPr>
            <w:tcW w:type="dxa" w:w="24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 والمخاطر والالتزام</w:t>
            </w:r>
          </w:p>
        </w:tc>
        <w:tc>
          <w:tcPr>
            <w:tcW w:type="dxa" w:w="28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خلال ٢٤ ساعة من تأكيد الحادثة</w:t>
            </w:r>
          </w:p>
        </w:tc>
      </w:tr>
      <w:tr>
        <w:trPr>
          <w:tblHeader w:val="false"/>
        </w:trPr>
        <w:tc>
          <w:tcPr>
            <w:tcW w:type="dxa" w:w="4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إرسال البلاغ عبر القناة الرسمية المعتمدة لدى الهيئة</w:t>
            </w:r>
          </w:p>
        </w:tc>
        <w:tc>
          <w:tcPr>
            <w:tcW w:type="dxa" w:w="24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w:t>
            </w:r>
          </w:p>
        </w:tc>
        <w:tc>
          <w:tcPr>
            <w:tcW w:type="dxa" w:w="28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فور اكتمال البلاغ الأولي</w:t>
            </w:r>
          </w:p>
        </w:tc>
      </w:tr>
      <w:tr>
        <w:trPr>
          <w:tblHeader w:val="false"/>
        </w:trPr>
        <w:tc>
          <w:tcPr>
            <w:tcW w:type="dxa" w:w="4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إرسال التحديثات الدورية</w:t>
            </w:r>
          </w:p>
        </w:tc>
        <w:tc>
          <w:tcPr>
            <w:tcW w:type="dxa" w:w="24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قائد الحادثة</w:t>
            </w:r>
          </w:p>
        </w:tc>
        <w:tc>
          <w:tcPr>
            <w:tcW w:type="dxa" w:w="280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حسب ما تطلبه الهيئة</w:t>
            </w:r>
          </w:p>
        </w:tc>
      </w:tr>
      <w:tr>
        <w:trPr>
          <w:tblHeader w:val="false"/>
        </w:trPr>
        <w:tc>
          <w:tcPr>
            <w:tcW w:type="dxa" w:w="4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إرسال التقرير النهائي</w:t>
            </w:r>
          </w:p>
        </w:tc>
        <w:tc>
          <w:tcPr>
            <w:tcW w:type="dxa" w:w="24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w:t>
            </w:r>
          </w:p>
        </w:tc>
        <w:tc>
          <w:tcPr>
            <w:tcW w:type="dxa" w:w="280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خلال عشرة أيام عمل من إغلاق الحادثة</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bCs/>
          <w:color w:val="15325C"/>
          <w:sz w:val="21"/>
          <w:szCs w:val="21"/>
          <w:rtl/>
        </w:rPr>
        <w:t xml:space="preserve">محتوى البلاغ:</w:t>
      </w:r>
      <w:r>
        <w:rPr>
          <w:rFonts w:ascii="Arial" w:cs="Arial" w:eastAsia="Arial" w:hAnsi="Arial"/>
          <w:b w:val="false"/>
          <w:bCs w:val="false"/>
          <w:color w:val="16202A"/>
          <w:sz w:val="21"/>
          <w:szCs w:val="21"/>
          <w:rtl/>
        </w:rPr>
        <w:t xml:space="preserve"> رقم الحادثة وتوقيت الاكتشاف، وتصنيفها، والأصول والخدمات المتأثرة، وأثرها على المستفيدين، ومؤشرات الاختراق المرصودة، والإجراءات المتخذة، وحالتها الراهنة.</w:t>
      </w:r>
    </w:p>
    <w:p>
      <w:pPr>
        <w:bidi/>
        <w:spacing w:after="140" w:before="0" w:line="300"/>
        <w:jc w:val="start"/>
      </w:pPr>
      <w:r>
        <w:rPr>
          <w:rFonts w:ascii="Arial" w:cs="Arial" w:eastAsia="Arial" w:hAnsi="Arial"/>
          <w:b/>
          <w:bCs/>
          <w:color w:val="15325C"/>
          <w:sz w:val="21"/>
          <w:szCs w:val="21"/>
          <w:rtl/>
        </w:rPr>
        <w:t xml:space="preserve">التوثيق:</w:t>
      </w:r>
      <w:r>
        <w:rPr>
          <w:rFonts w:ascii="Arial" w:cs="Arial" w:eastAsia="Arial" w:hAnsi="Arial"/>
          <w:b w:val="false"/>
          <w:bCs w:val="false"/>
          <w:color w:val="16202A"/>
          <w:sz w:val="21"/>
          <w:szCs w:val="21"/>
          <w:rtl/>
        </w:rPr>
        <w:t xml:space="preserve"> يُحفظ كل بلاغ وردٍّ عليه في ملف الحادثة كدليل التزام، وتُحدَّث المهل الواردة أعلاه بما يتوافق مع أي متطلبات محدَّثة تصدرها الهيئة.</w:t>
      </w:r>
    </w:p>
    <w:p>
      <w:pPr>
        <w:pStyle w:val="Heading2"/>
        <w:bidi/>
        <w:spacing w:after="120" w:before="280" w:line="300"/>
        <w:jc w:val="start"/>
      </w:pPr>
      <w:r>
        <w:rPr>
          <w:rFonts w:ascii="Arial" w:cs="Arial" w:eastAsia="Arial" w:hAnsi="Arial"/>
          <w:b/>
          <w:bCs/>
          <w:color w:val="15325C"/>
          <w:sz w:val="27"/>
          <w:szCs w:val="27"/>
          <w:rtl/>
        </w:rPr>
        <w:t xml:space="preserve">إبلاغ الجهات العميلة</w:t>
      </w:r>
    </w:p>
    <w:p>
      <w:pPr>
        <w:bidi/>
        <w:spacing w:after="140" w:before="0" w:line="300"/>
        <w:jc w:val="start"/>
      </w:pPr>
      <w:r>
        <w:rPr>
          <w:rFonts w:ascii="Arial" w:cs="Arial" w:eastAsia="Arial" w:hAnsi="Arial"/>
          <w:b w:val="false"/>
          <w:bCs w:val="false"/>
          <w:color w:val="16202A"/>
          <w:sz w:val="21"/>
          <w:szCs w:val="21"/>
          <w:rtl/>
        </w:rPr>
        <w:t xml:space="preserve">عند مساس الحادثة بنظام مستضاف لجهة عميلة، تُبلَّغ الجهة خطياً خلال أربع ساعات من تأكيد التصنيف الحرج، عبر جهة الاتصال المحددة في العقد. ويتضمن الإبلاغ نطاق الأثر على بياناتها وخدماتها والإجراءات المتخذة، ولا يُكتفى بالإبلاغ الشفهي.</w:t>
      </w:r>
    </w:p>
    <w:p>
      <w:pPr>
        <w:pStyle w:val="Heading2"/>
        <w:bidi/>
        <w:spacing w:after="120" w:before="280" w:line="300"/>
        <w:jc w:val="start"/>
      </w:pPr>
      <w:r>
        <w:rPr>
          <w:rFonts w:ascii="Arial" w:cs="Arial" w:eastAsia="Arial" w:hAnsi="Arial"/>
          <w:b/>
          <w:bCs/>
          <w:color w:val="15325C"/>
          <w:sz w:val="27"/>
          <w:szCs w:val="27"/>
          <w:rtl/>
        </w:rPr>
        <w:t xml:space="preserve">المعلومات الاستباقية ومؤشرات الاختراق</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702"/>
        <w:gridCol w:w="3229"/>
        <w:gridCol w:w="1713"/>
        <w:gridCol w:w="1716"/>
      </w:tblGrid>
      <w:tr>
        <w:trPr>
          <w:tblHeader/>
        </w:trPr>
        <w:tc>
          <w:tcPr>
            <w:tcW w:type="dxa" w:w="270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الإجراء</w:t>
            </w:r>
          </w:p>
        </w:tc>
        <w:tc>
          <w:tcPr>
            <w:tcW w:type="dxa" w:w="3229"/>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الوصف</w:t>
            </w:r>
          </w:p>
        </w:tc>
        <w:tc>
          <w:tcPr>
            <w:tcW w:type="dxa" w:w="1713"/>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المسؤول</w:t>
            </w:r>
          </w:p>
        </w:tc>
        <w:tc>
          <w:tcPr>
            <w:tcW w:type="dxa" w:w="171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الدورية</w:t>
            </w:r>
          </w:p>
        </w:tc>
      </w:tr>
      <w:tr>
        <w:trPr>
          <w:tblHeader w:val="false"/>
        </w:trPr>
        <w:tc>
          <w:tcPr>
            <w:tcW w:type="dxa" w:w="27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الاشتراك في مصادر المعلومات الاستباقية</w:t>
            </w:r>
          </w:p>
        </w:tc>
        <w:tc>
          <w:tcPr>
            <w:tcW w:type="dxa" w:w="322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مصدر وطني ومصدر تجاري على الأقل</w:t>
            </w:r>
          </w:p>
        </w:tc>
        <w:tc>
          <w:tcPr>
            <w:tcW w:type="dxa" w:w="171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w:t>
            </w:r>
          </w:p>
        </w:tc>
        <w:tc>
          <w:tcPr>
            <w:tcW w:type="dxa" w:w="171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مستمر</w:t>
            </w:r>
          </w:p>
        </w:tc>
      </w:tr>
      <w:tr>
        <w:trPr>
          <w:tblHeader w:val="false"/>
        </w:trPr>
        <w:tc>
          <w:tcPr>
            <w:tcW w:type="dxa" w:w="27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استقبال مؤشرات الاختراق وتقييم انطباقها</w:t>
            </w:r>
          </w:p>
        </w:tc>
        <w:tc>
          <w:tcPr>
            <w:tcW w:type="dxa" w:w="322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فرز المؤشرات حسب صلتها ببيئة الشركة</w:t>
            </w:r>
          </w:p>
        </w:tc>
        <w:tc>
          <w:tcPr>
            <w:tcW w:type="dxa" w:w="171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مركز العمليات الأمنية</w:t>
            </w:r>
          </w:p>
        </w:tc>
        <w:tc>
          <w:tcPr>
            <w:tcW w:type="dxa" w:w="171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يومي</w:t>
            </w:r>
          </w:p>
        </w:tc>
      </w:tr>
      <w:tr>
        <w:trPr>
          <w:tblHeader w:val="false"/>
        </w:trPr>
        <w:tc>
          <w:tcPr>
            <w:tcW w:type="dxa" w:w="27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تغذية المؤشرات في أنظمة الكشف</w:t>
            </w:r>
          </w:p>
        </w:tc>
        <w:tc>
          <w:tcPr>
            <w:tcW w:type="dxa" w:w="322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إدخالها في نظام إدارة الأحداث وأدوات الحماية</w:t>
            </w:r>
          </w:p>
        </w:tc>
        <w:tc>
          <w:tcPr>
            <w:tcW w:type="dxa" w:w="171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مركز العمليات الأمنية</w:t>
            </w:r>
          </w:p>
        </w:tc>
        <w:tc>
          <w:tcPr>
            <w:tcW w:type="dxa" w:w="171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خلال ٢٤ ساعة من الاستلام</w:t>
            </w:r>
          </w:p>
        </w:tc>
      </w:tr>
      <w:tr>
        <w:trPr>
          <w:tblHeader w:val="false"/>
        </w:trPr>
        <w:tc>
          <w:tcPr>
            <w:tcW w:type="dxa" w:w="27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البحث الرجعي عن المؤشرات في السجلات</w:t>
            </w:r>
          </w:p>
        </w:tc>
        <w:tc>
          <w:tcPr>
            <w:tcW w:type="dxa" w:w="322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فحص السجلات التاريخية بحثاً عن أثر سابق</w:t>
            </w:r>
          </w:p>
        </w:tc>
        <w:tc>
          <w:tcPr>
            <w:tcW w:type="dxa" w:w="171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مركز العمليات الأمنية</w:t>
            </w:r>
          </w:p>
        </w:tc>
        <w:tc>
          <w:tcPr>
            <w:tcW w:type="dxa" w:w="171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مع كل مؤشر عالي الخطورة</w:t>
            </w:r>
          </w:p>
        </w:tc>
      </w:tr>
      <w:tr>
        <w:trPr>
          <w:tblHeader w:val="false"/>
        </w:trPr>
        <w:tc>
          <w:tcPr>
            <w:tcW w:type="dxa" w:w="27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توثيق التعامل مع المؤشرات</w:t>
            </w:r>
          </w:p>
        </w:tc>
        <w:tc>
          <w:tcPr>
            <w:tcW w:type="dxa" w:w="3229"/>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 يوضح المؤشر والإجراء والنتيجة</w:t>
            </w:r>
          </w:p>
        </w:tc>
        <w:tc>
          <w:tcPr>
            <w:tcW w:type="dxa" w:w="1713"/>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مركز العمليات الأمنية</w:t>
            </w:r>
          </w:p>
        </w:tc>
        <w:tc>
          <w:tcPr>
            <w:tcW w:type="dxa" w:w="171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مستمر</w:t>
            </w:r>
          </w:p>
        </w:tc>
      </w:tr>
      <w:tr>
        <w:trPr>
          <w:tblHeader w:val="false"/>
        </w:trPr>
        <w:tc>
          <w:tcPr>
            <w:tcW w:type="dxa" w:w="27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مشاركة المؤشرات وتقارير الحوادث مع الهيئة</w:t>
            </w:r>
          </w:p>
        </w:tc>
        <w:tc>
          <w:tcPr>
            <w:tcW w:type="dxa" w:w="3229"/>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إرسال المؤشرات المرصودة محلياً عبر القناة الرسمية</w:t>
            </w:r>
          </w:p>
        </w:tc>
        <w:tc>
          <w:tcPr>
            <w:tcW w:type="dxa" w:w="1713"/>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رئيس الأمن السيبراني</w:t>
            </w:r>
          </w:p>
        </w:tc>
        <w:tc>
          <w:tcPr>
            <w:tcW w:type="dxa" w:w="171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عند الرصد</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التمارين والاختبار</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240"/>
        <w:gridCol w:w="2340"/>
        <w:gridCol w:w="3780"/>
      </w:tblGrid>
      <w:tr>
        <w:trPr>
          <w:tblHeader/>
        </w:trPr>
        <w:tc>
          <w:tcPr>
            <w:tcW w:type="dxa" w:w="32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التمرين</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الدورية</w:t>
            </w:r>
          </w:p>
        </w:tc>
        <w:tc>
          <w:tcPr>
            <w:tcW w:type="dxa" w:w="37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النطاق</w:t>
            </w:r>
          </w:p>
        </w:tc>
      </w:tr>
      <w:tr>
        <w:trPr>
          <w:tblHeader w:val="false"/>
        </w:trPr>
        <w:tc>
          <w:tcPr>
            <w:tcW w:type="dxa" w:w="32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تمرين طاولة</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نصف سنوي</w:t>
            </w:r>
          </w:p>
        </w:tc>
        <w:tc>
          <w:tcPr>
            <w:tcW w:type="dxa" w:w="37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سيناريو يشمل نظاماً مستضافاً لجهة عميلة</w:t>
            </w:r>
          </w:p>
        </w:tc>
      </w:tr>
      <w:tr>
        <w:trPr>
          <w:tblHeader w:val="false"/>
        </w:trPr>
        <w:tc>
          <w:tcPr>
            <w:tcW w:type="dxa" w:w="32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تمرين فني للاستجابة</w:t>
            </w:r>
          </w:p>
        </w:tc>
        <w:tc>
          <w:tcPr>
            <w:tcW w:type="dxa" w:w="234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سنوي</w:t>
            </w:r>
          </w:p>
        </w:tc>
        <w:tc>
          <w:tcPr>
            <w:tcW w:type="dxa" w:w="37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سيناريو برنامج فدية مع اختبار استعادة فعلي</w:t>
            </w:r>
          </w:p>
        </w:tc>
      </w:tr>
      <w:tr>
        <w:trPr>
          <w:tblHeader w:val="false"/>
        </w:trPr>
        <w:tc>
          <w:tcPr>
            <w:tcW w:type="dxa" w:w="32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اختبار قوائم الاتصال ومسارات التصعيد</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ربع سنوي</w:t>
            </w:r>
          </w:p>
        </w:tc>
        <w:tc>
          <w:tcPr>
            <w:tcW w:type="dxa" w:w="37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التحقق من سلامة البيانات وزمن الاستجابة</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val="false"/>
          <w:bCs w:val="false"/>
          <w:color w:val="16202A"/>
          <w:sz w:val="21"/>
          <w:szCs w:val="21"/>
          <w:rtl/>
        </w:rPr>
        <w:t xml:space="preserve">تُوثَّق نتائج كل تمرين وتُحوَّل ملاحظاته إلى إجراءات بمالكين ومواعيد.</w:t>
      </w:r>
    </w:p>
    <w:p>
      <w:pPr>
        <w:pStyle w:val="Heading2"/>
        <w:bidi/>
        <w:spacing w:after="120" w:before="280" w:line="300"/>
        <w:jc w:val="start"/>
      </w:pPr>
      <w:r>
        <w:rPr>
          <w:rFonts w:ascii="Arial" w:cs="Arial" w:eastAsia="Arial" w:hAnsi="Arial"/>
          <w:b/>
          <w:bCs/>
          <w:color w:val="15325C"/>
          <w:sz w:val="27"/>
          <w:szCs w:val="27"/>
          <w:rtl/>
        </w:rPr>
        <w:t xml:space="preserve">مؤشرات قياس الأداء</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680"/>
        <w:gridCol w:w="4680"/>
      </w:tblGrid>
      <w:tr>
        <w:trPr>
          <w:tblHeader/>
        </w:trPr>
        <w:tc>
          <w:tcPr>
            <w:tcW w:type="dxa" w:w="46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المؤشر</w:t>
            </w:r>
          </w:p>
        </w:tc>
        <w:tc>
          <w:tcPr>
            <w:tcW w:type="dxa" w:w="46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المستهدف</w:t>
            </w:r>
          </w:p>
        </w:tc>
      </w:tr>
      <w:tr>
        <w:trPr>
          <w:tblHeader w:val="false"/>
        </w:trPr>
        <w:tc>
          <w:tcPr>
            <w:tcW w:type="dxa" w:w="46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متوسط زمن الكشف</w:t>
            </w:r>
          </w:p>
        </w:tc>
        <w:tc>
          <w:tcPr>
            <w:tcW w:type="dxa" w:w="46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أقل من ٦٠ دقيقة للتنبيهات عالية الأولوية</w:t>
            </w:r>
          </w:p>
        </w:tc>
      </w:tr>
      <w:tr>
        <w:trPr>
          <w:tblHeader w:val="false"/>
        </w:trPr>
        <w:tc>
          <w:tcPr>
            <w:tcW w:type="dxa" w:w="46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متوسط زمن الاحتواء للحوادث الحرجة</w:t>
            </w:r>
          </w:p>
        </w:tc>
        <w:tc>
          <w:tcPr>
            <w:tcW w:type="dxa" w:w="46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أقل من ٤ ساعات</w:t>
            </w:r>
          </w:p>
        </w:tc>
      </w:tr>
      <w:tr>
        <w:trPr>
          <w:tblHeader w:val="false"/>
        </w:trPr>
        <w:tc>
          <w:tcPr>
            <w:tcW w:type="dxa" w:w="46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نسبة الحوادث الموثقة بتقرير نهائي</w:t>
            </w:r>
          </w:p>
        </w:tc>
        <w:tc>
          <w:tcPr>
            <w:tcW w:type="dxa" w:w="46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١٠٠٪ للحوادث الحرجة والعالية</w:t>
            </w:r>
          </w:p>
        </w:tc>
      </w:tr>
      <w:tr>
        <w:trPr>
          <w:tblHeader w:val="false"/>
        </w:trPr>
        <w:tc>
          <w:tcPr>
            <w:tcW w:type="dxa" w:w="46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نسبة الالتزام بمهلة الإبلاغ التنظيمي</w:t>
            </w:r>
          </w:p>
        </w:tc>
        <w:tc>
          <w:tcPr>
            <w:tcW w:type="dxa" w:w="46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١٠٠٪</w:t>
            </w:r>
          </w:p>
        </w:tc>
      </w:tr>
      <w:tr>
        <w:trPr>
          <w:tblHeader w:val="false"/>
        </w:trPr>
        <w:tc>
          <w:tcPr>
            <w:tcW w:type="dxa" w:w="46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نسبة إغلاق الإجراءات التصحيحية في موعدها</w:t>
            </w:r>
          </w:p>
        </w:tc>
        <w:tc>
          <w:tcPr>
            <w:tcW w:type="dxa" w:w="46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٩٠٪ فأكثر</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المراجعة والتحديث</w:t>
      </w:r>
    </w:p>
    <w:p>
      <w:pPr>
        <w:bidi/>
        <w:spacing w:after="140" w:before="0" w:line="300"/>
        <w:jc w:val="start"/>
      </w:pPr>
      <w:r>
        <w:rPr>
          <w:rFonts w:ascii="Arial" w:cs="Arial" w:eastAsia="Arial" w:hAnsi="Arial"/>
          <w:b w:val="false"/>
          <w:bCs w:val="false"/>
          <w:color w:val="16202A"/>
          <w:sz w:val="21"/>
          <w:szCs w:val="21"/>
          <w:rtl/>
        </w:rPr>
        <w:t xml:space="preserve">تُراجَع هذه الخطة سنوياً على الأقل، وعقب كل حادثة حرجة، وعقب كل تمرين محاكاة. وتُوثَّق التغييرات وتُعتمد من صاحب الصلاحية.</w:t>
      </w:r>
    </w:p>
    <w:p>
      <w:pPr>
        <w:pStyle w:val="Heading2"/>
        <w:bidi/>
        <w:spacing w:after="120" w:before="280" w:line="300"/>
        <w:jc w:val="start"/>
      </w:pPr>
      <w:r>
        <w:rPr>
          <w:rFonts w:ascii="Arial" w:cs="Arial" w:eastAsia="Arial" w:hAnsi="Arial"/>
          <w:b/>
          <w:bCs/>
          <w:color w:val="15325C"/>
          <w:sz w:val="27"/>
          <w:szCs w:val="27"/>
          <w:rtl/>
        </w:rPr>
        <w:t xml:space="preserve">سجل التغييرات</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340"/>
        <w:gridCol w:w="2340"/>
        <w:gridCol w:w="2340"/>
        <w:gridCol w:w="2340"/>
      </w:tblGrid>
      <w:tr>
        <w:trPr>
          <w:tblHeader/>
        </w:trPr>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الإصدار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التغيير</w:t>
            </w:r>
          </w:p>
        </w:tc>
        <w:tc>
          <w:tcPr>
            <w:tcW w:type="dxa" w:w="234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المعتمِد</w:t>
            </w:r>
          </w:p>
        </w:tc>
      </w:tr>
      <w:tr>
        <w:trPr>
          <w:tblHeader w:val="false"/>
        </w:trPr>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١.٠</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١ ربيع الأول ١٤٤٨هـ</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الإصدار الأول</w:t>
            </w:r>
          </w:p>
        </w:tc>
        <w:tc>
          <w:tcPr>
            <w:tcW w:type="dxa" w:w="234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الرئيس التنفيذي</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134"/>
        <w:gridCol w:w="2955"/>
        <w:gridCol w:w="2134"/>
        <w:gridCol w:w="2137"/>
      </w:tblGrid>
      <w:tr>
        <w:trPr>
          <w:tblHeader/>
        </w:trPr>
        <w:tc>
          <w:tcPr>
            <w:tcW w:type="dxa" w:w="21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295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21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213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أُعدّت بواسطة</w:t>
            </w:r>
          </w:p>
        </w:tc>
        <w:tc>
          <w:tcPr>
            <w:tcW w:type="dxa" w:w="29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مركز العمليات الأمنية</w:t>
            </w:r>
          </w:p>
        </w:tc>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3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1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رُوجعت بواسطة</w:t>
            </w:r>
          </w:p>
        </w:tc>
        <w:tc>
          <w:tcPr>
            <w:tcW w:type="dxa" w:w="295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21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3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اعتُمدت بواسطة</w:t>
            </w:r>
          </w:p>
        </w:tc>
        <w:tc>
          <w:tcPr>
            <w:tcW w:type="dxa" w:w="29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م. بدر العتيبي — الرئيس التنفيذي</w:t>
            </w:r>
          </w:p>
        </w:tc>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3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CS-PRO-002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CS-PRO-002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CS-PRO-002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2026-10-04T11:47:59.288Z</dcterms:created>
  <dcterms:modified xsi:type="dcterms:W3CDTF">2026-10-04T11:47:59.288Z</dcterms:modified>
</cp:coreProperties>
</file>

<file path=docProps/custom.xml><?xml version="1.0" encoding="utf-8"?>
<Properties xmlns="http://schemas.openxmlformats.org/officeDocument/2006/custom-properties" xmlns:vt="http://schemas.openxmlformats.org/officeDocument/2006/docPropsVTypes"/>
</file>