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سجل تنفيذ</w:t>
            </w:r>
          </w:p>
          <w:p>
            <w:pPr>
              <w:bidi/>
              <w:spacing w:after="120" w:before="0" w:line="420"/>
              <w:jc w:val="start"/>
            </w:pPr>
            <w:r>
              <w:rPr>
                <w:rFonts w:ascii="Arial" w:cs="Arial" w:eastAsia="Arial" w:hAnsi="Arial"/>
                <w:b/>
                <w:bCs/>
                <w:color w:val="FFFFFF"/>
                <w:sz w:val="52"/>
                <w:szCs w:val="52"/>
                <w:rtl/>
              </w:rPr>
              <w:t xml:space="preserve">سجل تنفيذ حماية تطبيقات الويب</w:t>
            </w:r>
          </w:p>
          <w:p>
            <w:pPr>
              <w:bidi/>
              <w:spacing w:after="260" w:before="0" w:line="300"/>
              <w:jc w:val="start"/>
            </w:pPr>
            <w:r>
              <w:rPr>
                <w:rFonts w:ascii="Arial" w:cs="Arial" w:eastAsia="Arial" w:hAnsi="Arial"/>
                <w:b w:val="false"/>
                <w:bCs w:val="false"/>
                <w:color w:val="AFC4D4"/>
                <w:sz w:val="22"/>
                <w:szCs w:val="22"/>
                <w:rtl/>
              </w:rPr>
              <w:t xml:space="preserve">٢٣ نظاماً · بوابات الإطلاق الست · أثر على وتيرة الإصدار</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CS-REG-017</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الهندسة والتطوير</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ربع سنوي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2-15-2 · 2-15-3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سجل تنفيذ حماية تطبيقات الويب</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يوثّق هذا السجل تنفيذ ضوابط حماية تطبيقات الويب الخارجية في شركة نَسَق للحلول الرقمية، ويُعدّ دليل التزام بالضابطين ٢-١٥-٢ و ٢-١٥-٣ ومخرَجاً من حزمة العمل WP-17.</w:t>
      </w:r>
    </w:p>
    <w:p>
      <w:pPr>
        <w:pStyle w:val="Heading2"/>
        <w:bidi/>
        <w:spacing w:after="120" w:before="280" w:line="300"/>
        <w:jc w:val="start"/>
      </w:pPr>
      <w:r>
        <w:rPr>
          <w:rFonts w:ascii="Arial" w:cs="Arial" w:eastAsia="Arial" w:hAnsi="Arial"/>
          <w:b/>
          <w:bCs/>
          <w:color w:val="15325C"/>
          <w:sz w:val="27"/>
          <w:szCs w:val="27"/>
          <w:rtl/>
        </w:rPr>
        <w:t xml:space="preserve">بيانات المشروع</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427"/>
        <w:gridCol w:w="5933"/>
      </w:tblGrid>
      <w:tr>
        <w:trPr>
          <w:tblHeader/>
        </w:trPr>
        <w:tc>
          <w:tcPr>
            <w:tcW w:type="dxa" w:w="342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5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34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رقم المشروع</w:t>
            </w:r>
          </w:p>
        </w:tc>
        <w:tc>
          <w:tcPr>
            <w:tcW w:type="dxa" w:w="5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WEB-1448-001</w:t>
            </w:r>
          </w:p>
        </w:tc>
      </w:tr>
      <w:tr>
        <w:trPr>
          <w:tblHeader w:val="false"/>
        </w:trPr>
        <w:tc>
          <w:tcPr>
            <w:tcW w:type="dxa" w:w="34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الفترة</w:t>
            </w:r>
          </w:p>
        </w:tc>
        <w:tc>
          <w:tcPr>
            <w:tcW w:type="dxa" w:w="5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ذو الحجة ١٤٤٨هـ – ربيع الأول ١٤٤٩هـ</w:t>
            </w:r>
          </w:p>
        </w:tc>
      </w:tr>
      <w:tr>
        <w:trPr>
          <w:tblHeader w:val="false"/>
        </w:trPr>
        <w:tc>
          <w:tcPr>
            <w:tcW w:type="dxa" w:w="34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المرجعية</w:t>
            </w:r>
          </w:p>
        </w:tc>
        <w:tc>
          <w:tcPr>
            <w:tcW w:type="dxa" w:w="5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حماية تطبيقات الويب الخارجية CS-STD-010</w:t>
            </w:r>
          </w:p>
        </w:tc>
      </w:tr>
      <w:tr>
        <w:trPr>
          <w:tblHeader w:val="false"/>
        </w:trPr>
        <w:tc>
          <w:tcPr>
            <w:tcW w:type="dxa" w:w="34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مالك التنفيذ</w:t>
            </w:r>
          </w:p>
        </w:tc>
        <w:tc>
          <w:tcPr>
            <w:tcW w:type="dxa" w:w="5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طلال الحربي — مدير الهندسة والتطوير</w:t>
            </w:r>
          </w:p>
        </w:tc>
      </w:tr>
      <w:tr>
        <w:trPr>
          <w:tblHeader w:val="false"/>
        </w:trPr>
        <w:tc>
          <w:tcPr>
            <w:tcW w:type="dxa" w:w="34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المخاطرة المرتبطة</w:t>
            </w:r>
          </w:p>
        </w:tc>
        <w:tc>
          <w:tcPr>
            <w:tcW w:type="dxa" w:w="5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R-10</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الوضع قبل التنفيذ</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182"/>
        <w:gridCol w:w="5178"/>
      </w:tblGrid>
      <w:tr>
        <w:trPr>
          <w:tblHeader/>
        </w:trPr>
        <w:tc>
          <w:tcPr>
            <w:tcW w:type="dxa" w:w="418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517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r>
      <w:tr>
        <w:trPr>
          <w:tblHeader w:val="false"/>
        </w:trPr>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جدار حماية التطبيقات</w:t>
            </w:r>
          </w:p>
        </w:tc>
        <w:tc>
          <w:tcPr>
            <w:tcW w:type="dxa" w:w="51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 على ٧ بوابات من أصل ٢٣ · بعضه في وضع المراقبة</w:t>
            </w:r>
          </w:p>
        </w:tc>
      </w:tr>
      <w:tr>
        <w:trPr>
          <w:tblHeader w:val="false"/>
        </w:trPr>
        <w:tc>
          <w:tcPr>
            <w:tcW w:type="dxa" w:w="41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المعمارية متعددة المستويات</w:t>
            </w:r>
          </w:p>
        </w:tc>
        <w:tc>
          <w:tcPr>
            <w:tcW w:type="dxa" w:w="51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على الأنظمة الحديثة فقط</w:t>
            </w:r>
          </w:p>
        </w:tc>
      </w:tr>
      <w:tr>
        <w:trPr>
          <w:tblHeader w:val="false"/>
        </w:trPr>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المصادقة متعددة العناصر لمستخدمي التطبيقات</w:t>
            </w:r>
          </w:p>
        </w:tc>
        <w:tc>
          <w:tcPr>
            <w:tcW w:type="dxa" w:w="51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مفعَّلة في عدد من البوابات</w:t>
            </w:r>
          </w:p>
        </w:tc>
      </w:tr>
      <w:tr>
        <w:trPr>
          <w:tblHeader w:val="false"/>
        </w:trPr>
        <w:tc>
          <w:tcPr>
            <w:tcW w:type="dxa" w:w="41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ترويسات الأمان</w:t>
            </w:r>
          </w:p>
        </w:tc>
        <w:tc>
          <w:tcPr>
            <w:tcW w:type="dxa" w:w="51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مضبوطة</w:t>
            </w:r>
          </w:p>
        </w:tc>
      </w:tr>
      <w:tr>
        <w:trPr>
          <w:tblHeader w:val="false"/>
        </w:trPr>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بوابات الإطلاق الأمنية</w:t>
            </w:r>
          </w:p>
        </w:tc>
        <w:tc>
          <w:tcPr>
            <w:tcW w:type="dxa" w:w="51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موجودة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جدار حماية التطبيقات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510"/>
        <w:gridCol w:w="2765"/>
        <w:gridCol w:w="3085"/>
      </w:tblGrid>
      <w:tr>
        <w:trPr>
          <w:tblHeader/>
        </w:trPr>
        <w:tc>
          <w:tcPr>
            <w:tcW w:type="dxa" w:w="351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27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308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35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الأنظمة المشمولة</w:t>
            </w:r>
          </w:p>
        </w:tc>
        <w:tc>
          <w:tcPr>
            <w:tcW w:type="dxa" w:w="27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 من ٢٣</w:t>
            </w:r>
          </w:p>
        </w:tc>
        <w:tc>
          <w:tcPr>
            <w:tcW w:type="dxa" w:w="308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 من ٢٣</w:t>
            </w:r>
          </w:p>
        </w:tc>
      </w:tr>
      <w:tr>
        <w:trPr>
          <w:tblHeader w:val="false"/>
        </w:trPr>
        <w:tc>
          <w:tcPr>
            <w:tcW w:type="dxa" w:w="351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في وضع الحجب</w:t>
            </w:r>
          </w:p>
        </w:tc>
        <w:tc>
          <w:tcPr>
            <w:tcW w:type="dxa" w:w="27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308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w:t>
            </w:r>
          </w:p>
        </w:tc>
      </w:tr>
      <w:tr>
        <w:trPr>
          <w:tblHeader w:val="false"/>
        </w:trPr>
        <w:tc>
          <w:tcPr>
            <w:tcW w:type="dxa" w:w="35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في وضع المراقبة</w:t>
            </w:r>
          </w:p>
        </w:tc>
        <w:tc>
          <w:tcPr>
            <w:tcW w:type="dxa" w:w="27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308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w:t>
            </w:r>
          </w:p>
        </w:tc>
      </w:tr>
      <w:tr>
        <w:trPr>
          <w:tblHeader w:val="false"/>
        </w:trPr>
        <w:tc>
          <w:tcPr>
            <w:tcW w:type="dxa" w:w="351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إرسال السجلات لنظام إدارة الأحداث</w:t>
            </w:r>
          </w:p>
        </w:tc>
        <w:tc>
          <w:tcPr>
            <w:tcW w:type="dxa" w:w="27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مفعَّل</w:t>
            </w:r>
          </w:p>
        </w:tc>
        <w:tc>
          <w:tcPr>
            <w:tcW w:type="dxa" w:w="308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w:t>
            </w:r>
          </w:p>
        </w:tc>
      </w:tr>
      <w:tr>
        <w:trPr>
          <w:tblHeader w:val="false"/>
        </w:trPr>
        <w:tc>
          <w:tcPr>
            <w:tcW w:type="dxa" w:w="35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ضبط القواعد لتقليل الحجب الخاطئ</w:t>
            </w:r>
          </w:p>
        </w:tc>
        <w:tc>
          <w:tcPr>
            <w:tcW w:type="dxa" w:w="27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منفَّذ</w:t>
            </w:r>
          </w:p>
        </w:tc>
        <w:tc>
          <w:tcPr>
            <w:tcW w:type="dxa" w:w="308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منفَّذ خلال فترة ضبط ٣٠ يوماً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نتائج فترة الضبط</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925"/>
        <w:gridCol w:w="6435"/>
      </w:tblGrid>
      <w:tr>
        <w:trPr>
          <w:tblHeader/>
        </w:trPr>
        <w:tc>
          <w:tcPr>
            <w:tcW w:type="dxa" w:w="292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المؤشر</w:t>
            </w:r>
          </w:p>
        </w:tc>
        <w:tc>
          <w:tcPr>
            <w:tcW w:type="dxa" w:w="643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القيمة</w:t>
            </w:r>
          </w:p>
        </w:tc>
      </w:tr>
      <w:tr>
        <w:trPr>
          <w:tblHeader w:val="false"/>
        </w:trPr>
        <w:tc>
          <w:tcPr>
            <w:tcW w:type="dxa" w:w="29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طلبات محجوبة خلال أول ٣٠ يوماً</w:t>
            </w:r>
          </w:p>
        </w:tc>
        <w:tc>
          <w:tcPr>
            <w:tcW w:type="dxa" w:w="64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٤١,٨٦٢</w:t>
            </w:r>
          </w:p>
        </w:tc>
      </w:tr>
      <w:tr>
        <w:trPr>
          <w:tblHeader w:val="false"/>
        </w:trPr>
        <w:tc>
          <w:tcPr>
            <w:tcW w:type="dxa" w:w="29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حجب خاطئ رُصد وصُحّح</w:t>
            </w:r>
          </w:p>
        </w:tc>
        <w:tc>
          <w:tcPr>
            <w:tcW w:type="dxa" w:w="64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٢١٧</w:t>
            </w:r>
          </w:p>
        </w:tc>
      </w:tr>
      <w:tr>
        <w:trPr>
          <w:tblHeader w:val="false"/>
        </w:trPr>
        <w:tc>
          <w:tcPr>
            <w:tcW w:type="dxa" w:w="29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الحجب الخاطئ بعد الضبط</w:t>
            </w:r>
          </w:p>
        </w:tc>
        <w:tc>
          <w:tcPr>
            <w:tcW w:type="dxa" w:w="64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٠.٠٩%</w:t>
            </w:r>
          </w:p>
        </w:tc>
      </w:tr>
      <w:tr>
        <w:trPr>
          <w:tblHeader w:val="false"/>
        </w:trPr>
        <w:tc>
          <w:tcPr>
            <w:tcW w:type="dxa" w:w="29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أنماط هجوم متكررة رُصدت</w:t>
            </w:r>
          </w:p>
        </w:tc>
        <w:tc>
          <w:tcPr>
            <w:tcW w:type="dxa" w:w="64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حقن أوامر قواعد البيانات · اختبار مسارات · محاولات تعداد المعرّفات</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الانتقال المتدرج:</w:t>
      </w:r>
      <w:r>
        <w:rPr>
          <w:rFonts w:ascii="Arial" w:cs="Arial" w:eastAsia="Arial" w:hAnsi="Arial"/>
          <w:b w:val="false"/>
          <w:bCs w:val="false"/>
          <w:color w:val="16202A"/>
          <w:sz w:val="21"/>
          <w:szCs w:val="21"/>
          <w:rtl/>
        </w:rPr>
        <w:t xml:space="preserve"> فُعّل وضع الحجب على ثلاث دفعات خلال ستين يوماً بدل دفعة واحدة، تنفيذاً لقرار اللجنة الإشرافية في محضر SC-1448-001 بعد اعتراض مدير الهندسة على الأثر المحتمل في وتيرة الإصدار.</w:t>
      </w:r>
    </w:p>
    <w:p>
      <w:pPr>
        <w:pStyle w:val="Heading2"/>
        <w:bidi/>
        <w:spacing w:after="120" w:before="280" w:line="300"/>
        <w:jc w:val="start"/>
      </w:pPr>
      <w:r>
        <w:rPr>
          <w:rFonts w:ascii="Arial" w:cs="Arial" w:eastAsia="Arial" w:hAnsi="Arial"/>
          <w:b/>
          <w:bCs/>
          <w:color w:val="15325C"/>
          <w:sz w:val="27"/>
          <w:szCs w:val="27"/>
          <w:rtl/>
        </w:rPr>
        <w:t xml:space="preserve">المعمارية متعددة المستويات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212"/>
        <w:gridCol w:w="2433"/>
        <w:gridCol w:w="2715"/>
      </w:tblGrid>
      <w:tr>
        <w:trPr>
          <w:tblHeader/>
        </w:trPr>
        <w:tc>
          <w:tcPr>
            <w:tcW w:type="dxa" w:w="421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النظام</w:t>
            </w:r>
          </w:p>
        </w:tc>
        <w:tc>
          <w:tcPr>
            <w:tcW w:type="dxa" w:w="24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 قبل</w:t>
            </w:r>
          </w:p>
        </w:tc>
        <w:tc>
          <w:tcPr>
            <w:tcW w:type="dxa" w:w="271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 بعد</w:t>
            </w:r>
          </w:p>
        </w:tc>
      </w:tr>
      <w:tr>
        <w:trPr>
          <w:tblHeader w:val="false"/>
        </w:trPr>
        <w:tc>
          <w:tcPr>
            <w:tcW w:type="dxa" w:w="42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مبنية حديثاً</w:t>
            </w:r>
          </w:p>
        </w:tc>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 — مطبَّقة</w:t>
            </w:r>
          </w:p>
        </w:tc>
        <w:tc>
          <w:tcPr>
            <w:tcW w:type="dxa" w:w="271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 — مطبَّقة</w:t>
            </w:r>
          </w:p>
        </w:tc>
      </w:tr>
      <w:tr>
        <w:trPr>
          <w:tblHeader w:val="false"/>
        </w:trPr>
        <w:tc>
          <w:tcPr>
            <w:tcW w:type="dxa" w:w="421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قديمة تصل للبيانات مباشرة من طبقة العرض</w:t>
            </w:r>
          </w:p>
        </w:tc>
        <w:tc>
          <w:tcPr>
            <w:tcW w:type="dxa" w:w="24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271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 — أُعيد تصميم مسار الوصول</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لم يُعَد بناء الأنظمة التسعة، بل أُدرج وسيط تطبيقي بينها وبين طبقة البيانات، وأُغلقت المسارات المباشرة على مستوى الشبكة وفق معيار العزل CS-STD-005.</w:t>
      </w:r>
    </w:p>
    <w:p>
      <w:pPr>
        <w:pStyle w:val="Heading2"/>
        <w:bidi/>
        <w:spacing w:after="120" w:before="280" w:line="300"/>
        <w:jc w:val="start"/>
      </w:pPr>
      <w:r>
        <w:rPr>
          <w:rFonts w:ascii="Arial" w:cs="Arial" w:eastAsia="Arial" w:hAnsi="Arial"/>
          <w:b/>
          <w:bCs/>
          <w:color w:val="15325C"/>
          <w:sz w:val="27"/>
          <w:szCs w:val="27"/>
          <w:rtl/>
        </w:rPr>
        <w:t xml:space="preserve">المصادقة متعددة العناصر لمستخدمي التطبيقات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988"/>
        <w:gridCol w:w="2045"/>
        <w:gridCol w:w="2045"/>
        <w:gridCol w:w="2282"/>
      </w:tblGrid>
      <w:tr>
        <w:trPr>
          <w:tblHeader/>
        </w:trPr>
        <w:tc>
          <w:tcPr>
            <w:tcW w:type="dxa" w:w="29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فئة المستخدم</w:t>
            </w:r>
          </w:p>
        </w:tc>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العدد التقريبي</w:t>
            </w:r>
          </w:p>
        </w:tc>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228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29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حسابات إدارية داخل التطبيقات</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٤١٢</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٧٨ مفعَّلة</w:t>
            </w:r>
          </w:p>
        </w:tc>
        <w:tc>
          <w:tcPr>
            <w:tcW w:type="dxa" w:w="22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٤١٢ مفعَّلة</w:t>
            </w:r>
          </w:p>
        </w:tc>
      </w:tr>
      <w:tr>
        <w:trPr>
          <w:tblHeader w:val="false"/>
        </w:trPr>
        <w:tc>
          <w:tcPr>
            <w:tcW w:type="dxa" w:w="29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مستخدمو الجهات العميلة بصلاحيات معالجة</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٢,٨٤٠</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مفعَّلة</w:t>
            </w:r>
          </w:p>
        </w:tc>
        <w:tc>
          <w:tcPr>
            <w:tcW w:type="dxa" w:w="22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مفعَّلة</w:t>
            </w:r>
          </w:p>
        </w:tc>
      </w:tr>
      <w:tr>
        <w:trPr>
          <w:tblHeader w:val="false"/>
        </w:trPr>
        <w:tc>
          <w:tcPr>
            <w:tcW w:type="dxa" w:w="29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مستفيدون يصلون لبياناتهم الشخصية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 يزيد على ٤٠٠ ألف</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مفعَّلة</w:t>
            </w:r>
          </w:p>
        </w:tc>
        <w:tc>
          <w:tcPr>
            <w:tcW w:type="dxa" w:w="22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عبر منصة الدخول الوطني الموحد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الاستخدام الآمن لبروتوكولات التصفح</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434"/>
        <w:gridCol w:w="3926"/>
      </w:tblGrid>
      <w:tr>
        <w:trPr>
          <w:tblHeader/>
        </w:trPr>
        <w:tc>
          <w:tcPr>
            <w:tcW w:type="dxa" w:w="54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39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الأنظمة المطبَّق عليها</w:t>
            </w:r>
          </w:p>
        </w:tc>
      </w:tr>
      <w:tr>
        <w:trPr>
          <w:tblHeader w:val="false"/>
        </w:trPr>
        <w:tc>
          <w:tcPr>
            <w:tcW w:type="dxa" w:w="54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TLS ١.٢ فأعلى مع إعادة توجيه إجبارية</w:t>
            </w:r>
          </w:p>
        </w:tc>
        <w:tc>
          <w:tcPr>
            <w:tcW w:type="dxa" w:w="39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 من ٢٣</w:t>
            </w:r>
          </w:p>
        </w:tc>
      </w:tr>
      <w:tr>
        <w:trPr>
          <w:tblHeader w:val="false"/>
        </w:trPr>
        <w:tc>
          <w:tcPr>
            <w:tcW w:type="dxa" w:w="54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ترويسة النقل الآمن الإجباري</w:t>
            </w:r>
          </w:p>
        </w:tc>
        <w:tc>
          <w:tcPr>
            <w:tcW w:type="dxa" w:w="39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 من ٢٣</w:t>
            </w:r>
          </w:p>
        </w:tc>
      </w:tr>
      <w:tr>
        <w:trPr>
          <w:tblHeader w:val="false"/>
        </w:trPr>
        <w:tc>
          <w:tcPr>
            <w:tcW w:type="dxa" w:w="54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منع التضمين في إطارات</w:t>
            </w:r>
          </w:p>
        </w:tc>
        <w:tc>
          <w:tcPr>
            <w:tcW w:type="dxa" w:w="39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 من ٢٣</w:t>
            </w:r>
          </w:p>
        </w:tc>
      </w:tr>
      <w:tr>
        <w:trPr>
          <w:tblHeader w:val="false"/>
        </w:trPr>
        <w:tc>
          <w:tcPr>
            <w:tcW w:type="dxa" w:w="54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منع تخمين نوع المحتوى</w:t>
            </w:r>
          </w:p>
        </w:tc>
        <w:tc>
          <w:tcPr>
            <w:tcW w:type="dxa" w:w="39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 من ٢٣</w:t>
            </w:r>
          </w:p>
        </w:tc>
      </w:tr>
      <w:tr>
        <w:trPr>
          <w:tblHeader w:val="false"/>
        </w:trPr>
        <w:tc>
          <w:tcPr>
            <w:tcW w:type="dxa" w:w="54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أمان المحتوى</w:t>
            </w:r>
          </w:p>
        </w:tc>
        <w:tc>
          <w:tcPr>
            <w:tcW w:type="dxa" w:w="39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١٩ من ٢٣ · ٤ قيد الضبط</w:t>
            </w:r>
          </w:p>
        </w:tc>
      </w:tr>
      <w:tr>
        <w:trPr>
          <w:tblHeader w:val="false"/>
        </w:trPr>
        <w:tc>
          <w:tcPr>
            <w:tcW w:type="dxa" w:w="54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خصائص أمان ملفات الارتباط</w:t>
            </w:r>
          </w:p>
        </w:tc>
        <w:tc>
          <w:tcPr>
            <w:tcW w:type="dxa" w:w="39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 من ٢٣</w:t>
            </w:r>
          </w:p>
        </w:tc>
      </w:tr>
      <w:tr>
        <w:trPr>
          <w:tblHeader w:val="false"/>
        </w:trPr>
        <w:tc>
          <w:tcPr>
            <w:tcW w:type="dxa" w:w="54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إخفاء إصدارات الخوادم والأطر</w:t>
            </w:r>
          </w:p>
        </w:tc>
        <w:tc>
          <w:tcPr>
            <w:tcW w:type="dxa" w:w="39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 من ٢٣</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أمن الواجهات البرمجية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08"/>
        <w:gridCol w:w="1994"/>
        <w:gridCol w:w="4758"/>
      </w:tblGrid>
      <w:tr>
        <w:trPr>
          <w:tblHeader/>
        </w:trPr>
        <w:tc>
          <w:tcPr>
            <w:tcW w:type="dxa" w:w="260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199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475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260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واجهات تمر عبر البوابة</w:t>
            </w:r>
          </w:p>
        </w:tc>
        <w:tc>
          <w:tcPr>
            <w:tcW w:type="dxa" w:w="19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١٨٦ من ٢٤١</w:t>
            </w:r>
          </w:p>
        </w:tc>
        <w:tc>
          <w:tcPr>
            <w:tcW w:type="dxa" w:w="47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٢٤١ من ٢٤١</w:t>
            </w:r>
          </w:p>
        </w:tc>
      </w:tr>
      <w:tr>
        <w:trPr>
          <w:tblHeader w:val="false"/>
        </w:trPr>
        <w:tc>
          <w:tcPr>
            <w:tcW w:type="dxa" w:w="260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واجهات غير موثقة في الإنتاج</w:t>
            </w:r>
          </w:p>
        </w:tc>
        <w:tc>
          <w:tcPr>
            <w:tcW w:type="dxa" w:w="19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٥٥</w:t>
            </w:r>
          </w:p>
        </w:tc>
        <w:tc>
          <w:tcPr>
            <w:tcW w:type="dxa" w:w="47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w:t>
            </w:r>
          </w:p>
        </w:tc>
      </w:tr>
      <w:tr>
        <w:trPr>
          <w:tblHeader w:val="false"/>
        </w:trPr>
        <w:tc>
          <w:tcPr>
            <w:tcW w:type="dxa" w:w="260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التفويض على مستوى كل طلب</w:t>
            </w:r>
          </w:p>
        </w:tc>
        <w:tc>
          <w:tcPr>
            <w:tcW w:type="dxa" w:w="19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جزئي</w:t>
            </w:r>
          </w:p>
        </w:tc>
        <w:tc>
          <w:tcPr>
            <w:tcW w:type="dxa" w:w="47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 عولجت الملاحظة الحرجة الأولى في تقرير اختبار الاختراق</w:t>
            </w:r>
          </w:p>
        </w:tc>
      </w:tr>
      <w:tr>
        <w:trPr>
          <w:tblHeader w:val="false"/>
        </w:trPr>
        <w:tc>
          <w:tcPr>
            <w:tcW w:type="dxa" w:w="260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الحد من معدل الطلبات</w:t>
            </w:r>
          </w:p>
        </w:tc>
        <w:tc>
          <w:tcPr>
            <w:tcW w:type="dxa" w:w="19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مفعَّل</w:t>
            </w:r>
          </w:p>
        </w:tc>
        <w:tc>
          <w:tcPr>
            <w:tcW w:type="dxa" w:w="47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 على نقاط المصادقة وجميع الواجهات</w:t>
            </w:r>
          </w:p>
        </w:tc>
      </w:tr>
      <w:tr>
        <w:trPr>
          <w:tblHeader w:val="false"/>
        </w:trPr>
        <w:tc>
          <w:tcPr>
            <w:tcW w:type="dxa" w:w="260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تقييد الحقول المُرجَعة</w:t>
            </w:r>
          </w:p>
        </w:tc>
        <w:tc>
          <w:tcPr>
            <w:tcW w:type="dxa" w:w="19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مطبَّق</w:t>
            </w:r>
          </w:p>
        </w:tc>
        <w:tc>
          <w:tcPr>
            <w:tcW w:type="dxa" w:w="47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بوابات الإطلاق</w:t>
      </w:r>
    </w:p>
    <w:p>
      <w:pPr>
        <w:bidi/>
        <w:spacing w:after="140" w:before="0" w:line="300"/>
        <w:jc w:val="start"/>
      </w:pPr>
      <w:r>
        <w:rPr>
          <w:rFonts w:ascii="Arial" w:cs="Arial" w:eastAsia="Arial" w:hAnsi="Arial"/>
          <w:b w:val="false"/>
          <w:bCs w:val="false"/>
          <w:color w:val="16202A"/>
          <w:sz w:val="21"/>
          <w:szCs w:val="21"/>
          <w:rtl/>
        </w:rPr>
        <w:t xml:space="preserve">فُعّلت البوابات الست الإلزامية قبل الإطلاق على جميع خطوط النشر: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35"/>
        <w:gridCol w:w="4290"/>
        <w:gridCol w:w="2535"/>
      </w:tblGrid>
      <w:tr>
        <w:trPr>
          <w:tblHeader/>
        </w:trPr>
        <w:tc>
          <w:tcPr>
            <w:tcW w:type="dxa" w:w="253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429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البوابة</w:t>
            </w:r>
          </w:p>
        </w:tc>
        <w:tc>
          <w:tcPr>
            <w:tcW w:type="dxa" w:w="253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حالة التفعيل</w:t>
            </w:r>
          </w:p>
        </w:tc>
      </w:tr>
      <w:tr>
        <w:trPr>
          <w:tblHeader w:val="false"/>
        </w:trPr>
        <w:tc>
          <w:tcPr>
            <w:tcW w:type="dxa" w:w="25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429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أمني للكود دون ثغرات حرجة أو عالية</w:t>
            </w:r>
          </w:p>
        </w:tc>
        <w:tc>
          <w:tcPr>
            <w:tcW w:type="dxa" w:w="25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مفعَّلة على ٢٣ خط نشر</w:t>
            </w:r>
          </w:p>
        </w:tc>
      </w:tr>
      <w:tr>
        <w:trPr>
          <w:tblHeader w:val="false"/>
        </w:trPr>
        <w:tc>
          <w:tcPr>
            <w:tcW w:type="dxa" w:w="25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429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المكتبات والمكوّنات المدمجة</w:t>
            </w:r>
          </w:p>
        </w:tc>
        <w:tc>
          <w:tcPr>
            <w:tcW w:type="dxa" w:w="25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مفعَّلة على ٢٣</w:t>
            </w:r>
          </w:p>
        </w:tc>
      </w:tr>
      <w:tr>
        <w:trPr>
          <w:tblHeader w:val="false"/>
        </w:trPr>
        <w:tc>
          <w:tcPr>
            <w:tcW w:type="dxa" w:w="25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429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تفعيل جدار حماية التطبيقات في وضع الحجب</w:t>
            </w:r>
          </w:p>
        </w:tc>
        <w:tc>
          <w:tcPr>
            <w:tcW w:type="dxa" w:w="25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مفعَّلة</w:t>
            </w:r>
          </w:p>
        </w:tc>
      </w:tr>
      <w:tr>
        <w:trPr>
          <w:tblHeader w:val="false"/>
        </w:trPr>
        <w:tc>
          <w:tcPr>
            <w:tcW w:type="dxa" w:w="25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429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ترويسات الأمان</w:t>
            </w:r>
          </w:p>
        </w:tc>
        <w:tc>
          <w:tcPr>
            <w:tcW w:type="dxa" w:w="25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مفعَّلة آلياً</w:t>
            </w:r>
          </w:p>
        </w:tc>
      </w:tr>
      <w:tr>
        <w:trPr>
          <w:tblHeader w:val="false"/>
        </w:trPr>
        <w:tc>
          <w:tcPr>
            <w:tcW w:type="dxa" w:w="25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429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اختراق وإغلاق الثغرات الحرجة والعالية</w:t>
            </w:r>
          </w:p>
        </w:tc>
        <w:tc>
          <w:tcPr>
            <w:tcW w:type="dxa" w:w="25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مفعَّلة للإصدارات الرئيسية</w:t>
            </w:r>
          </w:p>
        </w:tc>
      </w:tr>
      <w:tr>
        <w:trPr>
          <w:tblHeader w:val="false"/>
        </w:trPr>
        <w:tc>
          <w:tcPr>
            <w:tcW w:type="dxa" w:w="25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429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مخاطر الإطلاق</w:t>
            </w:r>
          </w:p>
        </w:tc>
        <w:tc>
          <w:tcPr>
            <w:tcW w:type="dxa" w:w="25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أثر البوابات على وتيرة الإصدار:</w:t>
      </w:r>
      <w:r>
        <w:rPr>
          <w:rFonts w:ascii="Arial" w:cs="Arial" w:eastAsia="Arial" w:hAnsi="Arial"/>
          <w:b w:val="false"/>
          <w:bCs w:val="false"/>
          <w:color w:val="16202A"/>
          <w:sz w:val="21"/>
          <w:szCs w:val="21"/>
          <w:rtl/>
        </w:rPr>
        <w:t xml:space="preserve"> ارتفع متوسط زمن دورة الإصدار من ٣٫٢ يوم إلى ٤٫١ يوم خلال الشهر الأول، ثم عاد إلى ٣٫٥ يوم بعد أتمتة البوابات الأربع الأولى. ورُفع القياس للجنة الإشرافية كما طُلب في محضرها الأول.</w:t>
      </w:r>
    </w:p>
    <w:p>
      <w:pPr>
        <w:pStyle w:val="Heading2"/>
        <w:bidi/>
        <w:spacing w:after="120" w:before="280" w:line="300"/>
        <w:jc w:val="start"/>
      </w:pPr>
      <w:r>
        <w:rPr>
          <w:rFonts w:ascii="Arial" w:cs="Arial" w:eastAsia="Arial" w:hAnsi="Arial"/>
          <w:b/>
          <w:bCs/>
          <w:color w:val="15325C"/>
          <w:sz w:val="27"/>
          <w:szCs w:val="27"/>
          <w:rtl/>
        </w:rPr>
        <w:t xml:space="preserve">الأثر على سجل المخاطر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172"/>
        <w:gridCol w:w="2062"/>
        <w:gridCol w:w="2062"/>
        <w:gridCol w:w="2064"/>
      </w:tblGrid>
      <w:tr>
        <w:trPr>
          <w:tblHeader/>
        </w:trPr>
        <w:tc>
          <w:tcPr>
            <w:tcW w:type="dxa" w:w="31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المخاطرة</w:t>
            </w:r>
          </w:p>
        </w:tc>
        <w:tc>
          <w:tcPr>
            <w:tcW w:type="dxa" w:w="20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الدرجة قبل</w:t>
            </w:r>
          </w:p>
        </w:tc>
        <w:tc>
          <w:tcPr>
            <w:tcW w:type="dxa" w:w="20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الدرجة بعد</w:t>
            </w:r>
          </w:p>
        </w:tc>
        <w:tc>
          <w:tcPr>
            <w:tcW w:type="dxa" w:w="206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r>
      <w:tr>
        <w:trPr>
          <w:tblHeader w:val="false"/>
        </w:trPr>
        <w:tc>
          <w:tcPr>
            <w:tcW w:type="dxa" w:w="31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R-10 — اختراق تطبيق ويب منشور دون اختبار</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١٦ — حرجة</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 — منخفضة</w:t>
            </w:r>
          </w:p>
        </w:tc>
        <w:tc>
          <w:tcPr>
            <w:tcW w:type="dxa" w:w="20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مغلقة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الفجوات المتبقية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29"/>
        <w:gridCol w:w="3378"/>
        <w:gridCol w:w="2322"/>
        <w:gridCol w:w="1831"/>
      </w:tblGrid>
      <w:tr>
        <w:trPr>
          <w:tblHeader/>
        </w:trPr>
        <w:tc>
          <w:tcPr>
            <w:tcW w:type="dxa" w:w="182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337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الفجوة</w:t>
            </w:r>
          </w:p>
        </w:tc>
        <w:tc>
          <w:tcPr>
            <w:tcW w:type="dxa" w:w="232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18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الموعد</w:t>
            </w:r>
          </w:p>
        </w:tc>
      </w:tr>
      <w:tr>
        <w:trPr>
          <w:tblHeader w:val="false"/>
        </w:trPr>
        <w:tc>
          <w:tcPr>
            <w:tcW w:type="dxa" w:w="1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33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أربعة أنظمة دون سياسة أمان محتوى مضبوطة</w:t>
            </w:r>
          </w:p>
        </w:tc>
        <w:tc>
          <w:tcPr>
            <w:tcW w:type="dxa" w:w="23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ضبط السياسة دون كسر وظائف التطبيق</w:t>
            </w:r>
          </w:p>
        </w:tc>
        <w:tc>
          <w:tcPr>
            <w:tcW w:type="dxa" w:w="18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٦٠ يوماً</w:t>
            </w:r>
          </w:p>
        </w:tc>
      </w:tr>
      <w:tr>
        <w:trPr>
          <w:tblHeader w:val="false"/>
        </w:trPr>
        <w:tc>
          <w:tcPr>
            <w:tcW w:type="dxa" w:w="18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33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خمس ملاحظات متوسطة من اختبار الاختراق ضمن مهلتها</w:t>
            </w:r>
          </w:p>
        </w:tc>
        <w:tc>
          <w:tcPr>
            <w:tcW w:type="dxa" w:w="23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المعالجة والتحقق</w:t>
            </w:r>
          </w:p>
        </w:tc>
        <w:tc>
          <w:tcPr>
            <w:tcW w:type="dxa" w:w="18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المهل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الأثر على الضوابط</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069"/>
        <w:gridCol w:w="2645"/>
        <w:gridCol w:w="2646"/>
      </w:tblGrid>
      <w:tr>
        <w:trPr>
          <w:tblHeader/>
        </w:trPr>
        <w:tc>
          <w:tcPr>
            <w:tcW w:type="dxa" w:w="406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26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26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40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٢-١٥-٢ تطبيق متطلبات حماية تطبيقات الويب</w:t>
            </w:r>
          </w:p>
        </w:tc>
        <w:tc>
          <w:tcPr>
            <w:tcW w:type="dxa" w:w="26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جزئياً</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بالكامل</w:t>
            </w:r>
          </w:p>
        </w:tc>
      </w:tr>
      <w:tr>
        <w:trPr>
          <w:tblHeader w:val="false"/>
        </w:trPr>
        <w:tc>
          <w:tcPr>
            <w:tcW w:type="dxa" w:w="40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٢-١٥-٣ تغطية المتطلبات</w:t>
            </w:r>
          </w:p>
        </w:tc>
        <w:tc>
          <w:tcPr>
            <w:tcW w:type="dxa" w:w="26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جزئياً</w:t>
            </w:r>
          </w:p>
        </w:tc>
        <w:tc>
          <w:tcPr>
            <w:tcW w:type="dxa" w:w="26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بالكامل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97"/>
        <w:gridCol w:w="3066"/>
        <w:gridCol w:w="2097"/>
        <w:gridCol w:w="2100"/>
      </w:tblGrid>
      <w:tr>
        <w:trPr>
          <w:tblHeader/>
        </w:trPr>
        <w:tc>
          <w:tcPr>
            <w:tcW w:type="dxa" w:w="20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0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نفّذ المشروع</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طلال الحربي — مدير الهندسة والتطوير</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راجع النتائج</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النتائج</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CS-REG-017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CS-REG-017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CS-REG-017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2026-10-04T11:48:02.095Z</dcterms:created>
  <dcterms:modified xsi:type="dcterms:W3CDTF">2026-10-04T11:48:02.095Z</dcterms:modified>
</cp:coreProperties>
</file>

<file path=docProps/custom.xml><?xml version="1.0" encoding="utf-8"?>
<Properties xmlns="http://schemas.openxmlformats.org/officeDocument/2006/custom-properties" xmlns:vt="http://schemas.openxmlformats.org/officeDocument/2006/docPropsVTypes"/>
</file>