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حماية تطبيقات الويب الخارجية</w:t>
            </w:r>
          </w:p>
          <w:p>
            <w:pPr>
              <w:bidi/>
              <w:spacing w:after="260" w:before="0" w:line="300"/>
              <w:jc w:val="start"/>
            </w:pPr>
            <w:r>
              <w:rPr>
                <w:rFonts w:ascii="Arial" w:cs="Arial" w:eastAsia="Arial" w:hAnsi="Arial"/>
                <w:b w:val="false"/>
                <w:bCs w:val="false"/>
                <w:color w:val="AFC4D4"/>
                <w:sz w:val="22"/>
                <w:szCs w:val="22"/>
                <w:rtl/>
              </w:rPr>
              <w:t xml:space="preserve">جدار حماية التطبيقات · المعمارية · التطوير الآمن · بوابات الإطلاق</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الهندسة والتطوير</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2-15-1</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حماية تطبيقات الويب الخارجية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متطلبات حماية تطبيقات الويب وواجهاتها البرمجية المنشورة على الإنترنت في شركة نَسَق للحلول الرقمية، وهي الواجهة الأكثر تعرضاً للهجوم لأن جميع خدمات الشركة تُقدَّم عبرها، ويُعدّ مخرَجاً من حزمة العمل WP-12.</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الأنظمة الثلاثة والعشرون المستضافة للجهات العميلة، وبوابة الواجهات البرمجية، وبوابات الخدمات الإلكترونية، وأي تطبيق ويب جديد قبل إطلاقه.</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784"/>
        <w:gridCol w:w="4576"/>
      </w:tblGrid>
      <w:tr>
        <w:trPr>
          <w:tblHeader/>
        </w:trPr>
        <w:tc>
          <w:tcPr>
            <w:tcW w:type="dxa" w:w="478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5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7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٢-١٥</w:t>
            </w:r>
          </w:p>
        </w:tc>
        <w:tc>
          <w:tcPr>
            <w:tcW w:type="dxa" w:w="45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المعيار</w:t>
            </w:r>
          </w:p>
        </w:tc>
      </w:tr>
      <w:tr>
        <w:trPr>
          <w:tblHeader w:val="false"/>
        </w:trPr>
        <w:tc>
          <w:tcPr>
            <w:tcW w:type="dxa" w:w="47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عزل البيئات وتقسيم الشبكة CS-STD-005</w:t>
            </w:r>
          </w:p>
        </w:tc>
        <w:tc>
          <w:tcPr>
            <w:tcW w:type="dxa" w:w="45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المنطقة المحايدة والمعمارية متعددة المستويات</w:t>
            </w:r>
          </w:p>
        </w:tc>
      </w:tr>
      <w:tr>
        <w:trPr>
          <w:tblHeader w:val="false"/>
        </w:trPr>
        <w:tc>
          <w:tcPr>
            <w:tcW w:type="dxa" w:w="47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التشفير وإدارة مفاتيح التشفير CS-STD-004</w:t>
            </w:r>
          </w:p>
        </w:tc>
        <w:tc>
          <w:tcPr>
            <w:tcW w:type="dxa" w:w="45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بروتوكولات النقل الآمن والشهادات</w:t>
            </w:r>
          </w:p>
        </w:tc>
      </w:tr>
      <w:tr>
        <w:trPr>
          <w:tblHeader w:val="false"/>
        </w:trPr>
        <w:tc>
          <w:tcPr>
            <w:tcW w:type="dxa" w:w="47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اختبار الاختراق CS-STD-009</w:t>
            </w:r>
          </w:p>
        </w:tc>
        <w:tc>
          <w:tcPr>
            <w:tcW w:type="dxa" w:w="45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قبل الإطلاق</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المتطلبات الإلزامية</w:t>
      </w:r>
    </w:p>
    <w:p>
      <w:pPr>
        <w:pStyle w:val="Heading3"/>
        <w:bidi/>
        <w:spacing w:after="90" w:before="200" w:line="300"/>
        <w:jc w:val="start"/>
      </w:pPr>
      <w:r>
        <w:rPr>
          <w:rFonts w:ascii="Arial" w:cs="Arial" w:eastAsia="Arial" w:hAnsi="Arial"/>
          <w:b/>
          <w:bCs/>
          <w:color w:val="0C1F3D"/>
          <w:sz w:val="23"/>
          <w:szCs w:val="23"/>
          <w:rtl/>
        </w:rPr>
        <w:t xml:space="preserve">أولاً: جدار حماية التطبيقات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يُفعَّل جدار حماية تطبيقات أمام كل تطبيق ويب منشور دون استثناء.</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يعمل في </w:t>
      </w:r>
      <w:r>
        <w:rPr>
          <w:rFonts w:ascii="Arial" w:cs="Arial" w:eastAsia="Arial" w:hAnsi="Arial"/>
          <w:b/>
          <w:bCs/>
          <w:color w:val="15325C"/>
          <w:sz w:val="21"/>
          <w:szCs w:val="21"/>
          <w:rtl/>
        </w:rPr>
        <w:t xml:space="preserve">وضع الحجب</w:t>
      </w:r>
      <w:r>
        <w:rPr>
          <w:rFonts w:ascii="Arial" w:cs="Arial" w:eastAsia="Arial" w:hAnsi="Arial"/>
          <w:b w:val="false"/>
          <w:bCs w:val="false"/>
          <w:color w:val="16202A"/>
          <w:sz w:val="21"/>
          <w:szCs w:val="21"/>
          <w:rtl/>
        </w:rPr>
        <w:t xml:space="preserve"> لا وضع المراقبة، ويُسمح بوضع المراقبة مؤقتاً لمدة لا تتجاوز ثلاثين يوماً عند الإطلاق لضبط القواعد.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تُحدَّث قواعده دورياً وتُضبط لتقليل الإيجابيات الخاطئة دون تعطيل الحماية.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تُرسل سجلاته إلى نظام إدارة الأحداث.</w:t>
      </w:r>
    </w:p>
    <w:p>
      <w:pPr>
        <w:pStyle w:val="Heading3"/>
        <w:bidi/>
        <w:spacing w:after="90" w:before="200" w:line="300"/>
        <w:jc w:val="start"/>
      </w:pPr>
      <w:r>
        <w:rPr>
          <w:rFonts w:ascii="Arial" w:cs="Arial" w:eastAsia="Arial" w:hAnsi="Arial"/>
          <w:b/>
          <w:bCs/>
          <w:color w:val="0C1F3D"/>
          <w:sz w:val="23"/>
          <w:szCs w:val="23"/>
          <w:rtl/>
        </w:rPr>
        <w:t xml:space="preserve">ثانياً: المعمارية متعددة المستويات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863"/>
        <w:gridCol w:w="2863"/>
        <w:gridCol w:w="3634"/>
      </w:tblGrid>
      <w:tr>
        <w:trPr>
          <w:tblHeader/>
        </w:trPr>
        <w:tc>
          <w:tcPr>
            <w:tcW w:type="dxa" w:w="28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28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الموقع الشبكي</w:t>
            </w:r>
          </w:p>
        </w:tc>
        <w:tc>
          <w:tcPr>
            <w:tcW w:type="dxa" w:w="36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القيد</w:t>
            </w:r>
          </w:p>
        </w:tc>
      </w:tr>
      <w:tr>
        <w:trPr>
          <w:tblHeader w:val="false"/>
        </w:trPr>
        <w:tc>
          <w:tcPr>
            <w:tcW w:type="dxa" w:w="2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العرض</w:t>
            </w:r>
          </w:p>
        </w:tc>
        <w:tc>
          <w:tcPr>
            <w:tcW w:type="dxa" w:w="2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المنطقة المحايدة Z2</w:t>
            </w:r>
          </w:p>
        </w:tc>
        <w:tc>
          <w:tcPr>
            <w:tcW w:type="dxa" w:w="3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يحتفظ ببيانات دائمة</w:t>
            </w:r>
          </w:p>
        </w:tc>
      </w:tr>
      <w:tr>
        <w:trPr>
          <w:tblHeader w:val="false"/>
        </w:trPr>
        <w:tc>
          <w:tcPr>
            <w:tcW w:type="dxa" w:w="28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التطبيق</w:t>
            </w:r>
          </w:p>
        </w:tc>
        <w:tc>
          <w:tcPr>
            <w:tcW w:type="dxa" w:w="28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تطبيقات الإنتاج Z3</w:t>
            </w:r>
          </w:p>
        </w:tc>
        <w:tc>
          <w:tcPr>
            <w:tcW w:type="dxa" w:w="36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يُوصل إليه من الإنترنت مباشرة</w:t>
            </w:r>
          </w:p>
        </w:tc>
      </w:tr>
      <w:tr>
        <w:trPr>
          <w:tblHeader w:val="false"/>
        </w:trPr>
        <w:tc>
          <w:tcPr>
            <w:tcW w:type="dxa" w:w="2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البيانات</w:t>
            </w:r>
          </w:p>
        </w:tc>
        <w:tc>
          <w:tcPr>
            <w:tcW w:type="dxa" w:w="28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بيانات الإنتاج Z4</w:t>
            </w:r>
          </w:p>
        </w:tc>
        <w:tc>
          <w:tcPr>
            <w:tcW w:type="dxa" w:w="3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يُوصل إليه من مستوى التطبيق حصراً</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لا يُسمح باتصال مباشر من المنطقة المحايدة إلى مستوى البيانات.</w:t>
      </w:r>
    </w:p>
    <w:p>
      <w:pPr>
        <w:pStyle w:val="Heading3"/>
        <w:bidi/>
        <w:spacing w:after="90" w:before="200" w:line="300"/>
        <w:jc w:val="start"/>
      </w:pPr>
      <w:r>
        <w:rPr>
          <w:rFonts w:ascii="Arial" w:cs="Arial" w:eastAsia="Arial" w:hAnsi="Arial"/>
          <w:b/>
          <w:bCs/>
          <w:color w:val="0C1F3D"/>
          <w:sz w:val="23"/>
          <w:szCs w:val="23"/>
          <w:rtl/>
        </w:rPr>
        <w:t xml:space="preserve">ثالثاً: الاستخدام الآمن لبروتوكولات التصفح</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القيمة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بروتوكول النقل</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TLS ١.٢ كحد أدنى · إعادة توجيه إجبارية من غير المشفَّر</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ترويسات الأمان</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ترويسات النقل الآمن الإجباري ومنع التضمين في إطارات ومنع تخمين نوع المحتوى وسياسة أمان المحتوى</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ملفات الارتباط</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خصائص الأمان والحصر على البروتوكول الآمن ومنع الوصول من البرمجة النصية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الشهادات</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 جهة إصدار معتمدة · مراقبة آلية للصلاحية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إخفاء معلومات المنصة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إظهار إصدارات الخوادم والأطر البرمجية في الاستجابات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رابعاً: المصادقة متعددة العناصر لمستخدمي التطبيقات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تُفعَّل المصادقة متعددة العناصر لمستخدمي التطبيقات الذين يصلون إلى بيانات حساسة أو ينفّذون عمليات مالية.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تُفعَّل إلزامياً لكل حساب إداري داخل التطبيق.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يُدعم التكامل مع منصة الدخول الوطني الموحد حيث تتطلب الجهة العميلة ذلك.</w:t>
      </w:r>
    </w:p>
    <w:p>
      <w:pPr>
        <w:pStyle w:val="Heading3"/>
        <w:bidi/>
        <w:spacing w:after="90" w:before="200" w:line="300"/>
        <w:jc w:val="start"/>
      </w:pPr>
      <w:r>
        <w:rPr>
          <w:rFonts w:ascii="Arial" w:cs="Arial" w:eastAsia="Arial" w:hAnsi="Arial"/>
          <w:b/>
          <w:bCs/>
          <w:color w:val="0C1F3D"/>
          <w:sz w:val="23"/>
          <w:szCs w:val="23"/>
          <w:rtl/>
        </w:rPr>
        <w:t xml:space="preserve">خامساً: متطلبات التطوير الآمن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المدخلات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جانب الخادم إلزامي ولا يُكتفى بالتحقق من جانب العميل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الاستعلامات</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استعلامات معاملية تمنع حقن أوامر قواعد البيانات</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ترميز المخرجات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ترميز كل مخرج يُعرض للمستخدم لمنع البرمجة النصية عبر المواقع</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الجلسات</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معرّفات جلسات عشوائية · انتهاء صلاحية · إبطال عند الخروج</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رسائل الخطأ</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تكشف تفاصيل تقنية ولا مسارات ولا استعلامات</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رفع الملفات</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النوع والحجم وفحصها من البرمجيات الضارة وتخزينها خارج جذر التطبيق</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من المعدل</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نقاط المصادقة والواجهات البرمجية من الطلبات المفرطة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التسجيل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محاولات المصادقة الفاشلة والعمليات الحساسة دون تسجيل بيانات حساسة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سادساً: أمن الواجهات البرمجية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تمرّ جميع الواجهات البرمجية عبر بوابة الواجهات البرمجية، ولا تُنشر واجهة مباشرة.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تُوثَّق كل واجهة ويُحدَّد مالكها، ويُمنع وجود واجهات غير موثقة في الإنتاج.</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تُطبَّق المصادقة والتفويض على مستوى كل طلب لا على مستوى الجلسة فقط.</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إرجاع حقول أكثر مما يحتاجه المستهلك.</w:t>
      </w:r>
    </w:p>
    <w:p>
      <w:pPr>
        <w:pStyle w:val="Heading2"/>
        <w:bidi/>
        <w:spacing w:after="120" w:before="280" w:line="300"/>
        <w:jc w:val="start"/>
      </w:pPr>
      <w:r>
        <w:rPr>
          <w:rFonts w:ascii="Arial" w:cs="Arial" w:eastAsia="Arial" w:hAnsi="Arial"/>
          <w:b/>
          <w:bCs/>
          <w:color w:val="15325C"/>
          <w:sz w:val="27"/>
          <w:szCs w:val="27"/>
          <w:rtl/>
        </w:rPr>
        <w:t xml:space="preserve">بوابات ما قبل الإطلاق</w:t>
      </w:r>
    </w:p>
    <w:p>
      <w:pPr>
        <w:bidi/>
        <w:spacing w:after="140" w:before="0" w:line="300"/>
        <w:jc w:val="start"/>
      </w:pPr>
      <w:r>
        <w:rPr>
          <w:rFonts w:ascii="Arial" w:cs="Arial" w:eastAsia="Arial" w:hAnsi="Arial"/>
          <w:b w:val="false"/>
          <w:bCs w:val="false"/>
          <w:color w:val="16202A"/>
          <w:sz w:val="21"/>
          <w:szCs w:val="21"/>
          <w:rtl/>
        </w:rPr>
        <w:t xml:space="preserve">لا يُطلق تطبيق ويب إلى الإنتاج قبل استيفاء ما يلي: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09"/>
        <w:gridCol w:w="4540"/>
        <w:gridCol w:w="2411"/>
      </w:tblGrid>
      <w:tr>
        <w:trPr>
          <w:tblHeader/>
        </w:trPr>
        <w:tc>
          <w:tcPr>
            <w:tcW w:type="dxa" w:w="240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5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البوابة</w:t>
            </w:r>
          </w:p>
        </w:tc>
        <w:tc>
          <w:tcPr>
            <w:tcW w:type="dxa" w:w="24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المتحقق</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5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اجتياز الفحص الأمني للكود دون ثغرات حرجة أو عالية</w:t>
            </w:r>
          </w:p>
        </w:tc>
        <w:tc>
          <w:tcPr>
            <w:tcW w:type="dxa" w:w="24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التطبيقات</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5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المكتبات والمكوّنات المدمجة</w:t>
            </w:r>
          </w:p>
        </w:tc>
        <w:tc>
          <w:tcPr>
            <w:tcW w:type="dxa" w:w="24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التطبيقات</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5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جدار حماية التطبيقات في وضع الحجب</w:t>
            </w:r>
          </w:p>
        </w:tc>
        <w:tc>
          <w:tcPr>
            <w:tcW w:type="dxa" w:w="24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العمليات السحابية</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5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ترويسات الأمان وإعدادات النقل الآمن</w:t>
            </w:r>
          </w:p>
        </w:tc>
        <w:tc>
          <w:tcPr>
            <w:tcW w:type="dxa" w:w="24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التطبيقات</w:t>
            </w:r>
          </w:p>
        </w:tc>
      </w:tr>
      <w:tr>
        <w:trPr>
          <w:tblHeader w:val="false"/>
        </w:trPr>
        <w:tc>
          <w:tcPr>
            <w:tcW w:type="dxa" w:w="240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5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اختراق وإغلاق الثغرات الحرجة والعالية</w:t>
            </w:r>
          </w:p>
        </w:tc>
        <w:tc>
          <w:tcPr>
            <w:tcW w:type="dxa" w:w="24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الدفاع السيبراني</w:t>
            </w:r>
          </w:p>
        </w:tc>
      </w:tr>
      <w:tr>
        <w:trPr>
          <w:tblHeader w:val="false"/>
        </w:trPr>
        <w:tc>
          <w:tcPr>
            <w:tcW w:type="dxa" w:w="240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5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مخاطر الإطلاق وفق CS-PRO-001</w:t>
            </w:r>
          </w:p>
        </w:tc>
        <w:tc>
          <w:tcPr>
            <w:tcW w:type="dxa" w:w="24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ظهور أنماط هجوم جديدة تستهدف تطبيقات الويب.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طلال الحربي — مدير الهندسة والتطوير</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CS-STD-010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2026-10-04T11:48:01.326Z</dcterms:created>
  <dcterms:modified xsi:type="dcterms:W3CDTF">2026-10-04T11:48:01.326Z</dcterms:modified>
</cp:coreProperties>
</file>

<file path=docProps/custom.xml><?xml version="1.0" encoding="utf-8"?>
<Properties xmlns="http://schemas.openxmlformats.org/officeDocument/2006/custom-properties" xmlns:vt="http://schemas.openxmlformats.org/officeDocument/2006/docPropsVTypes"/>
</file>