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سياسة معتمدة</w:t>
            </w:r>
          </w:p>
          <w:p>
            <w:pPr>
              <w:bidi/>
              <w:spacing w:after="120" w:before="0" w:line="420"/>
              <w:jc w:val="start"/>
            </w:pPr>
            <w:r>
              <w:rPr>
                <w:rFonts w:ascii="Arial" w:cs="Arial" w:eastAsia="Arial" w:hAnsi="Arial"/>
                <w:b/>
                <w:bCs/>
                <w:color w:val="FFFFFF"/>
                <w:sz w:val="52"/>
                <w:szCs w:val="52"/>
                <w:rtl/>
              </w:rPr>
              <w:t xml:space="preserve">سياسة إدارة هويات الدخول والصلاحيات</w:t>
            </w:r>
          </w:p>
          <w:p>
            <w:pPr>
              <w:bidi/>
              <w:spacing w:after="260" w:before="0" w:line="300"/>
              <w:jc w:val="start"/>
            </w:pPr>
            <w:r>
              <w:rPr>
                <w:rFonts w:ascii="Arial" w:cs="Arial" w:eastAsia="Arial" w:hAnsi="Arial"/>
                <w:b w:val="false"/>
                <w:bCs w:val="false"/>
                <w:color w:val="AFC4D4"/>
                <w:sz w:val="22"/>
                <w:szCs w:val="22"/>
                <w:rtl/>
              </w:rPr>
              <w:t xml:space="preserve">المبادئ الحاكمة · كلمات المرور · المصادقة متعددة العناصر · المراجعة الدورية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CS-POL-002</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2-2-2 · 2-2-3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سياسة إدارة هويات الدخول والصلاحيات</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السياسة متطلبات إدارة هويات الدخول والصلاحيات في شركة نَسَق للحلول الرقمية، بما يضمن أن الوصول إلى الأصول المعلوماتية والتقنية مقصور على المصرَّح لهم، وبالقدر اللازم لأداء أعمالهم فقط، ويُعدّ مخرَجاً من حزمة العمل WP-03.</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تسري هذه السياسة على جميع العاملين والمتعاقدين ومورّدي الخدمات، وعلى جميع الحسابات البشرية وغير البشرية في بيئات الشركة كافة، بما فيها الأنظمة المستضافة للجهات العميلة.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123"/>
        <w:gridCol w:w="4237"/>
      </w:tblGrid>
      <w:tr>
        <w:trPr>
          <w:tblHeader/>
        </w:trPr>
        <w:tc>
          <w:tcPr>
            <w:tcW w:type="dxa" w:w="512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2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1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٢-٢</w:t>
            </w:r>
          </w:p>
        </w:tc>
        <w:tc>
          <w:tcPr>
            <w:tcW w:type="dxa" w:w="42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تستوفيها هذه السياسة</w:t>
            </w:r>
          </w:p>
        </w:tc>
      </w:tr>
      <w:tr>
        <w:trPr>
          <w:tblHeader w:val="false"/>
        </w:trPr>
        <w:tc>
          <w:tcPr>
            <w:tcW w:type="dxa" w:w="51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١-٩-٥</w:t>
            </w:r>
          </w:p>
        </w:tc>
        <w:tc>
          <w:tcPr>
            <w:tcW w:type="dxa" w:w="42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الصلاحيات عند انتهاء العلاقة الوظيفية</w:t>
            </w:r>
          </w:p>
        </w:tc>
      </w:tr>
      <w:tr>
        <w:trPr>
          <w:tblHeader w:val="false"/>
        </w:trPr>
        <w:tc>
          <w:tcPr>
            <w:tcW w:type="dxa" w:w="51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الحسابات ذات الصلاحيات الهامة CS-STD-003</w:t>
            </w:r>
          </w:p>
        </w:tc>
        <w:tc>
          <w:tcPr>
            <w:tcW w:type="dxa" w:w="42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التفاصيل التقنية للحسابات الإدارية</w:t>
            </w:r>
          </w:p>
        </w:tc>
      </w:tr>
      <w:tr>
        <w:trPr>
          <w:tblHeader w:val="false"/>
        </w:trPr>
        <w:tc>
          <w:tcPr>
            <w:tcW w:type="dxa" w:w="51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إخلاء الطرف التقني CS-PRO-003</w:t>
            </w:r>
          </w:p>
        </w:tc>
        <w:tc>
          <w:tcPr>
            <w:tcW w:type="dxa" w:w="42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إلغاء الصلاحيات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المبادئ الحاكمة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98"/>
        <w:gridCol w:w="6562"/>
      </w:tblGrid>
      <w:tr>
        <w:trPr>
          <w:tblHeader/>
        </w:trPr>
        <w:tc>
          <w:tcPr>
            <w:tcW w:type="dxa" w:w="279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المبدأ</w:t>
            </w:r>
          </w:p>
        </w:tc>
        <w:tc>
          <w:tcPr>
            <w:tcW w:type="dxa" w:w="65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التطبيق في نَسَق</w:t>
            </w:r>
          </w:p>
        </w:tc>
      </w:tr>
      <w:tr>
        <w:trPr>
          <w:tblHeader w:val="false"/>
        </w:trPr>
        <w:tc>
          <w:tcPr>
            <w:tcW w:type="dxa" w:w="27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الحاجة إلى المعرفة والاستخدام</w:t>
            </w:r>
          </w:p>
        </w:tc>
        <w:tc>
          <w:tcPr>
            <w:tcW w:type="dxa" w:w="65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تُمنح صلاحية إلا لمن يحتاجها فعلياً لأداء مهمة محددة في وصفه الوظيفي</w:t>
            </w:r>
          </w:p>
        </w:tc>
      </w:tr>
      <w:tr>
        <w:trPr>
          <w:tblHeader w:val="false"/>
        </w:trPr>
        <w:tc>
          <w:tcPr>
            <w:tcW w:type="dxa" w:w="279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الحد الأدنى من الصلاحيات</w:t>
            </w:r>
          </w:p>
        </w:tc>
        <w:tc>
          <w:tcPr>
            <w:tcW w:type="dxa" w:w="65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تُمنح أدنى صلاحية تكفي لأداء المهمة، ولا يُمنح وصول إداري كامل حين يكفي وصول محدود</w:t>
            </w:r>
          </w:p>
        </w:tc>
      </w:tr>
      <w:tr>
        <w:trPr>
          <w:tblHeader w:val="false"/>
        </w:trPr>
        <w:tc>
          <w:tcPr>
            <w:tcW w:type="dxa" w:w="27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فصل المهام</w:t>
            </w:r>
          </w:p>
        </w:tc>
        <w:tc>
          <w:tcPr>
            <w:tcW w:type="dxa" w:w="65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يجمع شخص واحد بين طلب التغيير واعتماده وتنفيذه على بيئة الإنتاج</w:t>
            </w:r>
          </w:p>
        </w:tc>
      </w:tr>
      <w:tr>
        <w:trPr>
          <w:tblHeader w:val="false"/>
        </w:trPr>
        <w:tc>
          <w:tcPr>
            <w:tcW w:type="dxa" w:w="279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الحساب الشخصي</w:t>
            </w:r>
          </w:p>
        </w:tc>
        <w:tc>
          <w:tcPr>
            <w:tcW w:type="dxa" w:w="65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حساب منسوب إلى شخص واحد محدد بالاسم</w:t>
            </w:r>
          </w:p>
        </w:tc>
      </w:tr>
      <w:tr>
        <w:trPr>
          <w:tblHeader w:val="false"/>
        </w:trPr>
        <w:tc>
          <w:tcPr>
            <w:tcW w:type="dxa" w:w="279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الرفض الافتراضي</w:t>
            </w:r>
          </w:p>
        </w:tc>
        <w:tc>
          <w:tcPr>
            <w:tcW w:type="dxa" w:w="65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ما لم يُمنح صراحةً يُعدّ ممنوعاً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الحسابات المشتركة</w:t>
      </w:r>
    </w:p>
    <w:p>
      <w:pPr>
        <w:bidi/>
        <w:spacing w:after="140" w:before="0" w:line="300"/>
        <w:jc w:val="start"/>
      </w:pPr>
      <w:r>
        <w:rPr>
          <w:rFonts w:ascii="Arial" w:cs="Arial" w:eastAsia="Arial" w:hAnsi="Arial"/>
          <w:b/>
          <w:bCs/>
          <w:color w:val="15325C"/>
          <w:sz w:val="21"/>
          <w:szCs w:val="21"/>
          <w:rtl/>
        </w:rPr>
        <w:t xml:space="preserve">تُمنع الحسابات المشتركة منعاً باتاً في جميع البيئات.</w:t>
      </w:r>
      <w:r>
        <w:rPr>
          <w:rFonts w:ascii="Arial" w:cs="Arial" w:eastAsia="Arial" w:hAnsi="Arial"/>
          <w:b w:val="false"/>
          <w:bCs w:val="false"/>
          <w:color w:val="16202A"/>
          <w:sz w:val="21"/>
          <w:szCs w:val="21"/>
          <w:rtl/>
        </w:rPr>
        <w:t xml:space="preserve"> الحساب المشترك يُفقد سجلات الأحداث قيمتها الاستدلالية ويجعل نسب الفعل إلى فاعله مستحيلاً.</w:t>
      </w:r>
    </w:p>
    <w:p>
      <w:pPr>
        <w:bidi/>
        <w:spacing w:after="140" w:before="0" w:line="300"/>
        <w:jc w:val="start"/>
      </w:pPr>
      <w:r>
        <w:rPr>
          <w:rFonts w:ascii="Arial" w:cs="Arial" w:eastAsia="Arial" w:hAnsi="Arial"/>
          <w:b w:val="false"/>
          <w:bCs w:val="false"/>
          <w:color w:val="16202A"/>
          <w:sz w:val="21"/>
          <w:szCs w:val="21"/>
          <w:rtl/>
        </w:rPr>
        <w:t xml:space="preserve">يُستثنى من ذلك حسابات الخدمة غير البشرية، بشرط أن تكون مسجَّلة في سجل الأصول، ولها مالك محدد بالاسم، وبيانات اعتمادها محفوظة في خزنة الأسرار المركزية، وتُدوَّر بياناتها كل ستة أشهر.</w:t>
      </w:r>
    </w:p>
    <w:p>
      <w:pPr>
        <w:pStyle w:val="Heading2"/>
        <w:bidi/>
        <w:spacing w:after="120" w:before="280" w:line="300"/>
        <w:jc w:val="start"/>
      </w:pPr>
      <w:r>
        <w:rPr>
          <w:rFonts w:ascii="Arial" w:cs="Arial" w:eastAsia="Arial" w:hAnsi="Arial"/>
          <w:b/>
          <w:bCs/>
          <w:color w:val="15325C"/>
          <w:sz w:val="27"/>
          <w:szCs w:val="27"/>
          <w:rtl/>
        </w:rPr>
        <w:t xml:space="preserve">دورة حياة الحساب</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02"/>
        <w:gridCol w:w="4714"/>
        <w:gridCol w:w="2844"/>
      </w:tblGrid>
      <w:tr>
        <w:trPr>
          <w:tblHeader/>
        </w:trPr>
        <w:tc>
          <w:tcPr>
            <w:tcW w:type="dxa" w:w="18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47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284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الإنشاء</w:t>
            </w:r>
          </w:p>
        </w:tc>
        <w:tc>
          <w:tcPr>
            <w:tcW w:type="dxa" w:w="4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طلب معتمد من المدير المباشر يحدد الصلاحيات المطلوبة ومبررها</w:t>
            </w:r>
          </w:p>
        </w:tc>
        <w:tc>
          <w:tcPr>
            <w:tcW w:type="dxa" w:w="28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 · إدارة العمليات السحابية</w:t>
            </w:r>
          </w:p>
        </w:tc>
      </w:tr>
      <w:tr>
        <w:trPr>
          <w:tblHeader w:val="false"/>
        </w:trPr>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التعديل</w:t>
            </w:r>
          </w:p>
        </w:tc>
        <w:tc>
          <w:tcPr>
            <w:tcW w:type="dxa" w:w="4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اعتماد الصلاحيات عند تغيّر الدور، مع إلغاء صلاحيات الدور السابق</w:t>
            </w:r>
          </w:p>
        </w:tc>
        <w:tc>
          <w:tcPr>
            <w:tcW w:type="dxa" w:w="28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المدير المباشر</w:t>
            </w:r>
          </w:p>
        </w:tc>
      </w:tr>
      <w:tr>
        <w:trPr>
          <w:tblHeader w:val="false"/>
        </w:trPr>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التعليق</w:t>
            </w:r>
          </w:p>
        </w:tc>
        <w:tc>
          <w:tcPr>
            <w:tcW w:type="dxa" w:w="4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تعليق فوري عند الإجازات الطويلة أو الإيقاف عن العمل</w:t>
            </w:r>
          </w:p>
        </w:tc>
        <w:tc>
          <w:tcPr>
            <w:tcW w:type="dxa" w:w="28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w:t>
            </w:r>
          </w:p>
        </w:tc>
      </w:tr>
      <w:tr>
        <w:trPr>
          <w:tblHeader w:val="false"/>
        </w:trPr>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الإلغاء</w:t>
            </w:r>
          </w:p>
        </w:tc>
        <w:tc>
          <w:tcPr>
            <w:tcW w:type="dxa" w:w="4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الحساب فور انتهاء العلاقة الوظيفية أو التعاقدية</w:t>
            </w:r>
          </w:p>
        </w:tc>
        <w:tc>
          <w:tcPr>
            <w:tcW w:type="dxa" w:w="28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الإجراء CS-PRO-003</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ملزِمة:</w:t>
      </w:r>
      <w:r>
        <w:rPr>
          <w:rFonts w:ascii="Arial" w:cs="Arial" w:eastAsia="Arial" w:hAnsi="Arial"/>
          <w:b w:val="false"/>
          <w:bCs w:val="false"/>
          <w:color w:val="16202A"/>
          <w:sz w:val="21"/>
          <w:szCs w:val="21"/>
          <w:rtl/>
        </w:rPr>
        <w:t xml:space="preserve"> لا تُنقل صلاحيات الدور السابق مع الموظف عند تغيّر دوره. تراكم الصلاحيات عبر الأدوار من أكثر أسباب الوصول المفرط.</w:t>
      </w:r>
    </w:p>
    <w:p>
      <w:pPr>
        <w:pStyle w:val="Heading2"/>
        <w:bidi/>
        <w:spacing w:after="120" w:before="280" w:line="300"/>
        <w:jc w:val="start"/>
      </w:pPr>
      <w:r>
        <w:rPr>
          <w:rFonts w:ascii="Arial" w:cs="Arial" w:eastAsia="Arial" w:hAnsi="Arial"/>
          <w:b/>
          <w:bCs/>
          <w:color w:val="15325C"/>
          <w:sz w:val="27"/>
          <w:szCs w:val="27"/>
          <w:rtl/>
        </w:rPr>
        <w:t xml:space="preserve">المصادقة</w:t>
      </w:r>
    </w:p>
    <w:p>
      <w:pPr>
        <w:pStyle w:val="Heading3"/>
        <w:bidi/>
        <w:spacing w:after="90" w:before="200" w:line="300"/>
        <w:jc w:val="start"/>
      </w:pPr>
      <w:r>
        <w:rPr>
          <w:rFonts w:ascii="Arial" w:cs="Arial" w:eastAsia="Arial" w:hAnsi="Arial"/>
          <w:b/>
          <w:bCs/>
          <w:color w:val="0C1F3D"/>
          <w:sz w:val="23"/>
          <w:szCs w:val="23"/>
          <w:rtl/>
        </w:rPr>
        <w:t xml:space="preserve">متطلبات كلمة المرور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04"/>
        <w:gridCol w:w="6656"/>
      </w:tblGrid>
      <w:tr>
        <w:trPr>
          <w:tblHeader/>
        </w:trPr>
        <w:tc>
          <w:tcPr>
            <w:tcW w:type="dxa" w:w="27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66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القيمة</w:t>
            </w:r>
          </w:p>
        </w:tc>
      </w:tr>
      <w:tr>
        <w:trPr>
          <w:tblHeader w:val="false"/>
        </w:trPr>
        <w:tc>
          <w:tcPr>
            <w:tcW w:type="dxa" w:w="27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الحد الأدنى للطول</w:t>
            </w:r>
          </w:p>
        </w:tc>
        <w:tc>
          <w:tcPr>
            <w:tcW w:type="dxa" w:w="6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 خانة للحسابات العادية · ١٦ خانة للحسابات ذات الصلاحيات الهامة</w:t>
            </w:r>
          </w:p>
        </w:tc>
      </w:tr>
      <w:tr>
        <w:trPr>
          <w:tblHeader w:val="false"/>
        </w:trPr>
        <w:tc>
          <w:tcPr>
            <w:tcW w:type="dxa" w:w="27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التعقيد</w:t>
            </w:r>
          </w:p>
        </w:tc>
        <w:tc>
          <w:tcPr>
            <w:tcW w:type="dxa" w:w="6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ثلاثة أنواع محارف على الأقل</w:t>
            </w:r>
          </w:p>
        </w:tc>
      </w:tr>
      <w:tr>
        <w:trPr>
          <w:tblHeader w:val="false"/>
        </w:trPr>
        <w:tc>
          <w:tcPr>
            <w:tcW w:type="dxa" w:w="27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منع إعادة الاستخدام</w:t>
            </w:r>
          </w:p>
        </w:tc>
        <w:tc>
          <w:tcPr>
            <w:tcW w:type="dxa" w:w="6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آخر ١٢ كلمة مرور</w:t>
            </w:r>
          </w:p>
        </w:tc>
      </w:tr>
      <w:tr>
        <w:trPr>
          <w:tblHeader w:val="false"/>
        </w:trPr>
        <w:tc>
          <w:tcPr>
            <w:tcW w:type="dxa" w:w="27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الحظر</w:t>
            </w:r>
          </w:p>
        </w:tc>
        <w:tc>
          <w:tcPr>
            <w:tcW w:type="dxa" w:w="6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كلمات المرور الشائعة والمسرَّبة تُرفض آلياً</w:t>
            </w:r>
          </w:p>
        </w:tc>
      </w:tr>
      <w:tr>
        <w:trPr>
          <w:tblHeader w:val="false"/>
        </w:trPr>
        <w:tc>
          <w:tcPr>
            <w:tcW w:type="dxa" w:w="27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التغيير الدوري</w:t>
            </w:r>
          </w:p>
        </w:tc>
        <w:tc>
          <w:tcPr>
            <w:tcW w:type="dxa" w:w="6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يُفرض تغيير دوري إلا عند الاشتباه في الكشف</w:t>
            </w:r>
          </w:p>
        </w:tc>
      </w:tr>
      <w:tr>
        <w:trPr>
          <w:tblHeader w:val="false"/>
        </w:trPr>
        <w:tc>
          <w:tcPr>
            <w:tcW w:type="dxa" w:w="27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التخزين</w:t>
            </w:r>
          </w:p>
        </w:tc>
        <w:tc>
          <w:tcPr>
            <w:tcW w:type="dxa" w:w="6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تُخزَّن كلمات المرور نصاً في أي نظام أو ملف أو كود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المصادقة متعددة العناصر</w:t>
      </w:r>
    </w:p>
    <w:p>
      <w:pPr>
        <w:bidi/>
        <w:spacing w:after="140" w:before="0" w:line="300"/>
        <w:jc w:val="start"/>
      </w:pPr>
      <w:r>
        <w:rPr>
          <w:rFonts w:ascii="Arial" w:cs="Arial" w:eastAsia="Arial" w:hAnsi="Arial"/>
          <w:b w:val="false"/>
          <w:bCs w:val="false"/>
          <w:color w:val="16202A"/>
          <w:sz w:val="21"/>
          <w:szCs w:val="21"/>
          <w:rtl/>
        </w:rPr>
        <w:t xml:space="preserve">تُفرض المصادقة متعددة العناصر إلزامياً على:</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جميع عمليات الدخول عن بُعد إلى شبكات الشركة وأنظمتها.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جميع الحسابات ذات الصلاحيات الهامة والحساسة دون استثناء.</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لوحات التحكم السحابية ومنصة الحاويات ومستودعات الكود.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بوابات الدخول إلى الأنظمة المستضافة للجهات العميلة.</w:t>
      </w:r>
    </w:p>
    <w:p>
      <w:pPr>
        <w:bidi/>
        <w:spacing w:after="140" w:before="0" w:line="300"/>
        <w:jc w:val="start"/>
      </w:pPr>
      <w:r>
        <w:rPr>
          <w:rFonts w:ascii="Arial" w:cs="Arial" w:eastAsia="Arial" w:hAnsi="Arial"/>
          <w:b/>
          <w:bCs/>
          <w:color w:val="15325C"/>
          <w:sz w:val="21"/>
          <w:szCs w:val="21"/>
          <w:rtl/>
        </w:rPr>
        <w:t xml:space="preserve">تقييم أثر فشل التحقق:</w:t>
      </w:r>
      <w:r>
        <w:rPr>
          <w:rFonts w:ascii="Arial" w:cs="Arial" w:eastAsia="Arial" w:hAnsi="Arial"/>
          <w:b w:val="false"/>
          <w:bCs w:val="false"/>
          <w:color w:val="16202A"/>
          <w:sz w:val="21"/>
          <w:szCs w:val="21"/>
          <w:rtl/>
        </w:rPr>
        <w:t xml:space="preserve"> يُوثَّق سيناريو تعطل وسيلة التحقق المستخدمة وأثره على استمرارية الوصول، وتُعتمد وسيلة احتياطية مضبوطة لا تقل قوةً عن الوسيلة الأساسية. ولا يُقبل تعطيل المصادقة متعددة العناصر كحل بديل عند التعطل.</w:t>
      </w:r>
    </w:p>
    <w:p>
      <w:pPr>
        <w:pStyle w:val="Heading2"/>
        <w:bidi/>
        <w:spacing w:after="120" w:before="280" w:line="300"/>
        <w:jc w:val="start"/>
      </w:pPr>
      <w:r>
        <w:rPr>
          <w:rFonts w:ascii="Arial" w:cs="Arial" w:eastAsia="Arial" w:hAnsi="Arial"/>
          <w:b/>
          <w:bCs/>
          <w:color w:val="15325C"/>
          <w:sz w:val="27"/>
          <w:szCs w:val="27"/>
          <w:rtl/>
        </w:rPr>
        <w:t xml:space="preserve">إدارة الصلاحيات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تُبنى الصلاحيات على أدوار معرَّفة مسبقاً، لا على طلبات فردية متفرقة.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يُوثَّق لكل دور نطاق صلاحياته والأنظمة التي يصل إليها ومالك الدور.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منح الصلاحيات المباشرة خارج الأدوار إلا بموافقة رئيس الأمن السيبراني ولمدة محددة.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تُلغى الصلاحيات المؤقتة آلياً عند انتهاء مدتها دون الحاجة لطلب.</w:t>
      </w:r>
    </w:p>
    <w:p>
      <w:pPr>
        <w:pStyle w:val="Heading2"/>
        <w:bidi/>
        <w:spacing w:after="120" w:before="280" w:line="300"/>
        <w:jc w:val="start"/>
      </w:pPr>
      <w:r>
        <w:rPr>
          <w:rFonts w:ascii="Arial" w:cs="Arial" w:eastAsia="Arial" w:hAnsi="Arial"/>
          <w:b/>
          <w:bCs/>
          <w:color w:val="15325C"/>
          <w:sz w:val="27"/>
          <w:szCs w:val="27"/>
          <w:rtl/>
        </w:rPr>
        <w:t xml:space="preserve">المراجعة الدورية للصلاحيات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978"/>
        <w:gridCol w:w="1843"/>
        <w:gridCol w:w="2694"/>
        <w:gridCol w:w="1845"/>
      </w:tblGrid>
      <w:tr>
        <w:trPr>
          <w:tblHeader/>
        </w:trPr>
        <w:tc>
          <w:tcPr>
            <w:tcW w:type="dxa" w:w="29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النوع</w:t>
            </w:r>
          </w:p>
        </w:tc>
        <w:tc>
          <w:tcPr>
            <w:tcW w:type="dxa" w:w="1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26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الجهة المنفّذة</w:t>
            </w:r>
          </w:p>
        </w:tc>
        <w:tc>
          <w:tcPr>
            <w:tcW w:type="dxa" w:w="18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29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صلاحيات جميع المستخدمين</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26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المديرون المباشرون بإشراف وحدة الحوكمة</w:t>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مراجعة الصلاحيات معتمد</w:t>
            </w:r>
          </w:p>
        </w:tc>
      </w:tr>
      <w:tr>
        <w:trPr>
          <w:tblHeader w:val="false"/>
        </w:trPr>
        <w:tc>
          <w:tcPr>
            <w:tcW w:type="dxa" w:w="29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الحسابات ذات الصلاحيات الهامة</w:t>
            </w:r>
          </w:p>
        </w:tc>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6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18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مراجعة</w:t>
            </w:r>
          </w:p>
        </w:tc>
      </w:tr>
      <w:tr>
        <w:trPr>
          <w:tblHeader w:val="false"/>
        </w:trPr>
        <w:tc>
          <w:tcPr>
            <w:tcW w:type="dxa" w:w="29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حسابات المتعاقدين والأطراف الخارجية</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6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مراجعة</w:t>
            </w:r>
          </w:p>
        </w:tc>
      </w:tr>
      <w:tr>
        <w:trPr>
          <w:tblHeader w:val="false"/>
        </w:trPr>
        <w:tc>
          <w:tcPr>
            <w:tcW w:type="dxa" w:w="29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حسابات الخدمة غير البشرية</w:t>
            </w:r>
          </w:p>
        </w:tc>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26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8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محدَّث</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تُوثَّق نتيجة كل مراجعة وتُعتمد، وتُنفَّذ قرارات الإلغاء خلال خمسة أيام عمل من اعتمادها.</w:t>
      </w:r>
    </w:p>
    <w:p>
      <w:pPr>
        <w:pStyle w:val="Heading2"/>
        <w:bidi/>
        <w:spacing w:after="120" w:before="280" w:line="300"/>
        <w:jc w:val="start"/>
      </w:pPr>
      <w:r>
        <w:rPr>
          <w:rFonts w:ascii="Arial" w:cs="Arial" w:eastAsia="Arial" w:hAnsi="Arial"/>
          <w:b/>
          <w:bCs/>
          <w:color w:val="15325C"/>
          <w:sz w:val="27"/>
          <w:szCs w:val="27"/>
          <w:rtl/>
        </w:rPr>
        <w:t xml:space="preserve">الالتزام بالسياسة</w:t>
      </w:r>
    </w:p>
    <w:p>
      <w:pPr>
        <w:bidi/>
        <w:spacing w:after="140" w:before="0" w:line="300"/>
        <w:jc w:val="start"/>
      </w:pPr>
      <w:r>
        <w:rPr>
          <w:rFonts w:ascii="Arial" w:cs="Arial" w:eastAsia="Arial" w:hAnsi="Arial"/>
          <w:b w:val="false"/>
          <w:bCs w:val="false"/>
          <w:color w:val="16202A"/>
          <w:sz w:val="21"/>
          <w:szCs w:val="21"/>
          <w:rtl/>
        </w:rPr>
        <w:t xml:space="preserve">يُعدّ الإخلال بهذه السياسة — وبخاصة مشاركة بيانات الاعتماد أو تجاوز المصادقة متعددة العناصر — مخالفة تستوجب اتخاذ الإجراءات النظامية.</w:t>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السياسة سنوياً على الأقل، وعند تغيّر المتطلبات التشريعية أو التنظيمية، أو عند تغيّر جوهري في بيئة الشركة التقنية.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2955"/>
        <w:gridCol w:w="2134"/>
        <w:gridCol w:w="2137"/>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CS-POL-002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2026-10-04T11:47:59.461Z</dcterms:created>
  <dcterms:modified xsi:type="dcterms:W3CDTF">2026-10-04T11:47:59.461Z</dcterms:modified>
</cp:coreProperties>
</file>

<file path=docProps/custom.xml><?xml version="1.0" encoding="utf-8"?>
<Properties xmlns="http://schemas.openxmlformats.org/officeDocument/2006/custom-properties" xmlns:vt="http://schemas.openxmlformats.org/officeDocument/2006/docPropsVTypes"/>
</file>