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معيار تقني</w:t>
            </w:r>
          </w:p>
          <w:p>
            <w:pPr>
              <w:bidi/>
              <w:spacing w:after="120" w:before="0" w:line="420"/>
              <w:jc w:val="start"/>
            </w:pPr>
            <w:r>
              <w:rPr>
                <w:rFonts w:ascii="Arial" w:cs="Arial" w:eastAsia="Arial" w:hAnsi="Arial"/>
                <w:b/>
                <w:bCs/>
                <w:color w:val="FFFFFF"/>
                <w:sz w:val="52"/>
                <w:szCs w:val="52"/>
                <w:rtl/>
              </w:rPr>
              <w:t xml:space="preserve">معيار إدارة الحسابات ذات الصلاحيات الهامة والحساسة</w:t>
            </w:r>
          </w:p>
          <w:p>
            <w:pPr>
              <w:bidi/>
              <w:spacing w:after="260" w:before="0" w:line="300"/>
              <w:jc w:val="start"/>
            </w:pPr>
            <w:r>
              <w:rPr>
                <w:rFonts w:ascii="Arial" w:cs="Arial" w:eastAsia="Arial" w:hAnsi="Arial"/>
                <w:b w:val="false"/>
                <w:bCs w:val="false"/>
                <w:color w:val="AFC4D4"/>
                <w:sz w:val="22"/>
                <w:szCs w:val="22"/>
                <w:rtl/>
              </w:rPr>
              <w:t xml:space="preserve">فصل الحسابات · الحسابات الافتراضية · منح الصلاحيات المؤقتة</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CS-STD-003</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مدير العمليات السحابية والبنية التحتية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 — صاحب الصلاحية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2-2-3</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معيار إدارة الحسابات ذات الصلاحيات الهامة والحساسة</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يحدد هذا المعيار المتطلبات التقنية لإدارة الحسابات ذات الصلاحيات الهامة والحساسة في شركة نَسَق للحلول الرقمية، لأنها الحسابات التي يستهدفها المهاجمون أولاً، ويترتب على إساءة استخدامها أعلى أثر ممكن، ويُعدّ مخرَجاً من حزمة العمل WP-03.</w:t>
      </w:r>
    </w:p>
    <w:p>
      <w:pPr>
        <w:pStyle w:val="Heading2"/>
        <w:bidi/>
        <w:spacing w:after="120" w:before="280" w:line="300"/>
        <w:jc w:val="start"/>
      </w:pPr>
      <w:r>
        <w:rPr>
          <w:rFonts w:ascii="Arial" w:cs="Arial" w:eastAsia="Arial" w:hAnsi="Arial"/>
          <w:b/>
          <w:bCs/>
          <w:color w:val="15325C"/>
          <w:sz w:val="27"/>
          <w:szCs w:val="27"/>
          <w:rtl/>
        </w:rPr>
        <w:t xml:space="preserve">المرجعية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5591"/>
        <w:gridCol w:w="3769"/>
      </w:tblGrid>
      <w:tr>
        <w:trPr>
          <w:tblHeader/>
        </w:trPr>
        <w:tc>
          <w:tcPr>
            <w:tcW w:type="dxa" w:w="559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المرجع</w:t>
            </w:r>
          </w:p>
        </w:tc>
        <w:tc>
          <w:tcPr>
            <w:tcW w:type="dxa" w:w="376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العلاقة</w:t>
            </w:r>
          </w:p>
        </w:tc>
      </w:tr>
      <w:tr>
        <w:trPr>
          <w:tblHeader w:val="false"/>
        </w:trPr>
        <w:tc>
          <w:tcPr>
            <w:tcW w:type="dxa" w:w="559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سياسة إدارة هويات الدخول والصلاحيات CS-POL-002</w:t>
            </w:r>
          </w:p>
        </w:tc>
        <w:tc>
          <w:tcPr>
            <w:tcW w:type="dxa" w:w="376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السياسة الحاكمة</w:t>
            </w:r>
          </w:p>
        </w:tc>
      </w:tr>
      <w:tr>
        <w:trPr>
          <w:tblHeader w:val="false"/>
        </w:trPr>
        <w:tc>
          <w:tcPr>
            <w:tcW w:type="dxa" w:w="559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ECC-2:2024 — الضابط ٢-٢-٣</w:t>
            </w:r>
          </w:p>
        </w:tc>
        <w:tc>
          <w:tcPr>
            <w:tcW w:type="dxa" w:w="376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الضابط الذي يستوفيه هذا المعيار</w:t>
            </w:r>
          </w:p>
        </w:tc>
      </w:tr>
      <w:tr>
        <w:trPr>
          <w:tblHeader w:val="false"/>
        </w:trPr>
        <w:tc>
          <w:tcPr>
            <w:tcW w:type="dxa" w:w="559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معيار إدارة سجلات الأحداث CS-STD-002</w:t>
            </w:r>
          </w:p>
        </w:tc>
        <w:tc>
          <w:tcPr>
            <w:tcW w:type="dxa" w:w="376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تسجيل استخدام هذه الحسابات</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تعريف الحساب ذي الصلاحيات الهامة</w:t>
      </w:r>
    </w:p>
    <w:p>
      <w:pPr>
        <w:bidi/>
        <w:spacing w:after="140" w:before="0" w:line="300"/>
        <w:jc w:val="start"/>
      </w:pPr>
      <w:r>
        <w:rPr>
          <w:rFonts w:ascii="Arial" w:cs="Arial" w:eastAsia="Arial" w:hAnsi="Arial"/>
          <w:b w:val="false"/>
          <w:bCs w:val="false"/>
          <w:color w:val="16202A"/>
          <w:sz w:val="21"/>
          <w:szCs w:val="21"/>
          <w:rtl/>
        </w:rPr>
        <w:t xml:space="preserve">يُعدّ الحساب ذا صلاحيات هامة إذا توافر فيه أحد ما يلي:</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صلاحية إدارية على نظام تشغيل أو قاعدة بيانات أو منصة حاويات أو بيئة سحابية.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صلاحية منح أو تعديل صلاحيات الآخرين.</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صلاحية الوصول إلى بيانات مصنّفة سرية أو سرية جداً بلا قيد.</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صلاحية النشر على بيئة الإنتاج أو تعديل خطوط النشر.</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صلاحية تعديل إعدادات الأمن أو أنظمة المراقبة والسجلات.</w:t>
      </w:r>
    </w:p>
    <w:p>
      <w:pPr>
        <w:pStyle w:val="Heading2"/>
        <w:bidi/>
        <w:spacing w:after="120" w:before="280" w:line="300"/>
        <w:jc w:val="start"/>
      </w:pPr>
      <w:r>
        <w:rPr>
          <w:rFonts w:ascii="Arial" w:cs="Arial" w:eastAsia="Arial" w:hAnsi="Arial"/>
          <w:b/>
          <w:bCs/>
          <w:color w:val="15325C"/>
          <w:sz w:val="27"/>
          <w:szCs w:val="27"/>
          <w:rtl/>
        </w:rPr>
        <w:t xml:space="preserve">المتطلبات الإلزامية</w:t>
      </w:r>
    </w:p>
    <w:p>
      <w:pPr>
        <w:pStyle w:val="Heading3"/>
        <w:bidi/>
        <w:spacing w:after="90" w:before="200" w:line="300"/>
        <w:jc w:val="start"/>
      </w:pPr>
      <w:r>
        <w:rPr>
          <w:rFonts w:ascii="Arial" w:cs="Arial" w:eastAsia="Arial" w:hAnsi="Arial"/>
          <w:b/>
          <w:bCs/>
          <w:color w:val="0C1F3D"/>
          <w:sz w:val="23"/>
          <w:szCs w:val="23"/>
          <w:rtl/>
        </w:rPr>
        <w:t xml:space="preserve">أولاً: فصل الحسابات</w:t>
      </w:r>
    </w:p>
    <w:p>
      <w:pPr>
        <w:bidi/>
        <w:spacing w:after="140" w:before="0" w:line="300"/>
        <w:jc w:val="start"/>
      </w:pPr>
      <w:r>
        <w:rPr>
          <w:rFonts w:ascii="Arial" w:cs="Arial" w:eastAsia="Arial" w:hAnsi="Arial"/>
          <w:b w:val="false"/>
          <w:bCs w:val="false"/>
          <w:color w:val="16202A"/>
          <w:sz w:val="21"/>
          <w:szCs w:val="21"/>
          <w:rtl/>
        </w:rPr>
        <w:t xml:space="preserve">يُمنح كل صاحب صلاحيات هامة </w:t>
      </w:r>
      <w:r>
        <w:rPr>
          <w:rFonts w:ascii="Arial" w:cs="Arial" w:eastAsia="Arial" w:hAnsi="Arial"/>
          <w:b/>
          <w:bCs/>
          <w:color w:val="15325C"/>
          <w:sz w:val="21"/>
          <w:szCs w:val="21"/>
          <w:rtl/>
        </w:rPr>
        <w:t xml:space="preserve">حسابين منفصلين</w:t>
      </w:r>
      <w:r>
        <w:rPr>
          <w:rFonts w:ascii="Arial" w:cs="Arial" w:eastAsia="Arial" w:hAnsi="Arial"/>
          <w:b w:val="false"/>
          <w:bCs w:val="false"/>
          <w:color w:val="16202A"/>
          <w:sz w:val="21"/>
          <w:szCs w:val="21"/>
          <w:rtl/>
        </w:rPr>
        <w:t xml:space="preserve">:</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080"/>
        <w:gridCol w:w="2960"/>
        <w:gridCol w:w="4320"/>
      </w:tblGrid>
      <w:tr>
        <w:trPr>
          <w:tblHeader/>
        </w:trPr>
        <w:tc>
          <w:tcPr>
            <w:tcW w:type="dxa" w:w="20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الحساب</w:t>
            </w:r>
          </w:p>
        </w:tc>
        <w:tc>
          <w:tcPr>
            <w:tcW w:type="dxa" w:w="296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الاستخدام</w:t>
            </w:r>
          </w:p>
        </w:tc>
        <w:tc>
          <w:tcPr>
            <w:tcW w:type="dxa" w:w="432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القيود</w:t>
            </w:r>
          </w:p>
        </w:tc>
      </w:tr>
      <w:tr>
        <w:trPr>
          <w:tblHeader w:val="false"/>
        </w:trPr>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حساب الأعمال اليومية</w:t>
            </w:r>
          </w:p>
        </w:tc>
        <w:tc>
          <w:tcPr>
            <w:tcW w:type="dxa" w:w="296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البريد والمستندات والتصفح والاجتماعات</w:t>
            </w:r>
          </w:p>
        </w:tc>
        <w:tc>
          <w:tcPr>
            <w:tcW w:type="dxa" w:w="43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يملك أي صلاحية إدارية</w:t>
            </w:r>
          </w:p>
        </w:tc>
      </w:tr>
      <w:tr>
        <w:trPr>
          <w:tblHeader w:val="false"/>
        </w:trPr>
        <w:tc>
          <w:tcPr>
            <w:tcW w:type="dxa" w:w="2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حساب الصلاحيات الهامة</w:t>
            </w:r>
          </w:p>
        </w:tc>
        <w:tc>
          <w:tcPr>
            <w:tcW w:type="dxa" w:w="296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المهام الإدارية فقط</w:t>
            </w:r>
          </w:p>
        </w:tc>
        <w:tc>
          <w:tcPr>
            <w:tcW w:type="dxa" w:w="43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يُستخدم للبريد ولا للتصفح ولا يُربط بأي خدمة خارجية</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السبب:</w:t>
      </w:r>
      <w:r>
        <w:rPr>
          <w:rFonts w:ascii="Arial" w:cs="Arial" w:eastAsia="Arial" w:hAnsi="Arial"/>
          <w:b w:val="false"/>
          <w:bCs w:val="false"/>
          <w:color w:val="16202A"/>
          <w:sz w:val="21"/>
          <w:szCs w:val="21"/>
          <w:rtl/>
        </w:rPr>
        <w:t xml:space="preserve"> أغلب الاختراقات تبدأ برسالة تصيّد أو صفحة ويب. فصل الحسابين يمنع تحوّل اختراق جهاز مكتبي إلى اختراق كامل للبنية التحتية.</w:t>
      </w:r>
    </w:p>
    <w:p>
      <w:pPr>
        <w:pStyle w:val="Heading3"/>
        <w:bidi/>
        <w:spacing w:after="90" w:before="200" w:line="300"/>
        <w:jc w:val="start"/>
      </w:pPr>
      <w:r>
        <w:rPr>
          <w:rFonts w:ascii="Arial" w:cs="Arial" w:eastAsia="Arial" w:hAnsi="Arial"/>
          <w:b/>
          <w:bCs/>
          <w:color w:val="0C1F3D"/>
          <w:sz w:val="23"/>
          <w:szCs w:val="23"/>
          <w:rtl/>
        </w:rPr>
        <w:t xml:space="preserve">ثانياً: الحسابات الافتراضية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تُعطَّل جميع الحسابات الافتراضية المدمجة في الأنظمة والتطبيقات وأجهزة الشبكة، أو تُعاد تسميتها وتُغيَّر بيانات اعتمادها حيث يتعذّر التعطيل.</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يُوثَّق في سجل الأصول لكل نظام ما تم مع حساباته الافتراضية.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تُفحص الحسابات الافتراضية ضمن معايير التحصين قبل إدخال أي نظام إلى بيئة الإنتاج.</w:t>
      </w:r>
    </w:p>
    <w:p>
      <w:pPr>
        <w:pStyle w:val="Heading3"/>
        <w:bidi/>
        <w:spacing w:after="90" w:before="200" w:line="300"/>
        <w:jc w:val="start"/>
      </w:pPr>
      <w:r>
        <w:rPr>
          <w:rFonts w:ascii="Arial" w:cs="Arial" w:eastAsia="Arial" w:hAnsi="Arial"/>
          <w:b/>
          <w:bCs/>
          <w:color w:val="0C1F3D"/>
          <w:sz w:val="23"/>
          <w:szCs w:val="23"/>
          <w:rtl/>
        </w:rPr>
        <w:t xml:space="preserve">ثالثاً: النسخة الآمنة من نظام التشغيل</w:t>
      </w:r>
    </w:p>
    <w:p>
      <w:pPr>
        <w:bidi/>
        <w:spacing w:after="140" w:before="0" w:line="300"/>
        <w:jc w:val="start"/>
      </w:pPr>
      <w:r>
        <w:rPr>
          <w:rFonts w:ascii="Arial" w:cs="Arial" w:eastAsia="Arial" w:hAnsi="Arial"/>
          <w:b w:val="false"/>
          <w:bCs w:val="false"/>
          <w:color w:val="16202A"/>
          <w:sz w:val="21"/>
          <w:szCs w:val="21"/>
          <w:rtl/>
        </w:rPr>
        <w:t xml:space="preserve">تُعتمد نسخة أساسية مُحصَّنة لكل نظام تشغيل مستخدم في الشركة، تتضمن تعطيل الحسابات والخدمات غير الضرورية وتطبيق إعدادات الأمان المعتمدة، ولا يُنشأ أي خادم في بيئة الإنتاج إلا منها.</w:t>
      </w:r>
    </w:p>
    <w:p>
      <w:pPr>
        <w:pStyle w:val="Heading3"/>
        <w:bidi/>
        <w:spacing w:after="90" w:before="200" w:line="300"/>
        <w:jc w:val="start"/>
      </w:pPr>
      <w:r>
        <w:rPr>
          <w:rFonts w:ascii="Arial" w:cs="Arial" w:eastAsia="Arial" w:hAnsi="Arial"/>
          <w:b/>
          <w:bCs/>
          <w:color w:val="0C1F3D"/>
          <w:sz w:val="23"/>
          <w:szCs w:val="23"/>
          <w:rtl/>
        </w:rPr>
        <w:t xml:space="preserve">رابعاً: آلية طلب الصلاحيات الهامة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028"/>
        <w:gridCol w:w="5304"/>
        <w:gridCol w:w="2028"/>
      </w:tblGrid>
      <w:tr>
        <w:trPr>
          <w:tblHeader/>
        </w:trPr>
        <w:tc>
          <w:tcPr>
            <w:tcW w:type="dxa" w:w="202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الخطوة</w:t>
            </w:r>
          </w:p>
        </w:tc>
        <w:tc>
          <w:tcPr>
            <w:tcW w:type="dxa" w:w="530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الوصف</w:t>
            </w:r>
          </w:p>
        </w:tc>
        <w:tc>
          <w:tcPr>
            <w:tcW w:type="dxa" w:w="202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المهلة</w:t>
            </w:r>
          </w:p>
        </w:tc>
      </w:tr>
      <w:tr>
        <w:trPr>
          <w:tblHeader w:val="false"/>
        </w:trPr>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الطلب</w:t>
            </w:r>
          </w:p>
        </w:tc>
        <w:tc>
          <w:tcPr>
            <w:tcW w:type="dxa" w:w="53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يقدّم صاحب الحساب طلباً يحدد النظام والمهمة والمدة</w:t>
            </w:r>
          </w:p>
        </w:tc>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t>
            </w:r>
          </w:p>
        </w:tc>
      </w:tr>
      <w:tr>
        <w:trPr>
          <w:tblHeader w:val="false"/>
        </w:trPr>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الاعتماد</w:t>
            </w:r>
          </w:p>
        </w:tc>
        <w:tc>
          <w:tcPr>
            <w:tcW w:type="dxa" w:w="53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يعتمده مالك النظام، ويعتمده رئيس الأمن السيبراني للأنظمة المصنّفة حساسة</w:t>
            </w:r>
          </w:p>
        </w:tc>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خلال يوم عمل</w:t>
            </w:r>
          </w:p>
        </w:tc>
      </w:tr>
      <w:tr>
        <w:trPr>
          <w:tblHeader w:val="false"/>
        </w:trPr>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المنح</w:t>
            </w:r>
          </w:p>
        </w:tc>
        <w:tc>
          <w:tcPr>
            <w:tcW w:type="dxa" w:w="53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تُمنح الصلاحية لمدة محددة لا تتجاوز ثماني ساعات للمهام التشغيلية</w:t>
            </w:r>
          </w:p>
        </w:tc>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عند الاعتماد</w:t>
            </w:r>
          </w:p>
        </w:tc>
      </w:tr>
      <w:tr>
        <w:trPr>
          <w:tblHeader w:val="false"/>
        </w:trPr>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السحب الآلي</w:t>
            </w:r>
          </w:p>
        </w:tc>
        <w:tc>
          <w:tcPr>
            <w:tcW w:type="dxa" w:w="53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تُسحب الصلاحية آلياً عند انتهاء المدة دون طلب</w:t>
            </w:r>
          </w:p>
        </w:tc>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آلي</w:t>
            </w:r>
          </w:p>
        </w:tc>
      </w:tr>
      <w:tr>
        <w:trPr>
          <w:tblHeader w:val="false"/>
        </w:trPr>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التوثيق</w:t>
            </w:r>
          </w:p>
        </w:tc>
        <w:tc>
          <w:tcPr>
            <w:tcW w:type="dxa" w:w="53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يُسجَّل الطلب والاعتماد والمنح والسحب وكل أمر نُفِّذ خلال الجلسة</w:t>
            </w:r>
          </w:p>
        </w:tc>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آلي</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قاعدة ملزِمة:</w:t>
      </w:r>
      <w:r>
        <w:rPr>
          <w:rFonts w:ascii="Arial" w:cs="Arial" w:eastAsia="Arial" w:hAnsi="Arial"/>
          <w:b w:val="false"/>
          <w:bCs w:val="false"/>
          <w:color w:val="16202A"/>
          <w:sz w:val="21"/>
          <w:szCs w:val="21"/>
          <w:rtl/>
        </w:rPr>
        <w:t xml:space="preserve"> لا تُمنح صلاحية إدارية دائمة على بيئة الإنتاج لأي شخص. الصلاحية الدائمة هي الاستثناء الذي يتطلب اعتماد الرئيس التنفيذي ومراجعة ربع سنوية.</w:t>
      </w:r>
    </w:p>
    <w:p>
      <w:pPr>
        <w:pStyle w:val="Heading3"/>
        <w:bidi/>
        <w:spacing w:after="90" w:before="200" w:line="300"/>
        <w:jc w:val="start"/>
      </w:pPr>
      <w:r>
        <w:rPr>
          <w:rFonts w:ascii="Arial" w:cs="Arial" w:eastAsia="Arial" w:hAnsi="Arial"/>
          <w:b/>
          <w:bCs/>
          <w:color w:val="0C1F3D"/>
          <w:sz w:val="23"/>
          <w:szCs w:val="23"/>
          <w:rtl/>
        </w:rPr>
        <w:t xml:space="preserve">خامساً: المصادقة والحماية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المصادقة متعددة العناصر إلزامية على كل استخدام لحساب ذي صلاحيات هامة.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يُمنع الوصول الإداري مباشرةً من أجهزة المستخدمين العادية، ويتم عبر محطة وصول مُدارة أو بوابة وصول مخصصة.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تُحفظ بيانات اعتماد الحسابات الإدارية في خزنة الأسرار المركزية، وتُدوَّر كل تسعين يوماً وعند كل مغادرة لصاحب صلاحيات.</w:t>
      </w:r>
    </w:p>
    <w:p>
      <w:pPr>
        <w:pStyle w:val="Heading3"/>
        <w:bidi/>
        <w:spacing w:after="90" w:before="200" w:line="300"/>
        <w:jc w:val="start"/>
      </w:pPr>
      <w:r>
        <w:rPr>
          <w:rFonts w:ascii="Arial" w:cs="Arial" w:eastAsia="Arial" w:hAnsi="Arial"/>
          <w:b/>
          <w:bCs/>
          <w:color w:val="0C1F3D"/>
          <w:sz w:val="23"/>
          <w:szCs w:val="23"/>
          <w:rtl/>
        </w:rPr>
        <w:t xml:space="preserve">سادساً: المراقبة والتسجيل</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960"/>
        <w:gridCol w:w="5400"/>
      </w:tblGrid>
      <w:tr>
        <w:trPr>
          <w:tblHeader/>
        </w:trPr>
        <w:tc>
          <w:tcPr>
            <w:tcW w:type="dxa" w:w="396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الحدث</w:t>
            </w:r>
          </w:p>
        </w:tc>
        <w:tc>
          <w:tcPr>
            <w:tcW w:type="dxa" w:w="540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المتطلب</w:t>
            </w:r>
          </w:p>
        </w:tc>
      </w:tr>
      <w:tr>
        <w:trPr>
          <w:tblHeader w:val="false"/>
        </w:trPr>
        <w:tc>
          <w:tcPr>
            <w:tcW w:type="dxa" w:w="396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كل استخدام لحساب ذي صلاحيات هامة</w:t>
            </w:r>
          </w:p>
        </w:tc>
        <w:tc>
          <w:tcPr>
            <w:tcW w:type="dxa" w:w="54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يُسجَّل مع المصدر والتوقيت والأوامر المنفَّذة</w:t>
            </w:r>
          </w:p>
        </w:tc>
      </w:tr>
      <w:tr>
        <w:trPr>
          <w:tblHeader w:val="false"/>
        </w:trPr>
        <w:tc>
          <w:tcPr>
            <w:tcW w:type="dxa" w:w="396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استخدام خارج ساعات العمل المعتادة</w:t>
            </w:r>
          </w:p>
        </w:tc>
        <w:tc>
          <w:tcPr>
            <w:tcW w:type="dxa" w:w="54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يُولّد تنبيهاً يُراجَع خلال ساعة</w:t>
            </w:r>
          </w:p>
        </w:tc>
      </w:tr>
      <w:tr>
        <w:trPr>
          <w:tblHeader w:val="false"/>
        </w:trPr>
        <w:tc>
          <w:tcPr>
            <w:tcW w:type="dxa" w:w="396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منح صلاحية إدارية جديدة</w:t>
            </w:r>
          </w:p>
        </w:tc>
        <w:tc>
          <w:tcPr>
            <w:tcW w:type="dxa" w:w="54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يُولّد تنبيهاً لوحدة الحوكمة</w:t>
            </w:r>
          </w:p>
        </w:tc>
      </w:tr>
      <w:tr>
        <w:trPr>
          <w:tblHeader w:val="false"/>
        </w:trPr>
        <w:tc>
          <w:tcPr>
            <w:tcW w:type="dxa" w:w="396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فشل مصادقة متكرر على حساب إداري</w:t>
            </w:r>
          </w:p>
        </w:tc>
        <w:tc>
          <w:tcPr>
            <w:tcW w:type="dxa" w:w="54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يُولّد تنبيهاً فورياً لمركز العمليات الأمنية</w:t>
            </w:r>
          </w:p>
        </w:tc>
      </w:tr>
      <w:tr>
        <w:trPr>
          <w:tblHeader w:val="false"/>
        </w:trPr>
        <w:tc>
          <w:tcPr>
            <w:tcW w:type="dxa" w:w="396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تعطيل التسجيل أو تعديل السجلات</w:t>
            </w:r>
          </w:p>
        </w:tc>
        <w:tc>
          <w:tcPr>
            <w:tcW w:type="dxa" w:w="54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يُعامَل حدثاً أمنياً حرجاً</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3"/>
        <w:bidi/>
        <w:spacing w:after="90" w:before="200" w:line="300"/>
        <w:jc w:val="start"/>
      </w:pPr>
      <w:r>
        <w:rPr>
          <w:rFonts w:ascii="Arial" w:cs="Arial" w:eastAsia="Arial" w:hAnsi="Arial"/>
          <w:b/>
          <w:bCs/>
          <w:color w:val="0C1F3D"/>
          <w:sz w:val="23"/>
          <w:szCs w:val="23"/>
          <w:rtl/>
        </w:rPr>
        <w:t xml:space="preserve">سابعاً: المراجعة</w:t>
      </w:r>
    </w:p>
    <w:p>
      <w:pPr>
        <w:bidi/>
        <w:spacing w:after="140" w:before="0" w:line="300"/>
        <w:jc w:val="start"/>
      </w:pPr>
      <w:r>
        <w:rPr>
          <w:rFonts w:ascii="Arial" w:cs="Arial" w:eastAsia="Arial" w:hAnsi="Arial"/>
          <w:b w:val="false"/>
          <w:bCs w:val="false"/>
          <w:color w:val="16202A"/>
          <w:sz w:val="21"/>
          <w:szCs w:val="21"/>
          <w:rtl/>
        </w:rPr>
        <w:t xml:space="preserve">تُراجَع قائمة الحسابات ذات الصلاحيات الهامة ربع سنوياً من رئيس الأمن السيبراني، ويُلغى كل حساب لم يُستخدم خلال تسعين يوماً أو لم يعد مبرراً بدوره الوظيفي.</w:t>
      </w:r>
    </w:p>
    <w:p>
      <w:pPr>
        <w:pStyle w:val="Heading2"/>
        <w:bidi/>
        <w:spacing w:after="120" w:before="280" w:line="300"/>
        <w:jc w:val="start"/>
      </w:pPr>
      <w:r>
        <w:rPr>
          <w:rFonts w:ascii="Arial" w:cs="Arial" w:eastAsia="Arial" w:hAnsi="Arial"/>
          <w:b/>
          <w:bCs/>
          <w:color w:val="15325C"/>
          <w:sz w:val="27"/>
          <w:szCs w:val="27"/>
          <w:rtl/>
        </w:rPr>
        <w:t xml:space="preserve">أدلة الالتزام المطلوبة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6392"/>
        <w:gridCol w:w="2968"/>
      </w:tblGrid>
      <w:tr>
        <w:trPr>
          <w:tblHeader/>
        </w:trPr>
        <w:tc>
          <w:tcPr>
            <w:tcW w:type="dxa" w:w="639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الدليل</w:t>
            </w:r>
          </w:p>
        </w:tc>
        <w:tc>
          <w:tcPr>
            <w:tcW w:type="dxa" w:w="296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المصدر</w:t>
            </w:r>
          </w:p>
        </w:tc>
      </w:tr>
      <w:tr>
        <w:trPr>
          <w:tblHeader w:val="false"/>
        </w:trPr>
        <w:tc>
          <w:tcPr>
            <w:tcW w:type="dxa" w:w="63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هذا المعيار معتمداً من صاحب الصلاحية</w:t>
            </w:r>
          </w:p>
        </w:tc>
        <w:tc>
          <w:tcPr>
            <w:tcW w:type="dxa" w:w="296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r>
      <w:tr>
        <w:trPr>
          <w:tblHeader w:val="false"/>
        </w:trPr>
        <w:tc>
          <w:tcPr>
            <w:tcW w:type="dxa" w:w="639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قائمة الحسابات ذات الصلاحيات الهامة ومالكيها</w:t>
            </w:r>
          </w:p>
        </w:tc>
        <w:tc>
          <w:tcPr>
            <w:tcW w:type="dxa" w:w="296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r>
      <w:tr>
        <w:trPr>
          <w:tblHeader w:val="false"/>
        </w:trPr>
        <w:tc>
          <w:tcPr>
            <w:tcW w:type="dxa" w:w="63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دليل تعطيل الحسابات الافتراضية في الأنظمة</w:t>
            </w:r>
          </w:p>
        </w:tc>
        <w:tc>
          <w:tcPr>
            <w:tcW w:type="dxa" w:w="296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r>
      <w:tr>
        <w:trPr>
          <w:tblHeader w:val="false"/>
        </w:trPr>
        <w:tc>
          <w:tcPr>
            <w:tcW w:type="dxa" w:w="639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دليل وجود حسابين لكل صاحب صلاحيات هامة</w:t>
            </w:r>
          </w:p>
        </w:tc>
        <w:tc>
          <w:tcPr>
            <w:tcW w:type="dxa" w:w="296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r>
      <w:tr>
        <w:trPr>
          <w:tblHeader w:val="false"/>
        </w:trPr>
        <w:tc>
          <w:tcPr>
            <w:tcW w:type="dxa" w:w="63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دليل تفعيل المصادقة متعددة العناصر على الحسابات الإدارية</w:t>
            </w:r>
          </w:p>
        </w:tc>
        <w:tc>
          <w:tcPr>
            <w:tcW w:type="dxa" w:w="296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مركز العمليات الأمنية</w:t>
            </w:r>
          </w:p>
        </w:tc>
      </w:tr>
      <w:tr>
        <w:trPr>
          <w:tblHeader w:val="false"/>
        </w:trPr>
        <w:tc>
          <w:tcPr>
            <w:tcW w:type="dxa" w:w="639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عينة من سجل طلب ومنح وسحب صلاحية مؤقتة</w:t>
            </w:r>
          </w:p>
        </w:tc>
        <w:tc>
          <w:tcPr>
            <w:tcW w:type="dxa" w:w="296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r>
      <w:tr>
        <w:trPr>
          <w:tblHeader w:val="false"/>
        </w:trPr>
        <w:tc>
          <w:tcPr>
            <w:tcW w:type="dxa" w:w="63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المراجعة الربع سنوية معتمداً</w:t>
            </w:r>
          </w:p>
        </w:tc>
        <w:tc>
          <w:tcPr>
            <w:tcW w:type="dxa" w:w="296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الأمن السيبراني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المراجعة والتحديث</w:t>
      </w:r>
    </w:p>
    <w:p>
      <w:pPr>
        <w:bidi/>
        <w:spacing w:after="140" w:before="0" w:line="300"/>
        <w:jc w:val="start"/>
      </w:pPr>
      <w:r>
        <w:rPr>
          <w:rFonts w:ascii="Arial" w:cs="Arial" w:eastAsia="Arial" w:hAnsi="Arial"/>
          <w:b w:val="false"/>
          <w:bCs w:val="false"/>
          <w:color w:val="16202A"/>
          <w:sz w:val="21"/>
          <w:szCs w:val="21"/>
          <w:rtl/>
        </w:rPr>
        <w:t xml:space="preserve">يُراجَع هذا المعيار سنوياً على الأقل، وعند إدخال منصات أو بيئات جديدة. وتُوثَّق التغييرات وتُعتمد من صاحب الصلاحية.</w:t>
      </w:r>
    </w:p>
    <w:p>
      <w:pPr>
        <w:pStyle w:val="Heading2"/>
        <w:bidi/>
        <w:spacing w:after="120" w:before="280" w:line="300"/>
        <w:jc w:val="start"/>
      </w:pPr>
      <w:r>
        <w:rPr>
          <w:rFonts w:ascii="Arial" w:cs="Arial" w:eastAsia="Arial" w:hAnsi="Arial"/>
          <w:b/>
          <w:bCs/>
          <w:color w:val="15325C"/>
          <w:sz w:val="27"/>
          <w:szCs w:val="27"/>
          <w:rtl/>
        </w:rPr>
        <w:t xml:space="preserve">سجل التغييرات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40"/>
        <w:gridCol w:w="2340"/>
        <w:gridCol w:w="2340"/>
        <w:gridCol w:w="2340"/>
      </w:tblGrid>
      <w:tr>
        <w:trPr>
          <w:tblHeader/>
        </w:trPr>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الإصدار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التغيير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المعتمِد</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الأول ١٤٤٨هـ</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الإصدار الأول</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080"/>
        <w:gridCol w:w="3120"/>
        <w:gridCol w:w="2080"/>
        <w:gridCol w:w="2080"/>
      </w:tblGrid>
      <w:tr>
        <w:trPr>
          <w:tblHeader/>
        </w:trPr>
        <w:tc>
          <w:tcPr>
            <w:tcW w:type="dxa" w:w="20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312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20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20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 بواسطة</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 والبنية التحتية</w:t>
            </w:r>
          </w:p>
        </w:tc>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رُوجع بواسطة</w:t>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w:t>
            </w:r>
          </w:p>
        </w:tc>
        <w:tc>
          <w:tcPr>
            <w:tcW w:type="dxa" w:w="2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 بواسطة</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w:t>
            </w:r>
          </w:p>
        </w:tc>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CS-STD-003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CS-STD-003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CS-STD-003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2026-10-04T11:47:59.498Z</dcterms:created>
  <dcterms:modified xsi:type="dcterms:W3CDTF">2026-10-04T11:47:59.498Z</dcterms:modified>
</cp:coreProperties>
</file>

<file path=docProps/custom.xml><?xml version="1.0" encoding="utf-8"?>
<Properties xmlns="http://schemas.openxmlformats.org/officeDocument/2006/custom-properties" xmlns:vt="http://schemas.openxmlformats.org/officeDocument/2006/docPropsVTypes"/>
</file>