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معيار تقني</w:t>
            </w:r>
          </w:p>
          <w:p>
            <w:pPr>
              <w:bidi/>
              <w:spacing w:after="120" w:before="0" w:line="420"/>
              <w:jc w:val="start"/>
            </w:pPr>
            <w:r>
              <w:rPr>
                <w:rFonts w:ascii="Arial" w:cs="Arial" w:eastAsia="Arial" w:hAnsi="Arial"/>
                <w:b/>
                <w:bCs/>
                <w:color w:val="FFFFFF"/>
                <w:sz w:val="52"/>
                <w:szCs w:val="52"/>
                <w:rtl/>
              </w:rPr>
              <w:t xml:space="preserve">معيار تحصين الأنظمة وأجهزة معالجة المعلومات</w:t>
            </w:r>
          </w:p>
          <w:p>
            <w:pPr>
              <w:bidi/>
              <w:spacing w:after="260" w:before="0" w:line="300"/>
              <w:jc w:val="start"/>
            </w:pPr>
            <w:r>
              <w:rPr>
                <w:rFonts w:ascii="Arial" w:cs="Arial" w:eastAsia="Arial" w:hAnsi="Arial"/>
                <w:b w:val="false"/>
                <w:bCs w:val="false"/>
                <w:color w:val="AFC4D4"/>
                <w:sz w:val="22"/>
                <w:szCs w:val="22"/>
                <w:rtl/>
              </w:rPr>
              <w:t xml:space="preserve">النسخ الأساسية المحصَّنة · حزم التحديثات · الحماية من البرمجيات الضارة</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CS-STD-012</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مدير العمليات السحابية والبنية التحتية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2-3-1 · 2-3-3</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معيار تحصين الأنظمة وأجهزة معالجة المعلومات</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يحدد هذا المعيار متطلبات تحصين الأنظمة وأجهزة معالجة المعلومات في شركة نَسَق للحلول الرقمية، ودورة إدارة حزم التحديثات، والحماية من البرمجيات الضارة، وتقييد وسائط التخزين، ويُعدّ مخرَجاً من حزمة العمل WP-16.</w:t>
      </w:r>
    </w:p>
    <w:p>
      <w:pPr>
        <w:pStyle w:val="Heading2"/>
        <w:bidi/>
        <w:spacing w:after="120" w:before="280" w:line="300"/>
        <w:jc w:val="start"/>
      </w:pPr>
      <w:r>
        <w:rPr>
          <w:rFonts w:ascii="Arial" w:cs="Arial" w:eastAsia="Arial" w:hAnsi="Arial"/>
          <w:b/>
          <w:bCs/>
          <w:color w:val="15325C"/>
          <w:sz w:val="27"/>
          <w:szCs w:val="27"/>
          <w:rtl/>
        </w:rPr>
        <w:t xml:space="preserve">النطاق</w:t>
      </w:r>
    </w:p>
    <w:p>
      <w:pPr>
        <w:bidi/>
        <w:spacing w:after="140" w:before="0" w:line="300"/>
        <w:jc w:val="start"/>
      </w:pPr>
      <w:r>
        <w:rPr>
          <w:rFonts w:ascii="Arial" w:cs="Arial" w:eastAsia="Arial" w:hAnsi="Arial"/>
          <w:b w:val="false"/>
          <w:bCs w:val="false"/>
          <w:color w:val="16202A"/>
          <w:sz w:val="21"/>
          <w:szCs w:val="21"/>
          <w:rtl/>
        </w:rPr>
        <w:t xml:space="preserve">الخوادم المادية والافتراضية، وقواعد البيانات، وصور الحاويات وعُقد المنصة، وأجهزة الشبكة والأمن، وأجهزة المستخدمين، وموارد البيئة السحابية.</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532"/>
        <w:gridCol w:w="4828"/>
      </w:tblGrid>
      <w:tr>
        <w:trPr>
          <w:tblHeader/>
        </w:trPr>
        <w:tc>
          <w:tcPr>
            <w:tcW w:type="dxa" w:w="453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482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45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المكوّن الفرعي ٢-٣</w:t>
            </w:r>
          </w:p>
        </w:tc>
        <w:tc>
          <w:tcPr>
            <w:tcW w:type="dxa" w:w="48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الضوابط التي يستوفيها هذا المعيار</w:t>
            </w:r>
          </w:p>
        </w:tc>
      </w:tr>
      <w:tr>
        <w:trPr>
          <w:tblHeader w:val="false"/>
        </w:trPr>
        <w:tc>
          <w:tcPr>
            <w:tcW w:type="dxa" w:w="453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مصفوفة تغطية متطلبات المكوّن الثاني CS-DOC-006</w:t>
            </w:r>
          </w:p>
        </w:tc>
        <w:tc>
          <w:tcPr>
            <w:tcW w:type="dxa" w:w="48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يغلق هذا المعيار الفجوات المعيارية المسجَّلة فيها</w:t>
            </w:r>
          </w:p>
        </w:tc>
      </w:tr>
      <w:tr>
        <w:trPr>
          <w:tblHeader w:val="false"/>
        </w:trPr>
        <w:tc>
          <w:tcPr>
            <w:tcW w:type="dxa" w:w="453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إدارة الثغرات التقنية CS-STD-008</w:t>
            </w:r>
          </w:p>
        </w:tc>
        <w:tc>
          <w:tcPr>
            <w:tcW w:type="dxa" w:w="482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معالجة الثغرات المكتشفة بعد التحصين</w:t>
            </w:r>
          </w:p>
        </w:tc>
      </w:tr>
      <w:tr>
        <w:trPr>
          <w:tblHeader w:val="false"/>
        </w:trPr>
        <w:tc>
          <w:tcPr>
            <w:tcW w:type="dxa" w:w="453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عزل البيئات وتقسيم الشبكة CS-STD-005</w:t>
            </w:r>
          </w:p>
        </w:tc>
        <w:tc>
          <w:tcPr>
            <w:tcW w:type="dxa" w:w="482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الموضع الشبكي للأصول المحصَّنة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مبدأ النسخة الأساسية المحصَّنة</w:t>
      </w:r>
    </w:p>
    <w:p>
      <w:pPr>
        <w:bidi/>
        <w:spacing w:after="140" w:before="0" w:line="300"/>
        <w:jc w:val="start"/>
      </w:pPr>
      <w:r>
        <w:rPr>
          <w:rFonts w:ascii="Arial" w:cs="Arial" w:eastAsia="Arial" w:hAnsi="Arial"/>
          <w:b w:val="false"/>
          <w:bCs w:val="false"/>
          <w:color w:val="16202A"/>
          <w:sz w:val="21"/>
          <w:szCs w:val="21"/>
          <w:rtl/>
        </w:rPr>
        <w:t xml:space="preserve">تُعتمد </w:t>
      </w:r>
      <w:r>
        <w:rPr>
          <w:rFonts w:ascii="Arial" w:cs="Arial" w:eastAsia="Arial" w:hAnsi="Arial"/>
          <w:b/>
          <w:bCs/>
          <w:color w:val="15325C"/>
          <w:sz w:val="21"/>
          <w:szCs w:val="21"/>
          <w:rtl/>
        </w:rPr>
        <w:t xml:space="preserve">نسخة أساسية محصَّنة</w:t>
      </w:r>
      <w:r>
        <w:rPr>
          <w:rFonts w:ascii="Arial" w:cs="Arial" w:eastAsia="Arial" w:hAnsi="Arial"/>
          <w:b w:val="false"/>
          <w:bCs w:val="false"/>
          <w:color w:val="16202A"/>
          <w:sz w:val="21"/>
          <w:szCs w:val="21"/>
          <w:rtl/>
        </w:rPr>
        <w:t xml:space="preserve"> لكل نوع نظام، ولا يُنشأ أصل في بيئة الإنتاج إلا منها. ويُمنع تحصين الأصول فردياً بعد إنشائها، لأن التحصين اليدوي لا يتكرر بدقة ولا يُقاس.</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674"/>
        <w:gridCol w:w="4011"/>
        <w:gridCol w:w="2675"/>
      </w:tblGrid>
      <w:tr>
        <w:trPr>
          <w:tblHeader/>
        </w:trPr>
        <w:tc>
          <w:tcPr>
            <w:tcW w:type="dxa" w:w="267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نوع النظام</w:t>
            </w:r>
          </w:p>
        </w:tc>
        <w:tc>
          <w:tcPr>
            <w:tcW w:type="dxa" w:w="401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النسخة الأساسية</w:t>
            </w:r>
          </w:p>
        </w:tc>
        <w:tc>
          <w:tcPr>
            <w:tcW w:type="dxa" w:w="267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آلية الإنشاء</w:t>
            </w:r>
          </w:p>
        </w:tc>
      </w:tr>
      <w:tr>
        <w:trPr>
          <w:tblHeader w:val="false"/>
        </w:trPr>
        <w:tc>
          <w:tcPr>
            <w:tcW w:type="dxa" w:w="267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أنظمة تشغيل الخوادم</w:t>
            </w:r>
          </w:p>
        </w:tc>
        <w:tc>
          <w:tcPr>
            <w:tcW w:type="dxa" w:w="40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نسخة محصَّنة لكل إصدار مدعوم</w:t>
            </w:r>
          </w:p>
        </w:tc>
        <w:tc>
          <w:tcPr>
            <w:tcW w:type="dxa" w:w="267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البنية ككود</w:t>
            </w:r>
          </w:p>
        </w:tc>
      </w:tr>
      <w:tr>
        <w:trPr>
          <w:tblHeader w:val="false"/>
        </w:trPr>
        <w:tc>
          <w:tcPr>
            <w:tcW w:type="dxa" w:w="267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قواعد البيانات</w:t>
            </w:r>
          </w:p>
        </w:tc>
        <w:tc>
          <w:tcPr>
            <w:tcW w:type="dxa" w:w="401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إعدادات محصَّنة لكل محرك</w:t>
            </w:r>
          </w:p>
        </w:tc>
        <w:tc>
          <w:tcPr>
            <w:tcW w:type="dxa" w:w="267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البنية ككود</w:t>
            </w:r>
          </w:p>
        </w:tc>
      </w:tr>
      <w:tr>
        <w:trPr>
          <w:tblHeader w:val="false"/>
        </w:trPr>
        <w:tc>
          <w:tcPr>
            <w:tcW w:type="dxa" w:w="267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صور الحاويات</w:t>
            </w:r>
          </w:p>
        </w:tc>
        <w:tc>
          <w:tcPr>
            <w:tcW w:type="dxa" w:w="40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صور أساسية محصَّنة معتمدة</w:t>
            </w:r>
          </w:p>
        </w:tc>
        <w:tc>
          <w:tcPr>
            <w:tcW w:type="dxa" w:w="267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صور داخلي</w:t>
            </w:r>
          </w:p>
        </w:tc>
      </w:tr>
      <w:tr>
        <w:trPr>
          <w:tblHeader w:val="false"/>
        </w:trPr>
        <w:tc>
          <w:tcPr>
            <w:tcW w:type="dxa" w:w="267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أجهزة المستخدمين</w:t>
            </w:r>
          </w:p>
        </w:tc>
        <w:tc>
          <w:tcPr>
            <w:tcW w:type="dxa" w:w="401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صورة محصَّنة للأجهزة المكتبية والمحمولة</w:t>
            </w:r>
          </w:p>
        </w:tc>
        <w:tc>
          <w:tcPr>
            <w:tcW w:type="dxa" w:w="267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أداة إدارة الأجهزة</w:t>
            </w:r>
          </w:p>
        </w:tc>
      </w:tr>
      <w:tr>
        <w:trPr>
          <w:tblHeader w:val="false"/>
        </w:trPr>
        <w:tc>
          <w:tcPr>
            <w:tcW w:type="dxa" w:w="267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أجهزة الشبكة</w:t>
            </w:r>
          </w:p>
        </w:tc>
        <w:tc>
          <w:tcPr>
            <w:tcW w:type="dxa" w:w="40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ملف إعدادات معياري</w:t>
            </w:r>
          </w:p>
        </w:tc>
        <w:tc>
          <w:tcPr>
            <w:tcW w:type="dxa" w:w="267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الإعدادات</w:t>
            </w:r>
          </w:p>
        </w:tc>
      </w:tr>
      <w:tr>
        <w:trPr>
          <w:tblHeader w:val="false"/>
        </w:trPr>
        <w:tc>
          <w:tcPr>
            <w:tcW w:type="dxa" w:w="267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الموارد السحابية</w:t>
            </w:r>
          </w:p>
        </w:tc>
        <w:tc>
          <w:tcPr>
            <w:tcW w:type="dxa" w:w="401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قوالب إعدادات آمنة</w:t>
            </w:r>
          </w:p>
        </w:tc>
        <w:tc>
          <w:tcPr>
            <w:tcW w:type="dxa" w:w="267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البنية ككود</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متطلبات التحصين الدنيا</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797"/>
        <w:gridCol w:w="6563"/>
      </w:tblGrid>
      <w:tr>
        <w:trPr>
          <w:tblHeader/>
        </w:trPr>
        <w:tc>
          <w:tcPr>
            <w:tcW w:type="dxa" w:w="279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w:t>
            </w:r>
          </w:p>
        </w:tc>
        <w:tc>
          <w:tcPr>
            <w:tcW w:type="dxa" w:w="656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r>
      <w:tr>
        <w:trPr>
          <w:tblHeader w:val="false"/>
        </w:trPr>
        <w:tc>
          <w:tcPr>
            <w:tcW w:type="dxa" w:w="27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w:t>
            </w:r>
          </w:p>
        </w:tc>
        <w:tc>
          <w:tcPr>
            <w:tcW w:type="dxa" w:w="65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تعطيل أو إزالة الخدمات والمنافذ والبرمجيات غير الضرورية</w:t>
            </w:r>
          </w:p>
        </w:tc>
      </w:tr>
      <w:tr>
        <w:trPr>
          <w:tblHeader w:val="false"/>
        </w:trPr>
        <w:tc>
          <w:tcPr>
            <w:tcW w:type="dxa" w:w="27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w:t>
            </w:r>
          </w:p>
        </w:tc>
        <w:tc>
          <w:tcPr>
            <w:tcW w:type="dxa" w:w="65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تعطيل الحسابات الافتراضية أو تغيير بيانات اعتمادها</w:t>
            </w:r>
          </w:p>
        </w:tc>
      </w:tr>
      <w:tr>
        <w:trPr>
          <w:tblHeader w:val="false"/>
        </w:trPr>
        <w:tc>
          <w:tcPr>
            <w:tcW w:type="dxa" w:w="27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w:t>
            </w:r>
          </w:p>
        </w:tc>
        <w:tc>
          <w:tcPr>
            <w:tcW w:type="dxa" w:w="65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إزالة الحسابات المشتركة والحسابات غير المستخدمة</w:t>
            </w:r>
          </w:p>
        </w:tc>
      </w:tr>
      <w:tr>
        <w:trPr>
          <w:tblHeader w:val="false"/>
        </w:trPr>
        <w:tc>
          <w:tcPr>
            <w:tcW w:type="dxa" w:w="27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w:t>
            </w:r>
          </w:p>
        </w:tc>
        <w:tc>
          <w:tcPr>
            <w:tcW w:type="dxa" w:w="65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تفعيل تسجيل الأحداث وإرسالها لنظام إدارة الأحداث</w:t>
            </w:r>
          </w:p>
        </w:tc>
      </w:tr>
      <w:tr>
        <w:trPr>
          <w:tblHeader w:val="false"/>
        </w:trPr>
        <w:tc>
          <w:tcPr>
            <w:tcW w:type="dxa" w:w="27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٥</w:t>
            </w:r>
          </w:p>
        </w:tc>
        <w:tc>
          <w:tcPr>
            <w:tcW w:type="dxa" w:w="65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تطبيق مبدأ الحد الأدنى من الصلاحيات على حسابات الخدمة</w:t>
            </w:r>
          </w:p>
        </w:tc>
      </w:tr>
      <w:tr>
        <w:trPr>
          <w:tblHeader w:val="false"/>
        </w:trPr>
        <w:tc>
          <w:tcPr>
            <w:tcW w:type="dxa" w:w="27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c>
          <w:tcPr>
            <w:tcW w:type="dxa" w:w="65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تفعيل تشفير الأقراص والاتصالات</w:t>
            </w:r>
          </w:p>
        </w:tc>
      </w:tr>
      <w:tr>
        <w:trPr>
          <w:tblHeader w:val="false"/>
        </w:trPr>
        <w:tc>
          <w:tcPr>
            <w:tcW w:type="dxa" w:w="27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w:t>
            </w:r>
          </w:p>
        </w:tc>
        <w:tc>
          <w:tcPr>
            <w:tcW w:type="dxa" w:w="65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ضبط مهلة انتهاء الجلسات الخاملة</w:t>
            </w:r>
          </w:p>
        </w:tc>
      </w:tr>
      <w:tr>
        <w:trPr>
          <w:tblHeader w:val="false"/>
        </w:trPr>
        <w:tc>
          <w:tcPr>
            <w:tcW w:type="dxa" w:w="27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٨</w:t>
            </w:r>
          </w:p>
        </w:tc>
        <w:tc>
          <w:tcPr>
            <w:tcW w:type="dxa" w:w="65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منع الوصول المباشر للإنترنت من أصول شبكتي التطبيقات والبيانات</w:t>
            </w:r>
          </w:p>
        </w:tc>
      </w:tr>
      <w:tr>
        <w:trPr>
          <w:tblHeader w:val="false"/>
        </w:trPr>
        <w:tc>
          <w:tcPr>
            <w:tcW w:type="dxa" w:w="27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w:t>
            </w:r>
          </w:p>
        </w:tc>
        <w:tc>
          <w:tcPr>
            <w:tcW w:type="dxa" w:w="65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ضبط مزامنة الوقت مع المصدر الموحد</w:t>
            </w:r>
          </w:p>
        </w:tc>
      </w:tr>
      <w:tr>
        <w:trPr>
          <w:tblHeader w:val="false"/>
        </w:trPr>
        <w:tc>
          <w:tcPr>
            <w:tcW w:type="dxa" w:w="27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65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منع الإقلاع من وسائط خارجية على الخوادم</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قياس الالتزام بالتحصين</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يُفحص التزام كل أصل بنسخته الأساسية </w:t>
      </w:r>
      <w:r>
        <w:rPr>
          <w:rFonts w:ascii="Arial" w:cs="Arial" w:eastAsia="Arial" w:hAnsi="Arial"/>
          <w:b/>
          <w:bCs/>
          <w:color w:val="15325C"/>
          <w:sz w:val="21"/>
          <w:szCs w:val="21"/>
          <w:rtl/>
        </w:rPr>
        <w:t xml:space="preserve">آلياً وأسبوعياً</w:t>
      </w:r>
      <w:r>
        <w:rPr>
          <w:rFonts w:ascii="Arial" w:cs="Arial" w:eastAsia="Arial" w:hAnsi="Arial"/>
          <w:b w:val="false"/>
          <w:bCs w:val="false"/>
          <w:color w:val="16202A"/>
          <w:sz w:val="21"/>
          <w:szCs w:val="21"/>
          <w:rtl/>
        </w:rPr>
        <w:t xml:space="preserve">.</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يُولَّد تنبيه عند انحراف أي أصل عن نسخته الأساسية.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الانحراف على أصل في بيئة الإنتاج يُعالَج خلال سبعة أيام أو يُوثَّق كاستثناء معتمد.</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لا يُسمح بنشر أصل في الإنتاج بنسبة التزام تحصين أقل من ٩٥٪ من بنود نسخته الأساسية.</w:t>
      </w:r>
    </w:p>
    <w:p>
      <w:pPr>
        <w:pStyle w:val="Heading2"/>
        <w:bidi/>
        <w:spacing w:after="120" w:before="280" w:line="300"/>
        <w:jc w:val="start"/>
      </w:pPr>
      <w:r>
        <w:rPr>
          <w:rFonts w:ascii="Arial" w:cs="Arial" w:eastAsia="Arial" w:hAnsi="Arial"/>
          <w:b/>
          <w:bCs/>
          <w:color w:val="15325C"/>
          <w:sz w:val="27"/>
          <w:szCs w:val="27"/>
          <w:rtl/>
        </w:rPr>
        <w:t xml:space="preserve">إدارة حزم التحديثات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فئة الأصل</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تحديثات أمنية حرجة</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تحديثات أمنية عالية</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تحديثات أخرى</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أنظمة مستضافة لجهات عميلة</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 أيام</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٣٠ يوماً</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دورة ربع سنوية</w:t>
            </w:r>
          </w:p>
        </w:tc>
      </w:tr>
      <w:tr>
        <w:trPr>
          <w:tblHeader w:val="false"/>
        </w:trPr>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بنية تحتية داخلية</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١٤ يوماً</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٤٥ يوماً</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دورة ربع سنوية</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أجهزة المستخدمين</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٧ أيام</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 يوماً</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دورة شهرية</w:t>
            </w:r>
          </w:p>
        </w:tc>
      </w:tr>
      <w:tr>
        <w:trPr>
          <w:tblHeader w:val="false"/>
        </w:trPr>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أجهزة الشبكة والأمن</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١٤ يوماً</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٤٥ يوماً</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دورة نصف سنوية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قواعد التطبيق</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تُختبر التحديثات في بيئة ما قبل الإنتاج قبل تطبيقها على الإنتاج، عدا التحديثات الحرجة لثغرات مستغَلة فعلياً فتُطبَّق مباشرة بخطة تراجع جاهزة.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تُطبَّق التحديثات ضمن نوافذ معلنة للجهات العميلة.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يُوثَّق كل تأجيل بمبرر وضابط تعويضي ومهلة جديدة معتمدة.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الأصول التي انتهى دعم مورّدها تُدرَج في خطة إحلال، وتُقيَّد مخاطرتها في السجل حتى الإحلال.</w:t>
      </w:r>
    </w:p>
    <w:p>
      <w:pPr>
        <w:pStyle w:val="Heading2"/>
        <w:bidi/>
        <w:spacing w:after="120" w:before="280" w:line="300"/>
        <w:jc w:val="start"/>
      </w:pPr>
      <w:r>
        <w:rPr>
          <w:rFonts w:ascii="Arial" w:cs="Arial" w:eastAsia="Arial" w:hAnsi="Arial"/>
          <w:b/>
          <w:bCs/>
          <w:color w:val="15325C"/>
          <w:sz w:val="27"/>
          <w:szCs w:val="27"/>
          <w:rtl/>
        </w:rPr>
        <w:t xml:space="preserve">الحماية من البرمجيات الضارة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049"/>
        <w:gridCol w:w="6311"/>
      </w:tblGrid>
      <w:tr>
        <w:trPr>
          <w:tblHeader/>
        </w:trPr>
        <w:tc>
          <w:tcPr>
            <w:tcW w:type="dxa" w:w="304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البيئة</w:t>
            </w:r>
          </w:p>
        </w:tc>
        <w:tc>
          <w:tcPr>
            <w:tcW w:type="dxa" w:w="631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المتطلب</w:t>
            </w:r>
          </w:p>
        </w:tc>
      </w:tr>
      <w:tr>
        <w:trPr>
          <w:tblHeader w:val="false"/>
        </w:trPr>
        <w:tc>
          <w:tcPr>
            <w:tcW w:type="dxa" w:w="304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أجهزة المستخدمين</w:t>
            </w:r>
          </w:p>
        </w:tc>
        <w:tc>
          <w:tcPr>
            <w:tcW w:type="dxa" w:w="63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حل حماية متقدم مع الكشف والاستجابة · تحديث تلقائي · فحص دوري</w:t>
            </w:r>
          </w:p>
        </w:tc>
      </w:tr>
      <w:tr>
        <w:trPr>
          <w:tblHeader w:val="false"/>
        </w:trPr>
        <w:tc>
          <w:tcPr>
            <w:tcW w:type="dxa" w:w="304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خوادم الإنتاج</w:t>
            </w:r>
          </w:p>
        </w:tc>
        <w:tc>
          <w:tcPr>
            <w:tcW w:type="dxa" w:w="631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حل حماية مناسب لأحمال الخوادم دون إضرار بالأداء</w:t>
            </w:r>
          </w:p>
        </w:tc>
      </w:tr>
      <w:tr>
        <w:trPr>
          <w:tblHeader w:val="false"/>
        </w:trPr>
        <w:tc>
          <w:tcPr>
            <w:tcW w:type="dxa" w:w="304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عُقد الحاويات</w:t>
            </w:r>
          </w:p>
        </w:tc>
        <w:tc>
          <w:tcPr>
            <w:tcW w:type="dxa" w:w="63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مراقبة سلوكية على مستوى العقدة وفحص الصور قبل النشر</w:t>
            </w:r>
          </w:p>
        </w:tc>
      </w:tr>
      <w:tr>
        <w:trPr>
          <w:tblHeader w:val="false"/>
        </w:trPr>
        <w:tc>
          <w:tcPr>
            <w:tcW w:type="dxa" w:w="304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البريد الإلكتروني</w:t>
            </w:r>
          </w:p>
        </w:tc>
        <w:tc>
          <w:tcPr>
            <w:tcW w:type="dxa" w:w="631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وفق معيار حماية البريد CS-STD-013</w:t>
            </w:r>
          </w:p>
        </w:tc>
      </w:tr>
      <w:tr>
        <w:trPr>
          <w:tblHeader w:val="false"/>
        </w:trPr>
        <w:tc>
          <w:tcPr>
            <w:tcW w:type="dxa" w:w="304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الملفات المرفوعة في التطبيقات</w:t>
            </w:r>
          </w:p>
        </w:tc>
        <w:tc>
          <w:tcPr>
            <w:tcW w:type="dxa" w:w="631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إلزامي قبل التخزين</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تُغطّى </w:t>
      </w:r>
      <w:r>
        <w:rPr>
          <w:rFonts w:ascii="Arial" w:cs="Arial" w:eastAsia="Arial" w:hAnsi="Arial"/>
          <w:b/>
          <w:bCs/>
          <w:color w:val="15325C"/>
          <w:sz w:val="21"/>
          <w:szCs w:val="21"/>
          <w:rtl/>
        </w:rPr>
        <w:t xml:space="preserve">جميع</w:t>
      </w:r>
      <w:r>
        <w:rPr>
          <w:rFonts w:ascii="Arial" w:cs="Arial" w:eastAsia="Arial" w:hAnsi="Arial"/>
          <w:b w:val="false"/>
          <w:bCs w:val="false"/>
          <w:color w:val="16202A"/>
          <w:sz w:val="21"/>
          <w:szCs w:val="21"/>
          <w:rtl/>
        </w:rPr>
        <w:t xml:space="preserve"> الأصول دون استثناء، ويُعدّ أي أصل غير مغطى ملاحظةً تستوجب معالجة خلال أربعة عشر يوماً.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تُرسل تنبيهات الاكتشاف إلى مركز العمليات الأمنية آلياً.</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يُمنع تعطيل الحماية إلا بتفويض موثق ولمدة محددة.</w:t>
      </w:r>
    </w:p>
    <w:p>
      <w:pPr>
        <w:pStyle w:val="Heading2"/>
        <w:bidi/>
        <w:spacing w:after="120" w:before="280" w:line="300"/>
        <w:jc w:val="start"/>
      </w:pPr>
      <w:r>
        <w:rPr>
          <w:rFonts w:ascii="Arial" w:cs="Arial" w:eastAsia="Arial" w:hAnsi="Arial"/>
          <w:b/>
          <w:bCs/>
          <w:color w:val="15325C"/>
          <w:sz w:val="27"/>
          <w:szCs w:val="27"/>
          <w:rtl/>
        </w:rPr>
        <w:t xml:space="preserve">تقييد وسائط التخزين</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تُمنع وسائط التخزين الخارجية افتراضياً على جميع الأصول.</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يُمنح الاستثناء بموافقة موثقة من المدير المباشر ورئيس الأمن السيبراني ولمدة محددة.</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الوسائط المسموح بها تكون مشفَّرة ومسجَّلة في سجل الأصول.</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يُمنع الإقلاع من وسائط خارجية على الخوادم وأجهزة المستخدمين.</w:t>
      </w:r>
    </w:p>
    <w:p>
      <w:pPr>
        <w:bidi/>
        <w:spacing w:after="60" w:before="0" w:line="300"/>
        <w:ind w:right="280"/>
        <w:jc w:val="start"/>
      </w:pPr>
      <w:r>
        <w:rPr>
          <w:rFonts w:ascii="Arial" w:cs="Arial" w:eastAsia="Arial" w:hAnsi="Arial"/>
          <w:b/>
          <w:bCs/>
          <w:color w:val="C9A227"/>
          <w:sz w:val="21"/>
          <w:szCs w:val="21"/>
          <w:rtl/>
        </w:rPr>
        <w:t xml:space="preserve">•  </w:t>
      </w:r>
      <w:r>
        <w:rPr>
          <w:rFonts w:ascii="Arial" w:cs="Arial" w:eastAsia="Arial" w:hAnsi="Arial"/>
          <w:b w:val="false"/>
          <w:bCs w:val="false"/>
          <w:color w:val="16202A"/>
          <w:sz w:val="21"/>
          <w:szCs w:val="21"/>
          <w:rtl/>
        </w:rPr>
        <w:t xml:space="preserve">يُوثَّق كل استخدام مسموح به ويُرسل للسجلات.</w:t>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يُراجَع هذا المعيار سنوياً على الأقل، وتُراجَع النسخ الأساسية المحصَّنة نصف سنوياً وعند صدور إصدارات جديدة.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843"/>
        <w:gridCol w:w="3829"/>
        <w:gridCol w:w="1843"/>
        <w:gridCol w:w="1845"/>
      </w:tblGrid>
      <w:tr>
        <w:trPr>
          <w:tblHeader/>
        </w:trPr>
        <w:tc>
          <w:tcPr>
            <w:tcW w:type="dxa" w:w="184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82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184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184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18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 بواسطة</w:t>
            </w:r>
          </w:p>
        </w:tc>
        <w:tc>
          <w:tcPr>
            <w:tcW w:type="dxa" w:w="382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عمر البلوي — مدير العمليات السحابية والبنية التحتية</w:t>
            </w:r>
          </w:p>
        </w:tc>
        <w:tc>
          <w:tcPr>
            <w:tcW w:type="dxa" w:w="18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8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84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 بواسطة</w:t>
            </w:r>
          </w:p>
        </w:tc>
        <w:tc>
          <w:tcPr>
            <w:tcW w:type="dxa" w:w="382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184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84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18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 بواسطة</w:t>
            </w:r>
          </w:p>
        </w:tc>
        <w:tc>
          <w:tcPr>
            <w:tcW w:type="dxa" w:w="382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 · صاحب الصلاحية</w:t>
            </w:r>
          </w:p>
        </w:tc>
        <w:tc>
          <w:tcPr>
            <w:tcW w:type="dxa" w:w="184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184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CS-STD-012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CS-STD-012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CS-STD-012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2026-10-04T11:48:01.856Z</dcterms:created>
  <dcterms:modified xsi:type="dcterms:W3CDTF">2026-10-04T11:48:01.856Z</dcterms:modified>
</cp:coreProperties>
</file>

<file path=docProps/custom.xml><?xml version="1.0" encoding="utf-8"?>
<Properties xmlns="http://schemas.openxmlformats.org/officeDocument/2006/custom-properties" xmlns:vt="http://schemas.openxmlformats.org/officeDocument/2006/docPropsVTypes"/>
</file>