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سجل تنفيذ</w:t>
            </w:r>
          </w:p>
          <w:p>
            <w:pPr>
              <w:bidi/>
              <w:spacing w:after="120" w:before="0" w:line="420"/>
              <w:jc w:val="start"/>
            </w:pPr>
            <w:r>
              <w:rPr>
                <w:rFonts w:ascii="Arial" w:cs="Arial" w:eastAsia="Arial" w:hAnsi="Arial"/>
                <w:b/>
                <w:bCs/>
                <w:color w:val="FFFFFF"/>
                <w:sz w:val="52"/>
                <w:szCs w:val="52"/>
                <w:rtl/>
              </w:rPr>
              <w:t xml:space="preserve">سجل تنفيذ عزل بيئة الإنتاج والتحقق منه</w:t>
            </w:r>
          </w:p>
          <w:p>
            <w:pPr>
              <w:bidi/>
              <w:spacing w:after="260" w:before="0" w:line="300"/>
              <w:jc w:val="start"/>
            </w:pPr>
            <w:r>
              <w:rPr>
                <w:rFonts w:ascii="Arial" w:cs="Arial" w:eastAsia="Arial" w:hAnsi="Arial"/>
                <w:b w:val="false"/>
                <w:bCs w:val="false"/>
                <w:color w:val="AFC4D4"/>
                <w:sz w:val="22"/>
                <w:szCs w:val="22"/>
                <w:rtl/>
              </w:rPr>
              <w:t xml:space="preserve">سبعة مسارات مباشرة أُغلقت · عشرة اختبارات تحقق</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CS-REG-004</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وحدة الدفاع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رئيس الأمن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نصف سنوي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2-5-3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سجل تنفيذ عزل بيئة الإنتاج والتحقق منه</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يوثّق هذا السجل تنفيذ مشروع عزل شبكة بيئة الإنتاج عن شبكتي التطوير والاختبار في شركة نَسَق للحلول الرقمية، ونتائج اختبارات التحقق من فعالية العزل. ويُعدّ دليل التزام بالضابط ٢-٥-٣ ومخرَجاً من حزمة العمل WP-02.</w:t>
      </w:r>
    </w:p>
    <w:p>
      <w:pPr>
        <w:pStyle w:val="Heading2"/>
        <w:bidi/>
        <w:spacing w:after="120" w:before="280" w:line="300"/>
        <w:jc w:val="start"/>
      </w:pPr>
      <w:r>
        <w:rPr>
          <w:rFonts w:ascii="Arial" w:cs="Arial" w:eastAsia="Arial" w:hAnsi="Arial"/>
          <w:b/>
          <w:bCs/>
          <w:color w:val="15325C"/>
          <w:sz w:val="27"/>
          <w:szCs w:val="27"/>
          <w:rtl/>
        </w:rPr>
        <w:t xml:space="preserve">بيانات المشروع</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042"/>
        <w:gridCol w:w="6318"/>
      </w:tblGrid>
      <w:tr>
        <w:trPr>
          <w:tblHeader/>
        </w:trPr>
        <w:tc>
          <w:tcPr>
            <w:tcW w:type="dxa" w:w="304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631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البيان</w:t>
            </w:r>
          </w:p>
        </w:tc>
      </w:tr>
      <w:tr>
        <w:trPr>
          <w:tblHeader w:val="false"/>
        </w:trPr>
        <w:tc>
          <w:tcPr>
            <w:tcW w:type="dxa" w:w="30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رقم المشروع</w:t>
            </w:r>
          </w:p>
        </w:tc>
        <w:tc>
          <w:tcPr>
            <w:tcW w:type="dxa" w:w="63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NET-1448-001</w:t>
            </w:r>
          </w:p>
        </w:tc>
      </w:tr>
      <w:tr>
        <w:trPr>
          <w:tblHeader w:val="false"/>
        </w:trPr>
        <w:tc>
          <w:tcPr>
            <w:tcW w:type="dxa" w:w="30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المرجعية</w:t>
            </w:r>
          </w:p>
        </w:tc>
        <w:tc>
          <w:tcPr>
            <w:tcW w:type="dxa" w:w="63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عزل البيئات وتقسيم الشبكة CS-STD-005</w:t>
            </w:r>
          </w:p>
        </w:tc>
      </w:tr>
      <w:tr>
        <w:trPr>
          <w:tblHeader w:val="false"/>
        </w:trPr>
        <w:tc>
          <w:tcPr>
            <w:tcW w:type="dxa" w:w="30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المخاطرة المرتبطة</w:t>
            </w:r>
          </w:p>
        </w:tc>
        <w:tc>
          <w:tcPr>
            <w:tcW w:type="dxa" w:w="63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R-02</w:t>
            </w:r>
          </w:p>
        </w:tc>
      </w:tr>
      <w:tr>
        <w:trPr>
          <w:tblHeader w:val="false"/>
        </w:trPr>
        <w:tc>
          <w:tcPr>
            <w:tcW w:type="dxa" w:w="30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مالك التنفيذ</w:t>
            </w:r>
          </w:p>
        </w:tc>
        <w:tc>
          <w:tcPr>
            <w:tcW w:type="dxa" w:w="63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عمر البلوي — مدير العمليات السحابية والبنية التحتية</w:t>
            </w:r>
          </w:p>
        </w:tc>
      </w:tr>
      <w:tr>
        <w:trPr>
          <w:tblHeader w:val="false"/>
        </w:trPr>
        <w:tc>
          <w:tcPr>
            <w:tcW w:type="dxa" w:w="30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فترة التنفيذ</w:t>
            </w:r>
          </w:p>
        </w:tc>
        <w:tc>
          <w:tcPr>
            <w:tcW w:type="dxa" w:w="63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 – ٢٨ ربيع الأول ١٤٤٨هـ</w:t>
            </w:r>
          </w:p>
        </w:tc>
      </w:tr>
      <w:tr>
        <w:trPr>
          <w:tblHeader w:val="false"/>
        </w:trPr>
        <w:tc>
          <w:tcPr>
            <w:tcW w:type="dxa" w:w="30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نوافذ التنفيذ</w:t>
            </w:r>
          </w:p>
        </w:tc>
        <w:tc>
          <w:tcPr>
            <w:tcW w:type="dxa" w:w="63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ثلاث نوافذ صيانة معلنة مسبقاً للجهات العميلة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الوضع قبل التنفيذ</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944"/>
        <w:gridCol w:w="6416"/>
      </w:tblGrid>
      <w:tr>
        <w:trPr>
          <w:tblHeader/>
        </w:trPr>
        <w:tc>
          <w:tcPr>
            <w:tcW w:type="dxa" w:w="294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641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الوصف</w:t>
            </w:r>
          </w:p>
        </w:tc>
      </w:tr>
      <w:tr>
        <w:trPr>
          <w:tblHeader w:val="false"/>
        </w:trPr>
        <w:tc>
          <w:tcPr>
            <w:tcW w:type="dxa" w:w="29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بنية الشبكة</w:t>
            </w:r>
          </w:p>
        </w:tc>
        <w:tc>
          <w:tcPr>
            <w:tcW w:type="dxa" w:w="64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نطاق عنونة واحد يضم بيئات الإنتاج والاختبار والتطوير</w:t>
            </w:r>
          </w:p>
        </w:tc>
      </w:tr>
      <w:tr>
        <w:trPr>
          <w:tblHeader w:val="false"/>
        </w:trPr>
        <w:tc>
          <w:tcPr>
            <w:tcW w:type="dxa" w:w="294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الفصل بين البيئات</w:t>
            </w:r>
          </w:p>
        </w:tc>
        <w:tc>
          <w:tcPr>
            <w:tcW w:type="dxa" w:w="64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تقسيم منطقي جزئي دون قواعد حظر بين البيئات</w:t>
            </w:r>
          </w:p>
        </w:tc>
      </w:tr>
      <w:tr>
        <w:trPr>
          <w:tblHeader w:val="false"/>
        </w:trPr>
        <w:tc>
          <w:tcPr>
            <w:tcW w:type="dxa" w:w="29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المسارات المباشرة المرصودة</w:t>
            </w:r>
          </w:p>
        </w:tc>
        <w:tc>
          <w:tcPr>
            <w:tcW w:type="dxa" w:w="64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 مسارات تتيح الوصول من شبكة التطوير إلى قواعد بيانات الإنتاج</w:t>
            </w:r>
          </w:p>
        </w:tc>
      </w:tr>
      <w:tr>
        <w:trPr>
          <w:tblHeader w:val="false"/>
        </w:trPr>
        <w:tc>
          <w:tcPr>
            <w:tcW w:type="dxa" w:w="294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بيانات الإنتاج في بيئات أخرى</w:t>
            </w:r>
          </w:p>
        </w:tc>
        <w:tc>
          <w:tcPr>
            <w:tcW w:type="dxa" w:w="64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 قواعد بيانات اختبار تحتوي نسخاً حقيقية غير مقنَّعة</w:t>
            </w:r>
          </w:p>
        </w:tc>
      </w:tr>
      <w:tr>
        <w:trPr>
          <w:tblHeader w:val="false"/>
        </w:trPr>
        <w:tc>
          <w:tcPr>
            <w:tcW w:type="dxa" w:w="29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جدار الحماية</w:t>
            </w:r>
          </w:p>
        </w:tc>
        <w:tc>
          <w:tcPr>
            <w:tcW w:type="dxa" w:w="64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٤١٢ قاعدة، منها ٦٨ قاعدة لا يُعرف مبررها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المسارات المباشرة التي أُغلقت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560"/>
        <w:gridCol w:w="2820"/>
        <w:gridCol w:w="2640"/>
        <w:gridCol w:w="2340"/>
      </w:tblGrid>
      <w:tr>
        <w:trPr>
          <w:tblHeader/>
        </w:trPr>
        <w:tc>
          <w:tcPr>
            <w:tcW w:type="dxa" w:w="156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28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المسار</w:t>
            </w:r>
          </w:p>
        </w:tc>
        <w:tc>
          <w:tcPr>
            <w:tcW w:type="dxa" w:w="26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الوصف</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الحالة</w:t>
            </w:r>
          </w:p>
        </w:tc>
      </w:tr>
      <w:tr>
        <w:trPr>
          <w:tblHeader w:val="false"/>
        </w:trPr>
        <w:tc>
          <w:tcPr>
            <w:tcW w:type="dxa" w:w="15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28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شبكة التطوير ← قاعدة بيانات الإنتاج الرئيسية</w:t>
            </w:r>
          </w:p>
        </w:tc>
        <w:tc>
          <w:tcPr>
            <w:tcW w:type="dxa" w:w="26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قاعدة سماح قديمة أُنشئت لتصحيح خلل ولم تُلغَ</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أُغلق</w:t>
            </w:r>
          </w:p>
        </w:tc>
      </w:tr>
      <w:tr>
        <w:trPr>
          <w:tblHeader w:val="false"/>
        </w:trPr>
        <w:tc>
          <w:tcPr>
            <w:tcW w:type="dxa" w:w="15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28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شبكة الاختبار ← قاعدة بيانات الإنتاج</w:t>
            </w:r>
          </w:p>
        </w:tc>
        <w:tc>
          <w:tcPr>
            <w:tcW w:type="dxa" w:w="26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استخدام نسخة إنتاج في اختبارات الأداء</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أُغلق واستُبدل ببيانات مقنَّعة</w:t>
            </w:r>
          </w:p>
        </w:tc>
      </w:tr>
      <w:tr>
        <w:trPr>
          <w:tblHeader w:val="false"/>
        </w:trPr>
        <w:tc>
          <w:tcPr>
            <w:tcW w:type="dxa" w:w="15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8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أجهزة المطوّرين ← خوادم تطبيقات الإنتاج</w:t>
            </w:r>
          </w:p>
        </w:tc>
        <w:tc>
          <w:tcPr>
            <w:tcW w:type="dxa" w:w="26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وصول إداري مباشر لتصحيح الأخطاء</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أُغلق وحُوِّل عبر بوابة الوصول المُدارة</w:t>
            </w:r>
          </w:p>
        </w:tc>
      </w:tr>
      <w:tr>
        <w:trPr>
          <w:tblHeader w:val="false"/>
        </w:trPr>
        <w:tc>
          <w:tcPr>
            <w:tcW w:type="dxa" w:w="15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8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خط نشر الاختبار ← سجل الحاويات الخاص بالإنتاج</w:t>
            </w:r>
          </w:p>
        </w:tc>
        <w:tc>
          <w:tcPr>
            <w:tcW w:type="dxa" w:w="26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مشاركة سجل صور واحد بين البيئات</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أُغلق وفُصل سجل الصور</w:t>
            </w:r>
          </w:p>
        </w:tc>
      </w:tr>
      <w:tr>
        <w:trPr>
          <w:tblHeader w:val="false"/>
        </w:trPr>
        <w:tc>
          <w:tcPr>
            <w:tcW w:type="dxa" w:w="15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28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شبكة التطوير ← نظام إدارة الأحداث</w:t>
            </w:r>
          </w:p>
        </w:tc>
        <w:tc>
          <w:tcPr>
            <w:tcW w:type="dxa" w:w="26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وصول قرائي غير مبرر</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أُغلق</w:t>
            </w:r>
          </w:p>
        </w:tc>
      </w:tr>
      <w:tr>
        <w:trPr>
          <w:tblHeader w:val="false"/>
        </w:trPr>
        <w:tc>
          <w:tcPr>
            <w:tcW w:type="dxa" w:w="15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28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الشبكة اللاسلكية ← شبكة تطبيقات الإنتاج</w:t>
            </w:r>
          </w:p>
        </w:tc>
        <w:tc>
          <w:tcPr>
            <w:tcW w:type="dxa" w:w="26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غياب العزل بين اللاسلكية والسلكية</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أُغلق</w:t>
            </w:r>
          </w:p>
        </w:tc>
      </w:tr>
      <w:tr>
        <w:trPr>
          <w:tblHeader w:val="false"/>
        </w:trPr>
        <w:tc>
          <w:tcPr>
            <w:tcW w:type="dxa" w:w="15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28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شبكة الاختبار ← بوابة الواجهات البرمجية للإنتاج</w:t>
            </w:r>
          </w:p>
        </w:tc>
        <w:tc>
          <w:tcPr>
            <w:tcW w:type="dxa" w:w="26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استدعاء خدمات الإنتاج من الاختبار</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أُغلق واستُبدل ببيئة محاكاة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الإجراءات المنفَّذة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857"/>
        <w:gridCol w:w="3786"/>
        <w:gridCol w:w="1857"/>
        <w:gridCol w:w="1860"/>
      </w:tblGrid>
      <w:tr>
        <w:trPr>
          <w:tblHeader/>
        </w:trPr>
        <w:tc>
          <w:tcPr>
            <w:tcW w:type="dxa" w:w="185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378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الإجراء</w:t>
            </w:r>
          </w:p>
        </w:tc>
        <w:tc>
          <w:tcPr>
            <w:tcW w:type="dxa" w:w="185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186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الدليل</w:t>
            </w:r>
          </w:p>
        </w:tc>
      </w:tr>
      <w:tr>
        <w:trPr>
          <w:tblHeader w:val="false"/>
        </w:trPr>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37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إعادة عنونة بيئات التطوير والاختبار إلى نطاقات منفصلة</w:t>
            </w:r>
          </w:p>
        </w:tc>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النافذة الأولى</w:t>
            </w:r>
          </w:p>
        </w:tc>
        <w:tc>
          <w:tcPr>
            <w:tcW w:type="dxa" w:w="18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جدول العنونة المحدَّث</w:t>
            </w:r>
          </w:p>
        </w:tc>
      </w:tr>
      <w:tr>
        <w:trPr>
          <w:tblHeader w:val="false"/>
        </w:trPr>
        <w:tc>
          <w:tcPr>
            <w:tcW w:type="dxa" w:w="185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37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إنشاء تقسيمات منطقية مستقلة لكل منطقة</w:t>
            </w:r>
          </w:p>
        </w:tc>
        <w:tc>
          <w:tcPr>
            <w:tcW w:type="dxa" w:w="185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النافذة الأولى</w:t>
            </w:r>
          </w:p>
        </w:tc>
        <w:tc>
          <w:tcPr>
            <w:tcW w:type="dxa" w:w="18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إعدادات المحوّلات</w:t>
            </w:r>
          </w:p>
        </w:tc>
      </w:tr>
      <w:tr>
        <w:trPr>
          <w:tblHeader w:val="false"/>
        </w:trPr>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37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تطبيق قاعدة الرفض الافتراضي بين المناطق</w:t>
            </w:r>
          </w:p>
        </w:tc>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النافذة الثانية</w:t>
            </w:r>
          </w:p>
        </w:tc>
        <w:tc>
          <w:tcPr>
            <w:tcW w:type="dxa" w:w="18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لقطة قواعد جدار الحماية</w:t>
            </w:r>
          </w:p>
        </w:tc>
      </w:tr>
      <w:tr>
        <w:trPr>
          <w:tblHeader w:val="false"/>
        </w:trPr>
        <w:tc>
          <w:tcPr>
            <w:tcW w:type="dxa" w:w="185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37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تفعيل مصفوفة التدفقات المسموح بها</w:t>
            </w:r>
          </w:p>
        </w:tc>
        <w:tc>
          <w:tcPr>
            <w:tcW w:type="dxa" w:w="185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النافذة الثانية</w:t>
            </w:r>
          </w:p>
        </w:tc>
        <w:tc>
          <w:tcPr>
            <w:tcW w:type="dxa" w:w="18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ملف القواعد المعتمد</w:t>
            </w:r>
          </w:p>
        </w:tc>
      </w:tr>
      <w:tr>
        <w:trPr>
          <w:tblHeader w:val="false"/>
        </w:trPr>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37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حذف ٦٨ قاعدة غير مبررة و٩١ قاعدة غير مستخدمة</w:t>
            </w:r>
          </w:p>
        </w:tc>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النافذة الثانية</w:t>
            </w:r>
          </w:p>
        </w:tc>
        <w:tc>
          <w:tcPr>
            <w:tcW w:type="dxa" w:w="18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مراجعة القواعد</w:t>
            </w:r>
          </w:p>
        </w:tc>
      </w:tr>
      <w:tr>
        <w:trPr>
          <w:tblHeader w:val="false"/>
        </w:trPr>
        <w:tc>
          <w:tcPr>
            <w:tcW w:type="dxa" w:w="185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37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تفعيل بوابة الوصول المُدارة للإدارة التشغيلية</w:t>
            </w:r>
          </w:p>
        </w:tc>
        <w:tc>
          <w:tcPr>
            <w:tcW w:type="dxa" w:w="185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النافذة الثالثة</w:t>
            </w:r>
          </w:p>
        </w:tc>
        <w:tc>
          <w:tcPr>
            <w:tcW w:type="dxa" w:w="18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جلسات البوابة</w:t>
            </w:r>
          </w:p>
        </w:tc>
      </w:tr>
      <w:tr>
        <w:trPr>
          <w:tblHeader w:val="false"/>
        </w:trPr>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37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فصل سجل صور الحاويات بين البيئات</w:t>
            </w:r>
          </w:p>
        </w:tc>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النافذة الثالثة</w:t>
            </w:r>
          </w:p>
        </w:tc>
        <w:tc>
          <w:tcPr>
            <w:tcW w:type="dxa" w:w="18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إعدادات السجلات</w:t>
            </w:r>
          </w:p>
        </w:tc>
      </w:tr>
      <w:tr>
        <w:trPr>
          <w:tblHeader w:val="false"/>
        </w:trPr>
        <w:tc>
          <w:tcPr>
            <w:tcW w:type="dxa" w:w="185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37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تقنيع بيانات الإنتاج في بيئات الاختبار</w:t>
            </w:r>
          </w:p>
        </w:tc>
        <w:tc>
          <w:tcPr>
            <w:tcW w:type="dxa" w:w="185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خلال الفترة</w:t>
            </w:r>
          </w:p>
        </w:tc>
        <w:tc>
          <w:tcPr>
            <w:tcW w:type="dxa" w:w="18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التقنيع</w:t>
            </w:r>
          </w:p>
        </w:tc>
      </w:tr>
      <w:tr>
        <w:trPr>
          <w:tblHeader w:val="false"/>
        </w:trPr>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37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عزل الشبكة اللاسلكية وشبكة الزوار</w:t>
            </w:r>
          </w:p>
        </w:tc>
        <w:tc>
          <w:tcPr>
            <w:tcW w:type="dxa" w:w="18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النافذة الثالثة</w:t>
            </w:r>
          </w:p>
        </w:tc>
        <w:tc>
          <w:tcPr>
            <w:tcW w:type="dxa" w:w="18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إعدادات الشبكة اللاسلكية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نتائج الاختبار والتحقق</w:t>
      </w:r>
    </w:p>
    <w:p>
      <w:pPr>
        <w:bidi/>
        <w:spacing w:after="140" w:before="0" w:line="300"/>
        <w:jc w:val="start"/>
      </w:pPr>
      <w:r>
        <w:rPr>
          <w:rFonts w:ascii="Arial" w:cs="Arial" w:eastAsia="Arial" w:hAnsi="Arial"/>
          <w:b w:val="false"/>
          <w:bCs w:val="false"/>
          <w:color w:val="16202A"/>
          <w:sz w:val="21"/>
          <w:szCs w:val="21"/>
          <w:rtl/>
        </w:rPr>
        <w:t xml:space="preserve">نُفِّذت اختبارات تحقق بعد اكتمال التنفيذ من داخل كل منطقة، للتأكد من أن التدفقات الممنوعة محظورة فعلياً لا نظرياً.</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725"/>
        <w:gridCol w:w="4182"/>
        <w:gridCol w:w="1725"/>
        <w:gridCol w:w="1728"/>
      </w:tblGrid>
      <w:tr>
        <w:trPr>
          <w:tblHeader/>
        </w:trPr>
        <w:tc>
          <w:tcPr>
            <w:tcW w:type="dxa" w:w="172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418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الاختبار</w:t>
            </w:r>
          </w:p>
        </w:tc>
        <w:tc>
          <w:tcPr>
            <w:tcW w:type="dxa" w:w="172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النتيجة المتوقعة</w:t>
            </w:r>
          </w:p>
        </w:tc>
        <w:tc>
          <w:tcPr>
            <w:tcW w:type="dxa" w:w="17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النتيجة الفعلية</w:t>
            </w:r>
          </w:p>
        </w:tc>
      </w:tr>
      <w:tr>
        <w:trPr>
          <w:tblHeader w:val="false"/>
        </w:trPr>
        <w:tc>
          <w:tcPr>
            <w:tcW w:type="dxa" w:w="17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41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محاولة اتصال من شبكة التطوير بقاعدة بيانات الإنتاج</w:t>
            </w:r>
          </w:p>
        </w:tc>
        <w:tc>
          <w:tcPr>
            <w:tcW w:type="dxa" w:w="17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w:t>
            </w:r>
          </w:p>
        </w:tc>
        <w:tc>
          <w:tcPr>
            <w:tcW w:type="dxa" w:w="17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w:t>
            </w:r>
          </w:p>
        </w:tc>
      </w:tr>
      <w:tr>
        <w:trPr>
          <w:tblHeader w:val="false"/>
        </w:trPr>
        <w:tc>
          <w:tcPr>
            <w:tcW w:type="dxa" w:w="17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418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محاولة اتصال من شبكة الاختبار بخوادم تطبيقات الإنتاج</w:t>
            </w:r>
          </w:p>
        </w:tc>
        <w:tc>
          <w:tcPr>
            <w:tcW w:type="dxa" w:w="17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w:t>
            </w:r>
          </w:p>
        </w:tc>
        <w:tc>
          <w:tcPr>
            <w:tcW w:type="dxa" w:w="17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w:t>
            </w:r>
          </w:p>
        </w:tc>
      </w:tr>
      <w:tr>
        <w:trPr>
          <w:tblHeader w:val="false"/>
        </w:trPr>
        <w:tc>
          <w:tcPr>
            <w:tcW w:type="dxa" w:w="17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41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محاولة إدارة خادم إنتاج مباشرةً من شبكة المستخدمين</w:t>
            </w:r>
          </w:p>
        </w:tc>
        <w:tc>
          <w:tcPr>
            <w:tcW w:type="dxa" w:w="17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w:t>
            </w:r>
          </w:p>
        </w:tc>
        <w:tc>
          <w:tcPr>
            <w:tcW w:type="dxa" w:w="17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w:t>
            </w:r>
          </w:p>
        </w:tc>
      </w:tr>
      <w:tr>
        <w:trPr>
          <w:tblHeader w:val="false"/>
        </w:trPr>
        <w:tc>
          <w:tcPr>
            <w:tcW w:type="dxa" w:w="17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418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محاولة الوصول لقاعدة بيانات الإنتاج من المنطقة المحايدة</w:t>
            </w:r>
          </w:p>
        </w:tc>
        <w:tc>
          <w:tcPr>
            <w:tcW w:type="dxa" w:w="17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w:t>
            </w:r>
          </w:p>
        </w:tc>
        <w:tc>
          <w:tcPr>
            <w:tcW w:type="dxa" w:w="17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w:t>
            </w:r>
          </w:p>
        </w:tc>
      </w:tr>
      <w:tr>
        <w:trPr>
          <w:tblHeader w:val="false"/>
        </w:trPr>
        <w:tc>
          <w:tcPr>
            <w:tcW w:type="dxa" w:w="17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41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محاولة اتصال من شبكة الزوار بأي منطقة داخلية</w:t>
            </w:r>
          </w:p>
        </w:tc>
        <w:tc>
          <w:tcPr>
            <w:tcW w:type="dxa" w:w="17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w:t>
            </w:r>
          </w:p>
        </w:tc>
        <w:tc>
          <w:tcPr>
            <w:tcW w:type="dxa" w:w="17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w:t>
            </w:r>
          </w:p>
        </w:tc>
      </w:tr>
      <w:tr>
        <w:trPr>
          <w:tblHeader w:val="false"/>
        </w:trPr>
        <w:tc>
          <w:tcPr>
            <w:tcW w:type="dxa" w:w="17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418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محاولة اتصال من الشبكة اللاسلكية بالشبكة السلكية الداخلية</w:t>
            </w:r>
          </w:p>
        </w:tc>
        <w:tc>
          <w:tcPr>
            <w:tcW w:type="dxa" w:w="17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w:t>
            </w:r>
          </w:p>
        </w:tc>
        <w:tc>
          <w:tcPr>
            <w:tcW w:type="dxa" w:w="17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حُظر</w:t>
            </w:r>
          </w:p>
        </w:tc>
      </w:tr>
      <w:tr>
        <w:trPr>
          <w:tblHeader w:val="false"/>
        </w:trPr>
        <w:tc>
          <w:tcPr>
            <w:tcW w:type="dxa" w:w="17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41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مسح المنافذ من التطوير باتجاه نطاق الإنتاج</w:t>
            </w:r>
          </w:p>
        </w:tc>
        <w:tc>
          <w:tcPr>
            <w:tcW w:type="dxa" w:w="17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استجابة</w:t>
            </w:r>
          </w:p>
        </w:tc>
        <w:tc>
          <w:tcPr>
            <w:tcW w:type="dxa" w:w="17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استجابة</w:t>
            </w:r>
          </w:p>
        </w:tc>
      </w:tr>
      <w:tr>
        <w:trPr>
          <w:tblHeader w:val="false"/>
        </w:trPr>
        <w:tc>
          <w:tcPr>
            <w:tcW w:type="dxa" w:w="17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418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الوصول الإداري عبر بوابة الوصول المُدارة بمصادقة متعددة العناصر</w:t>
            </w:r>
          </w:p>
        </w:tc>
        <w:tc>
          <w:tcPr>
            <w:tcW w:type="dxa" w:w="17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نجاح</w:t>
            </w:r>
          </w:p>
        </w:tc>
        <w:tc>
          <w:tcPr>
            <w:tcW w:type="dxa" w:w="17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نجح</w:t>
            </w:r>
          </w:p>
        </w:tc>
      </w:tr>
      <w:tr>
        <w:trPr>
          <w:tblHeader w:val="false"/>
        </w:trPr>
        <w:tc>
          <w:tcPr>
            <w:tcW w:type="dxa" w:w="17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418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إرسال السجلات من جميع المناطق لنظام إدارة الأحداث</w:t>
            </w:r>
          </w:p>
        </w:tc>
        <w:tc>
          <w:tcPr>
            <w:tcW w:type="dxa" w:w="17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نجاح</w:t>
            </w:r>
          </w:p>
        </w:tc>
        <w:tc>
          <w:tcPr>
            <w:tcW w:type="dxa" w:w="17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نجح</w:t>
            </w:r>
          </w:p>
        </w:tc>
      </w:tr>
      <w:tr>
        <w:trPr>
          <w:tblHeader w:val="false"/>
        </w:trPr>
        <w:tc>
          <w:tcPr>
            <w:tcW w:type="dxa" w:w="17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418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استمرار عمل الخدمات الثلاث والعشرين بعد التنفيذ</w:t>
            </w:r>
          </w:p>
        </w:tc>
        <w:tc>
          <w:tcPr>
            <w:tcW w:type="dxa" w:w="17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نجاح</w:t>
            </w:r>
          </w:p>
        </w:tc>
        <w:tc>
          <w:tcPr>
            <w:tcW w:type="dxa" w:w="17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نجح</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ملاحظة:</w:t>
      </w:r>
      <w:r>
        <w:rPr>
          <w:rFonts w:ascii="Arial" w:cs="Arial" w:eastAsia="Arial" w:hAnsi="Arial"/>
          <w:b w:val="false"/>
          <w:bCs w:val="false"/>
          <w:color w:val="16202A"/>
          <w:sz w:val="21"/>
          <w:szCs w:val="21"/>
          <w:rtl/>
        </w:rPr>
        <w:t xml:space="preserve"> رُصد أثناء الاختبار رقم ١٠ تعطل مؤقت في خدمتين بسبب اعتمادهما على مسار أُغلق. عولج الأمر بإعادة توجيههما عبر المسار المعتمد خلال النافذة ذاتها، وأُضيف فحص الاعتماديات إلى قائمة التحقق قبل أي تغيير شبكي مستقبلي.</w:t>
      </w:r>
    </w:p>
    <w:p>
      <w:pPr>
        <w:pStyle w:val="Heading2"/>
        <w:bidi/>
        <w:spacing w:after="120" w:before="280" w:line="300"/>
        <w:jc w:val="start"/>
      </w:pPr>
      <w:r>
        <w:rPr>
          <w:rFonts w:ascii="Arial" w:cs="Arial" w:eastAsia="Arial" w:hAnsi="Arial"/>
          <w:b/>
          <w:bCs/>
          <w:color w:val="15325C"/>
          <w:sz w:val="27"/>
          <w:szCs w:val="27"/>
          <w:rtl/>
        </w:rPr>
        <w:t xml:space="preserve">الوضع بعد التنفيذ</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342"/>
        <w:gridCol w:w="2508"/>
        <w:gridCol w:w="2510"/>
      </w:tblGrid>
      <w:tr>
        <w:trPr>
          <w:tblHeader/>
        </w:trPr>
        <w:tc>
          <w:tcPr>
            <w:tcW w:type="dxa" w:w="434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250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قبل</w:t>
            </w:r>
          </w:p>
        </w:tc>
        <w:tc>
          <w:tcPr>
            <w:tcW w:type="dxa" w:w="251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بعد</w:t>
            </w:r>
          </w:p>
        </w:tc>
      </w:tr>
      <w:tr>
        <w:trPr>
          <w:tblHeader w:val="false"/>
        </w:trPr>
        <w:tc>
          <w:tcPr>
            <w:tcW w:type="dxa" w:w="43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نطاقات العنونة المنفصلة بين الإنتاج وغيره</w:t>
            </w:r>
          </w:p>
        </w:tc>
        <w:tc>
          <w:tcPr>
            <w:tcW w:type="dxa" w:w="250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w:t>
            </w:r>
          </w:p>
        </w:tc>
        <w:tc>
          <w:tcPr>
            <w:tcW w:type="dxa" w:w="251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w:t>
            </w:r>
          </w:p>
        </w:tc>
      </w:tr>
      <w:tr>
        <w:trPr>
          <w:tblHeader w:val="false"/>
        </w:trPr>
        <w:tc>
          <w:tcPr>
            <w:tcW w:type="dxa" w:w="43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المسارات المباشرة من غير الإنتاج إلى الإنتاج</w:t>
            </w:r>
          </w:p>
        </w:tc>
        <w:tc>
          <w:tcPr>
            <w:tcW w:type="dxa" w:w="250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251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٠</w:t>
            </w:r>
          </w:p>
        </w:tc>
      </w:tr>
      <w:tr>
        <w:trPr>
          <w:tblHeader w:val="false"/>
        </w:trPr>
        <w:tc>
          <w:tcPr>
            <w:tcW w:type="dxa" w:w="43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جدار الحماية</w:t>
            </w:r>
          </w:p>
        </w:tc>
        <w:tc>
          <w:tcPr>
            <w:tcW w:type="dxa" w:w="250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٤١٢</w:t>
            </w:r>
          </w:p>
        </w:tc>
        <w:tc>
          <w:tcPr>
            <w:tcW w:type="dxa" w:w="251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٢٥٣</w:t>
            </w:r>
          </w:p>
        </w:tc>
      </w:tr>
      <w:tr>
        <w:trPr>
          <w:tblHeader w:val="false"/>
        </w:trPr>
        <w:tc>
          <w:tcPr>
            <w:tcW w:type="dxa" w:w="43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بلا مبرر موثق</w:t>
            </w:r>
          </w:p>
        </w:tc>
        <w:tc>
          <w:tcPr>
            <w:tcW w:type="dxa" w:w="250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٦٨</w:t>
            </w:r>
          </w:p>
        </w:tc>
        <w:tc>
          <w:tcPr>
            <w:tcW w:type="dxa" w:w="251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٠</w:t>
            </w:r>
          </w:p>
        </w:tc>
      </w:tr>
      <w:tr>
        <w:trPr>
          <w:tblHeader w:val="false"/>
        </w:trPr>
        <w:tc>
          <w:tcPr>
            <w:tcW w:type="dxa" w:w="43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بيانات اختبار تحتوي بيانات إنتاج حقيقية</w:t>
            </w:r>
          </w:p>
        </w:tc>
        <w:tc>
          <w:tcPr>
            <w:tcW w:type="dxa" w:w="250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51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٠</w:t>
            </w:r>
          </w:p>
        </w:tc>
      </w:tr>
      <w:tr>
        <w:trPr>
          <w:tblHeader w:val="false"/>
        </w:trPr>
        <w:tc>
          <w:tcPr>
            <w:tcW w:type="dxa" w:w="43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الوصول الإداري عبر بوابة مُدارة</w:t>
            </w:r>
          </w:p>
        </w:tc>
        <w:tc>
          <w:tcPr>
            <w:tcW w:type="dxa" w:w="250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w:t>
            </w:r>
          </w:p>
        </w:tc>
        <w:tc>
          <w:tcPr>
            <w:tcW w:type="dxa" w:w="251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w:t>
            </w:r>
          </w:p>
        </w:tc>
      </w:tr>
      <w:tr>
        <w:trPr>
          <w:tblHeader w:val="false"/>
        </w:trPr>
        <w:tc>
          <w:tcPr>
            <w:tcW w:type="dxa" w:w="43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عزل الشبكة اللاسلكية وشبكة الزوار</w:t>
            </w:r>
          </w:p>
        </w:tc>
        <w:tc>
          <w:tcPr>
            <w:tcW w:type="dxa" w:w="250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w:t>
            </w:r>
          </w:p>
        </w:tc>
        <w:tc>
          <w:tcPr>
            <w:tcW w:type="dxa" w:w="251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الأثر على سجل المخاطر</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700"/>
        <w:gridCol w:w="1886"/>
        <w:gridCol w:w="1886"/>
        <w:gridCol w:w="1888"/>
      </w:tblGrid>
      <w:tr>
        <w:trPr>
          <w:tblHeader/>
        </w:trPr>
        <w:tc>
          <w:tcPr>
            <w:tcW w:type="dxa" w:w="370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المخاطرة</w:t>
            </w:r>
          </w:p>
        </w:tc>
        <w:tc>
          <w:tcPr>
            <w:tcW w:type="dxa" w:w="188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الدرجة قبل</w:t>
            </w:r>
          </w:p>
        </w:tc>
        <w:tc>
          <w:tcPr>
            <w:tcW w:type="dxa" w:w="188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الدرجة بعد</w:t>
            </w:r>
          </w:p>
        </w:tc>
        <w:tc>
          <w:tcPr>
            <w:tcW w:type="dxa" w:w="18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الحالة</w:t>
            </w:r>
          </w:p>
        </w:tc>
      </w:tr>
      <w:tr>
        <w:trPr>
          <w:tblHeader w:val="false"/>
        </w:trPr>
        <w:tc>
          <w:tcPr>
            <w:tcW w:type="dxa" w:w="37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R-02 — انتقال هجوم من شبكة التطوير إلى بيئة الإنتاج</w:t>
            </w:r>
          </w:p>
        </w:tc>
        <w:tc>
          <w:tcPr>
            <w:tcW w:type="dxa" w:w="18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٢٠ — حرجة</w:t>
            </w:r>
          </w:p>
        </w:tc>
        <w:tc>
          <w:tcPr>
            <w:tcW w:type="dxa" w:w="18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 — منخفضة</w:t>
            </w:r>
          </w:p>
        </w:tc>
        <w:tc>
          <w:tcPr>
            <w:tcW w:type="dxa" w:w="18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مغلقة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المتابعة المستمرة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052"/>
        <w:gridCol w:w="2153"/>
        <w:gridCol w:w="2155"/>
      </w:tblGrid>
      <w:tr>
        <w:trPr>
          <w:tblHeader/>
        </w:trPr>
        <w:tc>
          <w:tcPr>
            <w:tcW w:type="dxa" w:w="505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الإجراء</w:t>
            </w:r>
          </w:p>
        </w:tc>
        <w:tc>
          <w:tcPr>
            <w:tcW w:type="dxa" w:w="215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215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r>
      <w:tr>
        <w:trPr>
          <w:tblHeader w:val="false"/>
        </w:trPr>
        <w:tc>
          <w:tcPr>
            <w:tcW w:type="dxa" w:w="50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التحقق من العزل</w:t>
            </w:r>
          </w:p>
        </w:tc>
        <w:tc>
          <w:tcPr>
            <w:tcW w:type="dxa" w:w="21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21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الدفاع السيبراني</w:t>
            </w:r>
          </w:p>
        </w:tc>
      </w:tr>
      <w:tr>
        <w:trPr>
          <w:tblHeader w:val="false"/>
        </w:trPr>
        <w:tc>
          <w:tcPr>
            <w:tcW w:type="dxa" w:w="50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قواعد جدار الحماية</w:t>
            </w:r>
          </w:p>
        </w:tc>
        <w:tc>
          <w:tcPr>
            <w:tcW w:type="dxa" w:w="215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21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50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تنبيه آلي عند إضافة قاعدة سماح بين نطاق إنتاج ونطاق غير إنتاج</w:t>
            </w:r>
          </w:p>
        </w:tc>
        <w:tc>
          <w:tcPr>
            <w:tcW w:type="dxa" w:w="21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آلي ومستمر</w:t>
            </w:r>
          </w:p>
        </w:tc>
        <w:tc>
          <w:tcPr>
            <w:tcW w:type="dxa" w:w="21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r>
      <w:tr>
        <w:trPr>
          <w:tblHeader w:val="false"/>
        </w:trPr>
        <w:tc>
          <w:tcPr>
            <w:tcW w:type="dxa" w:w="50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تحديث وثيقة تخطيط الشبكات</w:t>
            </w:r>
          </w:p>
        </w:tc>
        <w:tc>
          <w:tcPr>
            <w:tcW w:type="dxa" w:w="215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عند كل تغيير جوهري</w:t>
            </w:r>
          </w:p>
        </w:tc>
        <w:tc>
          <w:tcPr>
            <w:tcW w:type="dxa" w:w="21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97"/>
        <w:gridCol w:w="3066"/>
        <w:gridCol w:w="2097"/>
        <w:gridCol w:w="2100"/>
      </w:tblGrid>
      <w:tr>
        <w:trPr>
          <w:tblHeader/>
        </w:trPr>
        <w:tc>
          <w:tcPr>
            <w:tcW w:type="dxa" w:w="20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06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0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10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نفّذ المشروع</w:t>
            </w:r>
          </w:p>
        </w:tc>
        <w:tc>
          <w:tcPr>
            <w:tcW w:type="dxa" w:w="30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عمر البلوي — مدير العمليات السحابية</w:t>
            </w:r>
          </w:p>
        </w:tc>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نفّذ اختبار التحقق</w:t>
            </w:r>
          </w:p>
        </w:tc>
        <w:tc>
          <w:tcPr>
            <w:tcW w:type="dxa" w:w="30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الدفاع السيبراني</w:t>
            </w:r>
          </w:p>
        </w:tc>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راجع النتائج</w:t>
            </w:r>
          </w:p>
        </w:tc>
        <w:tc>
          <w:tcPr>
            <w:tcW w:type="dxa" w:w="30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النتائج</w:t>
            </w:r>
          </w:p>
        </w:tc>
        <w:tc>
          <w:tcPr>
            <w:tcW w:type="dxa" w:w="30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CS-REG-004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CS-REG-004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CS-REG-004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2026-10-04T11:47:59.885Z</dcterms:created>
  <dcterms:modified xsi:type="dcterms:W3CDTF">2026-10-04T11:47:59.885Z</dcterms:modified>
</cp:coreProperties>
</file>

<file path=docProps/custom.xml><?xml version="1.0" encoding="utf-8"?>
<Properties xmlns="http://schemas.openxmlformats.org/officeDocument/2006/custom-properties" xmlns:vt="http://schemas.openxmlformats.org/officeDocument/2006/docPropsVTypes"/>
</file>