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معيار تقني</w:t>
            </w:r>
          </w:p>
          <w:p>
            <w:pPr>
              <w:bidi/>
              <w:spacing w:after="120" w:before="0" w:line="420"/>
              <w:jc w:val="start"/>
            </w:pPr>
            <w:r>
              <w:rPr>
                <w:rFonts w:ascii="Arial" w:cs="Arial" w:eastAsia="Arial" w:hAnsi="Arial"/>
                <w:b/>
                <w:bCs/>
                <w:color w:val="FFFFFF"/>
                <w:sz w:val="52"/>
                <w:szCs w:val="52"/>
                <w:rtl/>
              </w:rPr>
              <w:t xml:space="preserve">معيار عزل البيئات وتقسيم الشبكة</w:t>
            </w:r>
          </w:p>
          <w:p>
            <w:pPr>
              <w:bidi/>
              <w:spacing w:after="260" w:before="0" w:line="300"/>
              <w:jc w:val="start"/>
            </w:pPr>
            <w:r>
              <w:rPr>
                <w:rFonts w:ascii="Arial" w:cs="Arial" w:eastAsia="Arial" w:hAnsi="Arial"/>
                <w:b w:val="false"/>
                <w:bCs w:val="false"/>
                <w:color w:val="AFC4D4"/>
                <w:sz w:val="22"/>
                <w:szCs w:val="22"/>
                <w:rtl/>
              </w:rPr>
              <w:t xml:space="preserve">اثنتا عشرة منطقة شبكية · مصفوفة التدفقات · التدفقات الممنوعة</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CS-STD-005</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العمليات السحابية والبنية التحتية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2-5-3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معيار عزل البيئات وتقسيم الشبكة</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المعيار مناطق الشبكة في شركة نَسَق للحلول الرقمية وقواعد العزل بينها، بما يضمن عزل شبكة بيئة الإنتاج عن شبكات التطوير والاختبار، ومنع المسارات المباشرة غير المصرح بها، ويُعدّ مخرَجاً من حزمة العمل WP-02.</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864"/>
        <w:gridCol w:w="3496"/>
      </w:tblGrid>
      <w:tr>
        <w:trPr>
          <w:tblHeader/>
        </w:trPr>
        <w:tc>
          <w:tcPr>
            <w:tcW w:type="dxa" w:w="586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49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8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الضابط ٢-٥-٣</w:t>
            </w:r>
          </w:p>
        </w:tc>
        <w:tc>
          <w:tcPr>
            <w:tcW w:type="dxa" w:w="34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الضابط الذي يستوفيه هذا المعيار</w:t>
            </w:r>
          </w:p>
        </w:tc>
      </w:tr>
      <w:tr>
        <w:trPr>
          <w:tblHeader w:val="false"/>
        </w:trPr>
        <w:tc>
          <w:tcPr>
            <w:tcW w:type="dxa" w:w="58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مخاطر الأمن السيبراني CS-REG-001</w:t>
            </w:r>
          </w:p>
        </w:tc>
        <w:tc>
          <w:tcPr>
            <w:tcW w:type="dxa" w:w="349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المخاطرة R-02</w:t>
            </w:r>
          </w:p>
        </w:tc>
      </w:tr>
      <w:tr>
        <w:trPr>
          <w:tblHeader w:val="false"/>
        </w:trPr>
        <w:tc>
          <w:tcPr>
            <w:tcW w:type="dxa" w:w="58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إدارة الحسابات ذات الصلاحيات الهامة CS-STD-003</w:t>
            </w:r>
          </w:p>
        </w:tc>
        <w:tc>
          <w:tcPr>
            <w:tcW w:type="dxa" w:w="34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الوصول الإداري عبر بوابة مُدارة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المبادئ الحاكمة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30"/>
        <w:gridCol w:w="6630"/>
      </w:tblGrid>
      <w:tr>
        <w:trPr>
          <w:tblHeader/>
        </w:trPr>
        <w:tc>
          <w:tcPr>
            <w:tcW w:type="dxa" w:w="273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المبدأ</w:t>
            </w:r>
          </w:p>
        </w:tc>
        <w:tc>
          <w:tcPr>
            <w:tcW w:type="dxa" w:w="663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التطبيق</w:t>
            </w:r>
          </w:p>
        </w:tc>
      </w:tr>
      <w:tr>
        <w:trPr>
          <w:tblHeader w:val="false"/>
        </w:trPr>
        <w:tc>
          <w:tcPr>
            <w:tcW w:type="dxa" w:w="273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الرفض الافتراضي</w:t>
            </w:r>
          </w:p>
        </w:tc>
        <w:tc>
          <w:tcPr>
            <w:tcW w:type="dxa" w:w="663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كل تدفق غير مسموح به صراحةً في مصفوفة التدفقات يُحظر</w:t>
            </w:r>
          </w:p>
        </w:tc>
      </w:tr>
      <w:tr>
        <w:trPr>
          <w:tblHeader w:val="false"/>
        </w:trPr>
        <w:tc>
          <w:tcPr>
            <w:tcW w:type="dxa" w:w="273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الدفاع متعدد المراحل</w:t>
            </w:r>
          </w:p>
        </w:tc>
        <w:tc>
          <w:tcPr>
            <w:tcW w:type="dxa" w:w="663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يُعتمد على ضابط واحد لعزل منطقتين، بل على جدار حماية وتقسيم منطقي وضبط هوية</w:t>
            </w:r>
          </w:p>
        </w:tc>
      </w:tr>
      <w:tr>
        <w:trPr>
          <w:tblHeader w:val="false"/>
        </w:trPr>
        <w:tc>
          <w:tcPr>
            <w:tcW w:type="dxa" w:w="273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عزل اتجاهي</w:t>
            </w:r>
          </w:p>
        </w:tc>
        <w:tc>
          <w:tcPr>
            <w:tcW w:type="dxa" w:w="663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الاتصال من بيئة أدنى حساسية إلى بيئة أعلى حساسية ممنوع دون استثناء معتمد</w:t>
            </w:r>
          </w:p>
        </w:tc>
      </w:tr>
      <w:tr>
        <w:trPr>
          <w:tblHeader w:val="false"/>
        </w:trPr>
        <w:tc>
          <w:tcPr>
            <w:tcW w:type="dxa" w:w="273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بيانات إنتاج خارج الإنتاج</w:t>
            </w:r>
          </w:p>
        </w:tc>
        <w:tc>
          <w:tcPr>
            <w:tcW w:type="dxa" w:w="663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يُمنع نسخ بيانات الإنتاج إلى بيئات التطوير والاختبار إلا بعد تقنيعها</w:t>
            </w:r>
          </w:p>
        </w:tc>
      </w:tr>
      <w:tr>
        <w:trPr>
          <w:tblHeader w:val="false"/>
        </w:trPr>
        <w:tc>
          <w:tcPr>
            <w:tcW w:type="dxa" w:w="273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الوصول الإداري عبر بوابة</w:t>
            </w:r>
          </w:p>
        </w:tc>
        <w:tc>
          <w:tcPr>
            <w:tcW w:type="dxa" w:w="663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يُدار أصل في الإنتاج مباشرةً من شبكة المستخدمين</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مناطق الشبكة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31"/>
        <w:gridCol w:w="1931"/>
        <w:gridCol w:w="3565"/>
        <w:gridCol w:w="1933"/>
      </w:tblGrid>
      <w:tr>
        <w:trPr>
          <w:tblHeader/>
        </w:trPr>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المنطقة</w:t>
            </w:r>
          </w:p>
        </w:tc>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الرمز</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c>
          <w:tcPr>
            <w:tcW w:type="dxa" w:w="1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مستوى الثقة</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الإنترنت</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شبكة خارجية غير موثوقة</w:t>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يوجد</w:t>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المنطقة المحايدة</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Z2</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الخدمات المنشورة للعموم وبوابة الواجهات البرمجية</w:t>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منخفض</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تطبيقات الإنتاج</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Z3</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الخدمات المصغّرة وخوادم التطبيقات</w:t>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عالٍ</w:t>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بيانات الإنتاج</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Z4</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البيانات وأنظمة التخزين</w:t>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حرج</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الإدارة</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Z5</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بوابة الوصول المُدارة ومحطات الإدارة</w:t>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حرج</w:t>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المراقبة والسجلات</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Z6</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نظام إدارة الأحداث وخوادم السجلات</w:t>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عالٍ</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 قبل الإنتاج</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Z7</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بيئة التحقق النهائي قبل النشر</w:t>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متوسط</w:t>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الاختبار</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Z8</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بيئة اختبار الوظائف والأداء</w:t>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منخفض</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التطوير</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Z9</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بيئة المطوّرين</w:t>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منخفض</w:t>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شبكة المستخدمين</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Z10</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أجهزة الموظفين السلكية</w:t>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منخفض</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الشبكة اللاسلكية للموظفين</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Z11</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أجهزة الموظفين اللاسلكية</w:t>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منخفض</w:t>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شبكة الزوار</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Z12</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زوار الشركة</w:t>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يوجد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نطاقات العنونة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120"/>
        <w:gridCol w:w="3120"/>
        <w:gridCol w:w="3120"/>
      </w:tblGrid>
      <w:tr>
        <w:trPr>
          <w:tblHeader/>
        </w:trPr>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المنطقة</w:t>
            </w:r>
          </w:p>
        </w:tc>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النطاق</w:t>
            </w:r>
          </w:p>
        </w:tc>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البيئة</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Z2</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١٠.٢٠.٠.٠/٢٢</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إنتاج</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Z3</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١٠.٢٠.٤.٠/٢٢</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إنتاج</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Z4</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١٠.٢٠.٨.٠/٢٣</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إنتاج</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Z5</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١٠.٢٠.١٦.٠/٢٤</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إنتاج</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Z6</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١٠.٢٠.٢٠.٠/٢٤</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إنتاج</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Z7</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١٠.٣٠.٠.٠/٢١</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 قبل الإنتاج</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Z8</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١٠.٤٠.٠.٠/٢١</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Z9</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١٠.٥٠.٠.٠/٢٠</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تطوير</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Z10</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١٠.٦٠.٠.٠/٢٠</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مكاتب</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Z11</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١٠.٦١.٠.٠/٢٢</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مكاتب</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Z12</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١٧٢.٣١.٠.٠/٢٤</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معزولة تماماً</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نطاقات الإنتاج ونطاقات غير الإنتاج مفصولة على مستوى النطاق الرئيسي (10.20.x مقابل 10.30–10.50.x)، ما يجعل أي قاعدة سماح عرضية بينهما ظاهرة فوراً عند المراجعة.</w:t>
      </w:r>
    </w:p>
    <w:p>
      <w:pPr>
        <w:pStyle w:val="Heading2"/>
        <w:bidi/>
        <w:spacing w:after="120" w:before="280" w:line="300"/>
        <w:jc w:val="start"/>
      </w:pPr>
      <w:r>
        <w:rPr>
          <w:rFonts w:ascii="Arial" w:cs="Arial" w:eastAsia="Arial" w:hAnsi="Arial"/>
          <w:b/>
          <w:bCs/>
          <w:color w:val="15325C"/>
          <w:sz w:val="27"/>
          <w:szCs w:val="27"/>
          <w:rtl/>
        </w:rPr>
        <w:t xml:space="preserve">مصفوفة التدفقات المسموح بها</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684"/>
        <w:gridCol w:w="1622"/>
        <w:gridCol w:w="1747"/>
        <w:gridCol w:w="2558"/>
        <w:gridCol w:w="1749"/>
      </w:tblGrid>
      <w:tr>
        <w:trPr>
          <w:tblHeader/>
        </w:trPr>
        <w:tc>
          <w:tcPr>
            <w:tcW w:type="dxa" w:w="168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من</w:t>
            </w:r>
          </w:p>
        </w:tc>
        <w:tc>
          <w:tcPr>
            <w:tcW w:type="dxa" w:w="162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إلى</w:t>
            </w:r>
          </w:p>
        </w:tc>
        <w:tc>
          <w:tcPr>
            <w:tcW w:type="dxa" w:w="174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المنافذ</w:t>
            </w:r>
          </w:p>
        </w:tc>
        <w:tc>
          <w:tcPr>
            <w:tcW w:type="dxa" w:w="255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الآلية</w:t>
            </w:r>
          </w:p>
        </w:tc>
        <w:tc>
          <w:tcPr>
            <w:tcW w:type="dxa" w:w="174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المبرر</w:t>
            </w:r>
          </w:p>
        </w:tc>
      </w:tr>
      <w:tr>
        <w:trPr>
          <w:tblHeader w:val="false"/>
        </w:trPr>
        <w:tc>
          <w:tcPr>
            <w:tcW w:type="dxa" w:w="16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w:t>
            </w:r>
          </w:p>
        </w:tc>
        <w:tc>
          <w:tcPr>
            <w:tcW w:type="dxa" w:w="16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Z2</w:t>
            </w:r>
          </w:p>
        </w:tc>
        <w:tc>
          <w:tcPr>
            <w:tcW w:type="dxa" w:w="174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٤٤٣</w:t>
            </w:r>
          </w:p>
        </w:tc>
        <w:tc>
          <w:tcPr>
            <w:tcW w:type="dxa" w:w="25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جدار حماية + جدار حماية تطبيقات</w:t>
            </w:r>
          </w:p>
        </w:tc>
        <w:tc>
          <w:tcPr>
            <w:tcW w:type="dxa" w:w="17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الوصول العام للخدمات</w:t>
            </w:r>
          </w:p>
        </w:tc>
      </w:tr>
      <w:tr>
        <w:trPr>
          <w:tblHeader w:val="false"/>
        </w:trPr>
        <w:tc>
          <w:tcPr>
            <w:tcW w:type="dxa" w:w="168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Z2</w:t>
            </w:r>
          </w:p>
        </w:tc>
        <w:tc>
          <w:tcPr>
            <w:tcW w:type="dxa" w:w="16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Z3</w:t>
            </w:r>
          </w:p>
        </w:tc>
        <w:tc>
          <w:tcPr>
            <w:tcW w:type="dxa" w:w="174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٤٤٣</w:t>
            </w:r>
          </w:p>
        </w:tc>
        <w:tc>
          <w:tcPr>
            <w:tcW w:type="dxa" w:w="25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جدار حماية داخلي</w:t>
            </w:r>
          </w:p>
        </w:tc>
        <w:tc>
          <w:tcPr>
            <w:tcW w:type="dxa" w:w="174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استدعاء الخدمات المصغّرة</w:t>
            </w:r>
          </w:p>
        </w:tc>
      </w:tr>
      <w:tr>
        <w:trPr>
          <w:tblHeader w:val="false"/>
        </w:trPr>
        <w:tc>
          <w:tcPr>
            <w:tcW w:type="dxa" w:w="16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Z3</w:t>
            </w:r>
          </w:p>
        </w:tc>
        <w:tc>
          <w:tcPr>
            <w:tcW w:type="dxa" w:w="16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Z4</w:t>
            </w:r>
          </w:p>
        </w:tc>
        <w:tc>
          <w:tcPr>
            <w:tcW w:type="dxa" w:w="174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منافذ قواعد البيانات المحددة</w:t>
            </w:r>
          </w:p>
        </w:tc>
        <w:tc>
          <w:tcPr>
            <w:tcW w:type="dxa" w:w="25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جدار حماية داخلي + تشفير</w:t>
            </w:r>
          </w:p>
        </w:tc>
        <w:tc>
          <w:tcPr>
            <w:tcW w:type="dxa" w:w="17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وصول التطبيقات لبياناتها</w:t>
            </w:r>
          </w:p>
        </w:tc>
      </w:tr>
      <w:tr>
        <w:trPr>
          <w:tblHeader w:val="false"/>
        </w:trPr>
        <w:tc>
          <w:tcPr>
            <w:tcW w:type="dxa" w:w="168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Z5</w:t>
            </w:r>
          </w:p>
        </w:tc>
        <w:tc>
          <w:tcPr>
            <w:tcW w:type="dxa" w:w="16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Z2 · Z3 · Z4</w:t>
            </w:r>
          </w:p>
        </w:tc>
        <w:tc>
          <w:tcPr>
            <w:tcW w:type="dxa" w:w="174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منافذ الإدارة</w:t>
            </w:r>
          </w:p>
        </w:tc>
        <w:tc>
          <w:tcPr>
            <w:tcW w:type="dxa" w:w="25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بوابة وصول مُدارة + مصادقة متعددة العناصر</w:t>
            </w:r>
          </w:p>
        </w:tc>
        <w:tc>
          <w:tcPr>
            <w:tcW w:type="dxa" w:w="174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الإدارة التشغيلية</w:t>
            </w:r>
          </w:p>
        </w:tc>
      </w:tr>
      <w:tr>
        <w:trPr>
          <w:tblHeader w:val="false"/>
        </w:trPr>
        <w:tc>
          <w:tcPr>
            <w:tcW w:type="dxa" w:w="16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Z2 · Z3 · Z4 · Z7 · Z8 · Z9</w:t>
            </w:r>
          </w:p>
        </w:tc>
        <w:tc>
          <w:tcPr>
            <w:tcW w:type="dxa" w:w="16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Z6</w:t>
            </w:r>
          </w:p>
        </w:tc>
        <w:tc>
          <w:tcPr>
            <w:tcW w:type="dxa" w:w="174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منفذ إرسال السجلات</w:t>
            </w:r>
          </w:p>
        </w:tc>
        <w:tc>
          <w:tcPr>
            <w:tcW w:type="dxa" w:w="25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اتجاه واحد فقط</w:t>
            </w:r>
          </w:p>
        </w:tc>
        <w:tc>
          <w:tcPr>
            <w:tcW w:type="dxa" w:w="17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تجميع السجلات</w:t>
            </w:r>
          </w:p>
        </w:tc>
      </w:tr>
      <w:tr>
        <w:trPr>
          <w:tblHeader w:val="false"/>
        </w:trPr>
        <w:tc>
          <w:tcPr>
            <w:tcW w:type="dxa" w:w="168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Z10 · Z11</w:t>
            </w:r>
          </w:p>
        </w:tc>
        <w:tc>
          <w:tcPr>
            <w:tcW w:type="dxa" w:w="16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Z5</w:t>
            </w:r>
          </w:p>
        </w:tc>
        <w:tc>
          <w:tcPr>
            <w:tcW w:type="dxa" w:w="174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منفذ البوابة</w:t>
            </w:r>
          </w:p>
        </w:tc>
        <w:tc>
          <w:tcPr>
            <w:tcW w:type="dxa" w:w="25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بوابة وصول مُدارة + مصادقة متعددة العناصر</w:t>
            </w:r>
          </w:p>
        </w:tc>
        <w:tc>
          <w:tcPr>
            <w:tcW w:type="dxa" w:w="174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دخول المشرفين للإدارة</w:t>
            </w:r>
          </w:p>
        </w:tc>
      </w:tr>
      <w:tr>
        <w:trPr>
          <w:tblHeader w:val="false"/>
        </w:trPr>
        <w:tc>
          <w:tcPr>
            <w:tcW w:type="dxa" w:w="16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Z9</w:t>
            </w:r>
          </w:p>
        </w:tc>
        <w:tc>
          <w:tcPr>
            <w:tcW w:type="dxa" w:w="16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Z8</w:t>
            </w:r>
          </w:p>
        </w:tc>
        <w:tc>
          <w:tcPr>
            <w:tcW w:type="dxa" w:w="174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حسب الحاجة</w:t>
            </w:r>
          </w:p>
        </w:tc>
        <w:tc>
          <w:tcPr>
            <w:tcW w:type="dxa" w:w="25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جدار حماية داخلي</w:t>
            </w:r>
          </w:p>
        </w:tc>
        <w:tc>
          <w:tcPr>
            <w:tcW w:type="dxa" w:w="17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نشر نسخ الاختبار</w:t>
            </w:r>
          </w:p>
        </w:tc>
      </w:tr>
      <w:tr>
        <w:trPr>
          <w:tblHeader w:val="false"/>
        </w:trPr>
        <w:tc>
          <w:tcPr>
            <w:tcW w:type="dxa" w:w="168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Z8</w:t>
            </w:r>
          </w:p>
        </w:tc>
        <w:tc>
          <w:tcPr>
            <w:tcW w:type="dxa" w:w="16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Z7</w:t>
            </w:r>
          </w:p>
        </w:tc>
        <w:tc>
          <w:tcPr>
            <w:tcW w:type="dxa" w:w="174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حسب الحاجة</w:t>
            </w:r>
          </w:p>
        </w:tc>
        <w:tc>
          <w:tcPr>
            <w:tcW w:type="dxa" w:w="25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جدار حماية داخلي + اعتماد</w:t>
            </w:r>
          </w:p>
        </w:tc>
        <w:tc>
          <w:tcPr>
            <w:tcW w:type="dxa" w:w="174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ترقية النسخة لما قبل الإنتاج</w:t>
            </w:r>
          </w:p>
        </w:tc>
      </w:tr>
      <w:tr>
        <w:trPr>
          <w:tblHeader w:val="false"/>
        </w:trPr>
        <w:tc>
          <w:tcPr>
            <w:tcW w:type="dxa" w:w="16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Z12</w:t>
            </w:r>
          </w:p>
        </w:tc>
        <w:tc>
          <w:tcPr>
            <w:tcW w:type="dxa" w:w="16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w:t>
            </w:r>
          </w:p>
        </w:tc>
        <w:tc>
          <w:tcPr>
            <w:tcW w:type="dxa" w:w="174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٨٠ · ٤٤٣</w:t>
            </w:r>
          </w:p>
        </w:tc>
        <w:tc>
          <w:tcPr>
            <w:tcW w:type="dxa" w:w="25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جدار حماية</w:t>
            </w:r>
          </w:p>
        </w:tc>
        <w:tc>
          <w:tcPr>
            <w:tcW w:type="dxa" w:w="17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إنترنت الزوار فقط</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التدفقات الممنوعة صراحةً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409"/>
        <w:gridCol w:w="2409"/>
        <w:gridCol w:w="4542"/>
      </w:tblGrid>
      <w:tr>
        <w:trPr>
          <w:tblHeader/>
        </w:trPr>
        <w:tc>
          <w:tcPr>
            <w:tcW w:type="dxa" w:w="240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من</w:t>
            </w:r>
          </w:p>
        </w:tc>
        <w:tc>
          <w:tcPr>
            <w:tcW w:type="dxa" w:w="240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إلى</w:t>
            </w:r>
          </w:p>
        </w:tc>
        <w:tc>
          <w:tcPr>
            <w:tcW w:type="dxa" w:w="454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الحكم</w:t>
            </w:r>
          </w:p>
        </w:tc>
      </w:tr>
      <w:tr>
        <w:trPr>
          <w:tblHeader w:val="false"/>
        </w:trPr>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Z9 · Z8</w:t>
            </w:r>
          </w:p>
        </w:tc>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Z3 · Z4</w:t>
            </w:r>
          </w:p>
        </w:tc>
        <w:tc>
          <w:tcPr>
            <w:tcW w:type="dxa" w:w="45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منعاً باتاً — لا يوجد استثناء</w:t>
            </w:r>
          </w:p>
        </w:tc>
      </w:tr>
      <w:tr>
        <w:trPr>
          <w:tblHeader w:val="false"/>
        </w:trPr>
        <w:tc>
          <w:tcPr>
            <w:tcW w:type="dxa" w:w="240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Z7</w:t>
            </w:r>
          </w:p>
        </w:tc>
        <w:tc>
          <w:tcPr>
            <w:tcW w:type="dxa" w:w="240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Z4</w:t>
            </w:r>
          </w:p>
        </w:tc>
        <w:tc>
          <w:tcPr>
            <w:tcW w:type="dxa" w:w="45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 تُستخدم بيانات مُقنَّعة في ما قبل الإنتاج</w:t>
            </w:r>
          </w:p>
        </w:tc>
      </w:tr>
      <w:tr>
        <w:trPr>
          <w:tblHeader w:val="false"/>
        </w:trPr>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Z10 · Z11</w:t>
            </w:r>
          </w:p>
        </w:tc>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Z3 · Z4</w:t>
            </w:r>
          </w:p>
        </w:tc>
        <w:tc>
          <w:tcPr>
            <w:tcW w:type="dxa" w:w="45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 الوصول عبر Z5 حصراً</w:t>
            </w:r>
          </w:p>
        </w:tc>
      </w:tr>
      <w:tr>
        <w:trPr>
          <w:tblHeader w:val="false"/>
        </w:trPr>
        <w:tc>
          <w:tcPr>
            <w:tcW w:type="dxa" w:w="240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Z12</w:t>
            </w:r>
          </w:p>
        </w:tc>
        <w:tc>
          <w:tcPr>
            <w:tcW w:type="dxa" w:w="240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أي منطقة داخلية</w:t>
            </w:r>
          </w:p>
        </w:tc>
        <w:tc>
          <w:tcPr>
            <w:tcW w:type="dxa" w:w="45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منعاً باتاً</w:t>
            </w:r>
          </w:p>
        </w:tc>
      </w:tr>
      <w:tr>
        <w:trPr>
          <w:tblHeader w:val="false"/>
        </w:trPr>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Z11</w:t>
            </w:r>
          </w:p>
        </w:tc>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Z10</w:t>
            </w:r>
          </w:p>
        </w:tc>
        <w:tc>
          <w:tcPr>
            <w:tcW w:type="dxa" w:w="45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 الشبكة اللاسلكية معزولة عن السلكية</w:t>
            </w:r>
          </w:p>
        </w:tc>
      </w:tr>
      <w:tr>
        <w:trPr>
          <w:tblHeader w:val="false"/>
        </w:trPr>
        <w:tc>
          <w:tcPr>
            <w:tcW w:type="dxa" w:w="240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أي منطقة</w:t>
            </w:r>
          </w:p>
        </w:tc>
        <w:tc>
          <w:tcPr>
            <w:tcW w:type="dxa" w:w="240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Z12</w:t>
            </w:r>
          </w:p>
        </w:tc>
        <w:tc>
          <w:tcPr>
            <w:tcW w:type="dxa" w:w="45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w:t>
            </w:r>
          </w:p>
        </w:tc>
      </w:tr>
      <w:tr>
        <w:trPr>
          <w:tblHeader w:val="false"/>
        </w:trPr>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Z2</w:t>
            </w:r>
          </w:p>
        </w:tc>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Z4</w:t>
            </w:r>
          </w:p>
        </w:tc>
        <w:tc>
          <w:tcPr>
            <w:tcW w:type="dxa" w:w="45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 المرور عبر Z3 إلزامي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المسار الممنوع الأخطر:</w:t>
      </w:r>
      <w:r>
        <w:rPr>
          <w:rFonts w:ascii="Arial" w:cs="Arial" w:eastAsia="Arial" w:hAnsi="Arial"/>
          <w:b w:val="false"/>
          <w:bCs w:val="false"/>
          <w:color w:val="16202A"/>
          <w:sz w:val="21"/>
          <w:szCs w:val="21"/>
          <w:rtl/>
        </w:rPr>
        <w:t xml:space="preserve"> الاتصال من شبكة التطوير أو الاختبار إلى قواعد بيانات الإنتاج. وهو المسار الذي كان مفتوحاً قبل تنفيذ هذا المعيار، وأُغلق ضمن المخاطرة R-02.</w:t>
      </w:r>
    </w:p>
    <w:p>
      <w:pPr>
        <w:pStyle w:val="Heading2"/>
        <w:bidi/>
        <w:spacing w:after="120" w:before="280" w:line="300"/>
        <w:jc w:val="start"/>
      </w:pPr>
      <w:r>
        <w:rPr>
          <w:rFonts w:ascii="Arial" w:cs="Arial" w:eastAsia="Arial" w:hAnsi="Arial"/>
          <w:b/>
          <w:bCs/>
          <w:color w:val="15325C"/>
          <w:sz w:val="27"/>
          <w:szCs w:val="27"/>
          <w:rtl/>
        </w:rPr>
        <w:t xml:space="preserve">الشبكات اللاسلكية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الشبكة اللاسلكية للموظفين معزولة منطقياً عن الشبكة السلكية الداخلية، ويتم الوصول للأنظمة عبر الضوابط ذاتها المطبَّقة على الوصول عن بُعد.</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شبكة الزوار معزولة تماماً، ولا تصل إلى أي منطقة داخلية، وتُقدَّم عبر خط إنترنت منفصل منطقياً.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يُتحقَّق من هوية المستخدم قبل منح الاتصال بالشبكة اللاسلكية للموظفين.</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تُمنع نقاط الوصول اللاسلكية غير المعتمدة، وتُرصد آلياً.</w:t>
      </w:r>
    </w:p>
    <w:p>
      <w:pPr>
        <w:pStyle w:val="Heading2"/>
        <w:bidi/>
        <w:spacing w:after="120" w:before="280" w:line="300"/>
        <w:jc w:val="start"/>
      </w:pPr>
      <w:r>
        <w:rPr>
          <w:rFonts w:ascii="Arial" w:cs="Arial" w:eastAsia="Arial" w:hAnsi="Arial"/>
          <w:b/>
          <w:bCs/>
          <w:color w:val="15325C"/>
          <w:sz w:val="27"/>
          <w:szCs w:val="27"/>
          <w:rtl/>
        </w:rPr>
        <w:t xml:space="preserve">المنطقة المحايدة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كل نظام يُوصل إليه من خارج الشركة يُوضع في المنطقة المحايدة Z2، ولا يُنشر أي نظام في شبكة الإنتاج الداخلية مباشرةً.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تحتفظ الخدمات في Z2 ببيانات دائمة، وتصل للبيانات عبر Z3 فقط.</w:t>
      </w:r>
    </w:p>
    <w:p>
      <w:pPr>
        <w:pStyle w:val="Heading2"/>
        <w:bidi/>
        <w:spacing w:after="120" w:before="280" w:line="300"/>
        <w:jc w:val="start"/>
      </w:pPr>
      <w:r>
        <w:rPr>
          <w:rFonts w:ascii="Arial" w:cs="Arial" w:eastAsia="Arial" w:hAnsi="Arial"/>
          <w:b/>
          <w:bCs/>
          <w:color w:val="15325C"/>
          <w:sz w:val="27"/>
          <w:szCs w:val="27"/>
          <w:rtl/>
        </w:rPr>
        <w:t xml:space="preserve">المنافذ والبروتوكولات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يُغلق كل منفذ غير مستخدم، وتُوثَّق المنافذ المفتوحة ومبرراتها في سجل قواعد جدار الحماية.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تُمنع البروتوكولات غير المشفَّرة للإدارة ونقل الملفات.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يُمنع الوصول المباشر للإنترنت من Z3 و Z4، ويكون عبر موزع محتوى مُدار عند الحاجة.</w:t>
      </w:r>
    </w:p>
    <w:p>
      <w:pPr>
        <w:pStyle w:val="Heading2"/>
        <w:bidi/>
        <w:spacing w:after="120" w:before="280" w:line="300"/>
        <w:jc w:val="start"/>
      </w:pPr>
      <w:r>
        <w:rPr>
          <w:rFonts w:ascii="Arial" w:cs="Arial" w:eastAsia="Arial" w:hAnsi="Arial"/>
          <w:b/>
          <w:bCs/>
          <w:color w:val="15325C"/>
          <w:sz w:val="27"/>
          <w:szCs w:val="27"/>
          <w:rtl/>
        </w:rPr>
        <w:t xml:space="preserve">المراجعة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049"/>
        <w:gridCol w:w="2623"/>
        <w:gridCol w:w="1843"/>
        <w:gridCol w:w="1845"/>
      </w:tblGrid>
      <w:tr>
        <w:trPr>
          <w:tblHeader/>
        </w:trPr>
        <w:tc>
          <w:tcPr>
            <w:tcW w:type="dxa" w:w="304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المراجعة</w:t>
            </w:r>
          </w:p>
        </w:tc>
        <w:tc>
          <w:tcPr>
            <w:tcW w:type="dxa" w:w="262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184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c>
          <w:tcPr>
            <w:tcW w:type="dxa" w:w="18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المخرج</w:t>
            </w:r>
          </w:p>
        </w:tc>
      </w:tr>
      <w:tr>
        <w:trPr>
          <w:tblHeader w:val="false"/>
        </w:trPr>
        <w:tc>
          <w:tcPr>
            <w:tcW w:type="dxa" w:w="30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قواعد جدار الحماية وحذف غير المستخدم</w:t>
            </w:r>
          </w:p>
        </w:tc>
        <w:tc>
          <w:tcPr>
            <w:tcW w:type="dxa" w:w="26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8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مراجعة معتمد</w:t>
            </w:r>
          </w:p>
        </w:tc>
      </w:tr>
      <w:tr>
        <w:trPr>
          <w:tblHeader w:val="false"/>
        </w:trPr>
        <w:tc>
          <w:tcPr>
            <w:tcW w:type="dxa" w:w="304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تحديث وثيقة تخطيط الشبكات</w:t>
            </w:r>
          </w:p>
        </w:tc>
        <w:tc>
          <w:tcPr>
            <w:tcW w:type="dxa" w:w="26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عند كل تغيير جوهري · وسنوياً كحد أدنى</w:t>
            </w:r>
          </w:p>
        </w:tc>
        <w:tc>
          <w:tcPr>
            <w:tcW w:type="dxa" w:w="1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8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مخطط محدَّث</w:t>
            </w:r>
          </w:p>
        </w:tc>
      </w:tr>
      <w:tr>
        <w:trPr>
          <w:tblHeader w:val="false"/>
        </w:trPr>
        <w:tc>
          <w:tcPr>
            <w:tcW w:type="dxa" w:w="30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التحقق من العزل</w:t>
            </w:r>
          </w:p>
        </w:tc>
        <w:tc>
          <w:tcPr>
            <w:tcW w:type="dxa" w:w="26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الدفاع السيبراني</w:t>
            </w:r>
          </w:p>
        </w:tc>
        <w:tc>
          <w:tcPr>
            <w:tcW w:type="dxa" w:w="18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اختبار</w:t>
            </w:r>
          </w:p>
        </w:tc>
      </w:tr>
      <w:tr>
        <w:trPr>
          <w:tblHeader w:val="false"/>
        </w:trPr>
        <w:tc>
          <w:tcPr>
            <w:tcW w:type="dxa" w:w="304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الاستثناءات المعتمدة</w:t>
            </w:r>
          </w:p>
        </w:tc>
        <w:tc>
          <w:tcPr>
            <w:tcW w:type="dxa" w:w="26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c>
          <w:tcPr>
            <w:tcW w:type="dxa" w:w="18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استثناءات</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أدلة الالتزام المطلوبة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355"/>
        <w:gridCol w:w="3005"/>
      </w:tblGrid>
      <w:tr>
        <w:trPr>
          <w:tblHeader/>
        </w:trPr>
        <w:tc>
          <w:tcPr>
            <w:tcW w:type="dxa" w:w="63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الدليل</w:t>
            </w:r>
          </w:p>
        </w:tc>
        <w:tc>
          <w:tcPr>
            <w:tcW w:type="dxa" w:w="300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المصدر</w:t>
            </w:r>
          </w:p>
        </w:tc>
      </w:tr>
      <w:tr>
        <w:trPr>
          <w:tblHeader w:val="false"/>
        </w:trPr>
        <w:tc>
          <w:tcPr>
            <w:tcW w:type="dxa" w:w="63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هذا المعيار معتمداً من صاحب الصلاحية</w:t>
            </w:r>
          </w:p>
        </w:tc>
        <w:tc>
          <w:tcPr>
            <w:tcW w:type="dxa" w:w="300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63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وثيقة تخطيط الشبكات موضحةً التقسيمات المنطقية والعزل</w:t>
            </w:r>
          </w:p>
        </w:tc>
        <w:tc>
          <w:tcPr>
            <w:tcW w:type="dxa" w:w="300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3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قائمة نطاقات العناوين لكل بيئة</w:t>
            </w:r>
          </w:p>
        </w:tc>
        <w:tc>
          <w:tcPr>
            <w:tcW w:type="dxa" w:w="300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3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عينة من إعدادات جدار الحماية تثبت حظر المسارات الممنوعة</w:t>
            </w:r>
          </w:p>
        </w:tc>
        <w:tc>
          <w:tcPr>
            <w:tcW w:type="dxa" w:w="300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3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اختبار التحقق من العزل</w:t>
            </w:r>
          </w:p>
        </w:tc>
        <w:tc>
          <w:tcPr>
            <w:tcW w:type="dxa" w:w="300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الدفاع السيبراني</w:t>
            </w:r>
          </w:p>
        </w:tc>
      </w:tr>
      <w:tr>
        <w:trPr>
          <w:tblHeader w:val="false"/>
        </w:trPr>
        <w:tc>
          <w:tcPr>
            <w:tcW w:type="dxa" w:w="63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دليل فصل الشبكة اللاسلكية وعزل شبكة الزوار</w:t>
            </w:r>
          </w:p>
        </w:tc>
        <w:tc>
          <w:tcPr>
            <w:tcW w:type="dxa" w:w="300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المعيار سنوياً على الأقل، وعند أي تغيير جوهري في بنية الشبكة.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80"/>
        <w:gridCol w:w="3120"/>
        <w:gridCol w:w="2080"/>
        <w:gridCol w:w="2080"/>
      </w:tblGrid>
      <w:tr>
        <w:trPr>
          <w:tblHeader/>
        </w:trPr>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 والبنية التحتية</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CS-STD-005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2026-10-04T11:47:59.819Z</dcterms:created>
  <dcterms:modified xsi:type="dcterms:W3CDTF">2026-10-04T11:47:59.819Z</dcterms:modified>
</cp:coreProperties>
</file>

<file path=docProps/custom.xml><?xml version="1.0" encoding="utf-8"?>
<Properties xmlns="http://schemas.openxmlformats.org/officeDocument/2006/custom-properties" xmlns:vt="http://schemas.openxmlformats.org/officeDocument/2006/docPropsVTypes"/>
</file>