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bidiVisual/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C1F3D" w:color="auto" w:val="clear"/>
            <w:tcMar>
              <w:top w:type="dxa" w:w="340"/>
              <w:left w:type="dxa" w:w="340"/>
              <w:bottom w:type="dxa" w:w="340"/>
              <w:right w:type="dxa" w:w="340"/>
            </w:tcMar>
          </w:tcPr>
          <w:p>
            <w:pPr>
              <w:bidi/>
              <w:spacing w:after="40" w:before="0" w:line="30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  <w:rtl/>
              </w:rPr>
              <w:t xml:space="preserve">شركة نَسَق للحلول الرقمية</w:t>
            </w:r>
          </w:p>
          <w:p>
            <w:pPr>
              <w:bidi/>
              <w:spacing w:after="3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9FB6C9"/>
                <w:sz w:val="18"/>
                <w:szCs w:val="18"/>
                <w:rtl/>
              </w:rPr>
              <w:t xml:space="preserve">إدارة الأمن السيبراني</w:t>
            </w:r>
          </w:p>
          <w:p>
            <w:pPr>
              <w:bidi/>
              <w:spacing w:after="700" w:before="0" w:line="300"/>
              <w:jc w:val="start"/>
            </w:pPr>
            <w:r>
              <w:rPr>
                <w:rFonts w:ascii="Arial" w:cs="Arial" w:eastAsia="Arial" w:hAnsi="Arial"/>
                <w:color w:val="6E8CA6"/>
                <w:sz w:val="14"/>
                <w:szCs w:val="14"/>
              </w:rPr>
              <w:t xml:space="preserve">NASAQ DIGITAL SOLUTIONS CO</w:t>
            </w:r>
          </w:p>
          <w:p>
            <w:pPr>
              <w:bidi/>
              <w:spacing w:after="9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C9A227"/>
                <w:sz w:val="19"/>
                <w:szCs w:val="19"/>
                <w:rtl/>
              </w:rPr>
              <w:t xml:space="preserve">سياسة معتمدة</w:t>
            </w:r>
          </w:p>
          <w:p>
            <w:pPr>
              <w:bidi/>
              <w:spacing w:after="120" w:before="0" w:line="42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  <w:rtl/>
              </w:rPr>
              <w:t xml:space="preserve">سياسة حماية البيانات والمعلومات</w:t>
            </w:r>
          </w:p>
          <w:p>
            <w:pPr>
              <w:bidi/>
              <w:spacing w:after="26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AFC4D4"/>
                <w:sz w:val="22"/>
                <w:szCs w:val="22"/>
                <w:rtl/>
              </w:rPr>
              <w:t xml:space="preserve">أربعة مستويات تصنيف · ضوابط الحماية لكل مستوى</w:t>
            </w:r>
          </w:p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/>
                <w:bCs/>
                <w:color w:val="C9A227"/>
                <w:sz w:val="18"/>
                <w:szCs w:val="18"/>
                <w:rtl/>
              </w:rPr>
              <w:t xml:space="preserve">تصنيف الوثيقة: سري</w:t>
            </w:r>
          </w:p>
        </w:tc>
      </w:tr>
    </w:tbl>
    <w:p>
      <w:pPr>
        <w:bidi/>
        <w:spacing w:after="26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12"/>
          <w:szCs w:val="12"/>
          <w:rtl/>
        </w:rPr>
        <w:t xml:space="preserve"/>
      </w:r>
    </w:p>
    <w:tbl>
      <w:tblPr>
        <w:bidiVisual/>
        <w:tblW w:type="dxa" w:w="9360"/>
        <w:tblBorders>
          <w:top w:val="none"/>
          <w:left w:val="none"/>
          <w:bottom w:val="none"/>
          <w:right w:val="none"/>
          <w:insideH w:val="single" w:color="D8E0E3" w:sz="2"/>
          <w:insideV w:val="none"/>
        </w:tblBorders>
      </w:tblPr>
      <w:tblGrid>
        <w:gridCol w:w="3400"/>
        <w:gridCol w:w="5960"/>
      </w:tblGrid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رقم الوثيقة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CS-POL-006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رقم الإصدار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1.0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مالك الوثيقة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وحدة الحوكمة والمخاطر والالتزام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جهة الاعتماد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الرئيس التنفيذي — صاحب الصلاحية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تاريخ الاعتماد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١ ربيع الأول ١٤٤٨هـ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تاريخ المراجعة القادمة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١ ربيع الأول ١٤٤٩هـ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الضابط المرتبط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ECC-2:2024 — 2-7-1</w:t>
            </w:r>
          </w:p>
        </w:tc>
      </w:tr>
    </w:tbl>
    <w:p>
      <w:pPr>
        <w:bidi/>
        <w:spacing w:after="36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12"/>
          <w:szCs w:val="12"/>
          <w:rtl/>
        </w:rPr>
        <w:t xml:space="preserve"/>
      </w:r>
    </w:p>
    <w:p>
      <w:pPr>
        <w:bidi/>
        <w:spacing w:after="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5A6672"/>
          <w:sz w:val="16"/>
          <w:szCs w:val="16"/>
          <w:rtl/>
        </w:rPr>
        <w:t xml:space="preserve">هذه الوثيقة ملكية فكرية لـ شركة نَسَق للحلول الرقمية، وتصنيفها «سري». لا يجوز نسخها أو تداولها خارج الشركة دون موافقة خطية من مالك الوثيقة.</w:t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000" w:right="1080" w:bottom="900" w:left="1080" w:header="708" w:footer="708" w:gutter="0"/>
          <w:pgNumType/>
          <w:docGrid w:linePitch="360"/>
        </w:sectPr>
      </w:pPr>
    </w:p>
    <w:p>
      <w:pPr>
        <w:pStyle w:val="Heading1"/>
        <w:bidi/>
        <w:spacing w:after="200" w:before="0" w:line="300"/>
        <w:jc w:val="start"/>
      </w:pPr>
      <w:r>
        <w:rPr>
          <w:rFonts w:ascii="Arial" w:cs="Arial" w:eastAsia="Arial" w:hAnsi="Arial"/>
          <w:b/>
          <w:bCs/>
          <w:color w:val="15325C"/>
          <w:sz w:val="32"/>
          <w:szCs w:val="32"/>
          <w:rtl/>
        </w:rPr>
        <w:t xml:space="preserve">سياسة حماية البيانات والمعلومات</w:t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الغرض</w:t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تحدد هذه السياسة متطلبات حماية البيانات والمعلومات في شركة نَسَق للحلول الرقمية والتعامل معها بحسب تصنيفها، بما يشمل بيانات مستفيدي الجهات العميلة، ويُعدّ مخرَجاً من حزمة العمل WP-12.</w:t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النطاق</w:t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جميع البيانات التي تعالجها الشركة أو تستضيفها أو تنقلها، في جميع حالاتها: أثناء التخزين وأثناء النقل وأثناء المعالجة، وفي جميع البيئات بما فيها الاختبار والتطوير.</w:t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المرجعية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5006"/>
        <w:gridCol w:w="4354"/>
      </w:tblGrid>
      <w:tr>
        <w:trPr>
          <w:tblHeader/>
        </w:trPr>
        <w:tc>
          <w:tcPr>
            <w:tcW w:type="dxa" w:w="5006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المرجع</w:t>
            </w:r>
          </w:p>
        </w:tc>
        <w:tc>
          <w:tcPr>
            <w:tcW w:type="dxa" w:w="4354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العلاقة</w:t>
            </w:r>
          </w:p>
        </w:tc>
      </w:tr>
      <w:tr>
        <w:trPr>
          <w:tblHeader w:val="false"/>
        </w:trPr>
        <w:tc>
          <w:tcPr>
            <w:tcW w:type="dxa" w:w="500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ECC-2:2024 — المكوّن الفرعي ٢-٧</w:t>
            </w:r>
          </w:p>
        </w:tc>
        <w:tc>
          <w:tcPr>
            <w:tcW w:type="dxa" w:w="435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الضوابط التي تستوفيها هذه السياسة</w:t>
            </w:r>
          </w:p>
        </w:tc>
      </w:tr>
      <w:tr>
        <w:trPr>
          <w:tblHeader w:val="false"/>
        </w:trPr>
        <w:tc>
          <w:tcPr>
            <w:tcW w:type="dxa" w:w="500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نظام حماية البيانات الشخصية ولائحته التنفيذية</w:t>
            </w:r>
          </w:p>
        </w:tc>
        <w:tc>
          <w:tcPr>
            <w:tcW w:type="dxa" w:w="435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البيانات الشخصية لمستفيدي الجهات العميلة</w:t>
            </w:r>
          </w:p>
        </w:tc>
      </w:tr>
      <w:tr>
        <w:trPr>
          <w:tblHeader w:val="false"/>
        </w:trPr>
        <w:tc>
          <w:tcPr>
            <w:tcW w:type="dxa" w:w="500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سياسة إدارة الأصول CS-POL-005</w:t>
            </w:r>
          </w:p>
        </w:tc>
        <w:tc>
          <w:tcPr>
            <w:tcW w:type="dxa" w:w="435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تصنيف الأصول الحاملة للبيانات</w:t>
            </w:r>
          </w:p>
        </w:tc>
      </w:tr>
      <w:tr>
        <w:trPr>
          <w:tblHeader w:val="false"/>
        </w:trPr>
        <w:tc>
          <w:tcPr>
            <w:tcW w:type="dxa" w:w="500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معيار التشفير وإدارة مفاتيح التشفير CS-STD-004</w:t>
            </w:r>
          </w:p>
        </w:tc>
        <w:tc>
          <w:tcPr>
            <w:tcW w:type="dxa" w:w="435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ضوابط التشفير المطبَّقة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مستويات التصنيف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1644"/>
        <w:gridCol w:w="4047"/>
        <w:gridCol w:w="3669"/>
      </w:tblGrid>
      <w:tr>
        <w:trPr>
          <w:tblHeader/>
        </w:trPr>
        <w:tc>
          <w:tcPr>
            <w:tcW w:type="dxa" w:w="1644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المستوى</w:t>
            </w:r>
          </w:p>
        </w:tc>
        <w:tc>
          <w:tcPr>
            <w:tcW w:type="dxa" w:w="4047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التعريف</w:t>
            </w:r>
          </w:p>
        </w:tc>
        <w:tc>
          <w:tcPr>
            <w:tcW w:type="dxa" w:w="3669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أمثلة في نَسَق</w:t>
            </w:r>
          </w:p>
        </w:tc>
      </w:tr>
      <w:tr>
        <w:trPr>
          <w:tblHeader w:val="false"/>
        </w:trPr>
        <w:tc>
          <w:tcPr>
            <w:tcW w:type="dxa" w:w="164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سري جداً</w:t>
            </w:r>
          </w:p>
        </w:tc>
        <w:tc>
          <w:tcPr>
            <w:tcW w:type="dxa" w:w="404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إفشاؤها يسبب ضرراً جسيماً للمستفيدين أو للجهات العميلة أو للشركة</w:t>
            </w:r>
          </w:p>
        </w:tc>
        <w:tc>
          <w:tcPr>
            <w:tcW w:type="dxa" w:w="3669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بيانات هوية المستفيدين · بيانات المدفوعات · مفاتيح التشفير</w:t>
            </w:r>
          </w:p>
        </w:tc>
      </w:tr>
      <w:tr>
        <w:trPr>
          <w:tblHeader w:val="false"/>
        </w:trPr>
        <w:tc>
          <w:tcPr>
            <w:tcW w:type="dxa" w:w="164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سري</w:t>
            </w:r>
          </w:p>
        </w:tc>
        <w:tc>
          <w:tcPr>
            <w:tcW w:type="dxa" w:w="404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إفشاؤها يسبب ضرراً بالغاً</w:t>
            </w:r>
          </w:p>
        </w:tc>
        <w:tc>
          <w:tcPr>
            <w:tcW w:type="dxa" w:w="3669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الكود المصدري · بيانات الموظفين · تقارير الثغرات</w:t>
            </w:r>
          </w:p>
        </w:tc>
      </w:tr>
      <w:tr>
        <w:trPr>
          <w:tblHeader w:val="false"/>
        </w:trPr>
        <w:tc>
          <w:tcPr>
            <w:tcW w:type="dxa" w:w="164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داخلي</w:t>
            </w:r>
          </w:p>
        </w:tc>
        <w:tc>
          <w:tcPr>
            <w:tcW w:type="dxa" w:w="404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إفشاؤها يسبب ضرراً محدوداً</w:t>
            </w:r>
          </w:p>
        </w:tc>
        <w:tc>
          <w:tcPr>
            <w:tcW w:type="dxa" w:w="3669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سجلات التشغيل · الوثائق الإدارية</w:t>
            </w:r>
          </w:p>
        </w:tc>
      </w:tr>
      <w:tr>
        <w:trPr>
          <w:tblHeader w:val="false"/>
        </w:trPr>
        <w:tc>
          <w:tcPr>
            <w:tcW w:type="dxa" w:w="164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عام</w:t>
            </w:r>
          </w:p>
        </w:tc>
        <w:tc>
          <w:tcPr>
            <w:tcW w:type="dxa" w:w="404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لا ضرر من إفشائها</w:t>
            </w:r>
          </w:p>
        </w:tc>
        <w:tc>
          <w:tcPr>
            <w:tcW w:type="dxa" w:w="3669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المواد التسويقية · الوثائق المنشورة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/>
          <w:bCs/>
          <w:color w:val="15325C"/>
          <w:sz w:val="21"/>
          <w:szCs w:val="21"/>
          <w:rtl/>
        </w:rPr>
        <w:t xml:space="preserve">قاعدة الافتراض:</w:t>
      </w: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 البيانات غير المصنّفة تُعامَل معاملة المستوى «سري» حتى تُصنَّف.</w:t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ضوابط الحماية بحسب التصنيف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1570"/>
        <w:gridCol w:w="3079"/>
        <w:gridCol w:w="1570"/>
        <w:gridCol w:w="1570"/>
        <w:gridCol w:w="1571"/>
      </w:tblGrid>
      <w:tr>
        <w:trPr>
          <w:tblHeader/>
        </w:trPr>
        <w:tc>
          <w:tcPr>
            <w:tcW w:type="dxa" w:w="157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الضابط</w:t>
            </w:r>
          </w:p>
        </w:tc>
        <w:tc>
          <w:tcPr>
            <w:tcW w:type="dxa" w:w="3079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سري جداً</w:t>
            </w:r>
          </w:p>
        </w:tc>
        <w:tc>
          <w:tcPr>
            <w:tcW w:type="dxa" w:w="157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سري</w:t>
            </w:r>
          </w:p>
        </w:tc>
        <w:tc>
          <w:tcPr>
            <w:tcW w:type="dxa" w:w="157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داخلي</w:t>
            </w:r>
          </w:p>
        </w:tc>
        <w:tc>
          <w:tcPr>
            <w:tcW w:type="dxa" w:w="1571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عام</w:t>
            </w:r>
          </w:p>
        </w:tc>
      </w:tr>
      <w:tr>
        <w:trPr>
          <w:tblHeader w:val="false"/>
        </w:trPr>
        <w:tc>
          <w:tcPr>
            <w:tcW w:type="dxa" w:w="157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التشفير أثناء التخزين</w:t>
            </w:r>
          </w:p>
        </w:tc>
        <w:tc>
          <w:tcPr>
            <w:tcW w:type="dxa" w:w="3079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إلزامي على مستوى الحقل أو القاعدة</w:t>
            </w:r>
          </w:p>
        </w:tc>
        <w:tc>
          <w:tcPr>
            <w:tcW w:type="dxa" w:w="157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إلزامي على مستوى القاعدة</w:t>
            </w:r>
          </w:p>
        </w:tc>
        <w:tc>
          <w:tcPr>
            <w:tcW w:type="dxa" w:w="157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إلزامي على مستوى التخزين</w:t>
            </w:r>
          </w:p>
        </w:tc>
        <w:tc>
          <w:tcPr>
            <w:tcW w:type="dxa" w:w="157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غير مطلوب</w:t>
            </w:r>
          </w:p>
        </w:tc>
      </w:tr>
      <w:tr>
        <w:trPr>
          <w:tblHeader w:val="false"/>
        </w:trPr>
        <w:tc>
          <w:tcPr>
            <w:tcW w:type="dxa" w:w="157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التشفير أثناء النقل</w:t>
            </w:r>
          </w:p>
        </w:tc>
        <w:tc>
          <w:tcPr>
            <w:tcW w:type="dxa" w:w="3079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إلزامي</w:t>
            </w:r>
          </w:p>
        </w:tc>
        <w:tc>
          <w:tcPr>
            <w:tcW w:type="dxa" w:w="157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إلزامي</w:t>
            </w:r>
          </w:p>
        </w:tc>
        <w:tc>
          <w:tcPr>
            <w:tcW w:type="dxa" w:w="157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إلزامي</w:t>
            </w:r>
          </w:p>
        </w:tc>
        <w:tc>
          <w:tcPr>
            <w:tcW w:type="dxa" w:w="1571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مستحسن</w:t>
            </w:r>
          </w:p>
        </w:tc>
      </w:tr>
      <w:tr>
        <w:trPr>
          <w:tblHeader w:val="false"/>
        </w:trPr>
        <w:tc>
          <w:tcPr>
            <w:tcW w:type="dxa" w:w="157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ضبط الوصول</w:t>
            </w:r>
          </w:p>
        </w:tc>
        <w:tc>
          <w:tcPr>
            <w:tcW w:type="dxa" w:w="3079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الحد الأدنى + مصادقة متعددة العناصر + تسجيل كل وصول</w:t>
            </w:r>
          </w:p>
        </w:tc>
        <w:tc>
          <w:tcPr>
            <w:tcW w:type="dxa" w:w="157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الحد الأدنى + تسجيل</w:t>
            </w:r>
          </w:p>
        </w:tc>
        <w:tc>
          <w:tcPr>
            <w:tcW w:type="dxa" w:w="157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حسب الدور</w:t>
            </w:r>
          </w:p>
        </w:tc>
        <w:tc>
          <w:tcPr>
            <w:tcW w:type="dxa" w:w="157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مفتوح داخلياً</w:t>
            </w:r>
          </w:p>
        </w:tc>
      </w:tr>
      <w:tr>
        <w:trPr>
          <w:tblHeader w:val="false"/>
        </w:trPr>
        <w:tc>
          <w:tcPr>
            <w:tcW w:type="dxa" w:w="157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النسخ لبيئات غير الإنتاج</w:t>
            </w:r>
          </w:p>
        </w:tc>
        <w:tc>
          <w:tcPr>
            <w:tcW w:type="dxa" w:w="3079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ممنوع — يُستخدم التقنيع</w:t>
            </w:r>
          </w:p>
        </w:tc>
        <w:tc>
          <w:tcPr>
            <w:tcW w:type="dxa" w:w="157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ممنوع — يُستخدم التقنيع</w:t>
            </w:r>
          </w:p>
        </w:tc>
        <w:tc>
          <w:tcPr>
            <w:tcW w:type="dxa" w:w="157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مسموح بموافقة المالك</w:t>
            </w:r>
          </w:p>
        </w:tc>
        <w:tc>
          <w:tcPr>
            <w:tcW w:type="dxa" w:w="1571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مسموح</w:t>
            </w:r>
          </w:p>
        </w:tc>
      </w:tr>
      <w:tr>
        <w:trPr>
          <w:tblHeader w:val="false"/>
        </w:trPr>
        <w:tc>
          <w:tcPr>
            <w:tcW w:type="dxa" w:w="157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النقل خارج الشركة</w:t>
            </w:r>
          </w:p>
        </w:tc>
        <w:tc>
          <w:tcPr>
            <w:tcW w:type="dxa" w:w="3079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ممنوع إلا بموافقة المالك ورئيس الأمن السيبراني</w:t>
            </w:r>
          </w:p>
        </w:tc>
        <w:tc>
          <w:tcPr>
            <w:tcW w:type="dxa" w:w="157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بموافقة المالك</w:t>
            </w:r>
          </w:p>
        </w:tc>
        <w:tc>
          <w:tcPr>
            <w:tcW w:type="dxa" w:w="157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بموافقة المدير المباشر</w:t>
            </w:r>
          </w:p>
        </w:tc>
        <w:tc>
          <w:tcPr>
            <w:tcW w:type="dxa" w:w="157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مسموح</w:t>
            </w:r>
          </w:p>
        </w:tc>
      </w:tr>
      <w:tr>
        <w:trPr>
          <w:tblHeader w:val="false"/>
        </w:trPr>
        <w:tc>
          <w:tcPr>
            <w:tcW w:type="dxa" w:w="157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الاحتفاظ والإتلاف</w:t>
            </w:r>
          </w:p>
        </w:tc>
        <w:tc>
          <w:tcPr>
            <w:tcW w:type="dxa" w:w="3079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وفق المتطلب التعاقدي والنظامي · إتلاف آمن موثق</w:t>
            </w:r>
          </w:p>
        </w:tc>
        <w:tc>
          <w:tcPr>
            <w:tcW w:type="dxa" w:w="157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إتلاف آمن</w:t>
            </w:r>
          </w:p>
        </w:tc>
        <w:tc>
          <w:tcPr>
            <w:tcW w:type="dxa" w:w="157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حذف عادي</w:t>
            </w:r>
          </w:p>
        </w:tc>
        <w:tc>
          <w:tcPr>
            <w:tcW w:type="dxa" w:w="1571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57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منع التسرب</w:t>
            </w:r>
          </w:p>
        </w:tc>
        <w:tc>
          <w:tcPr>
            <w:tcW w:type="dxa" w:w="3079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مراقبة إلزامية</w:t>
            </w:r>
          </w:p>
        </w:tc>
        <w:tc>
          <w:tcPr>
            <w:tcW w:type="dxa" w:w="157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مراقبة إلزامية</w:t>
            </w:r>
          </w:p>
        </w:tc>
        <w:tc>
          <w:tcPr>
            <w:tcW w:type="dxa" w:w="157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مراقبة عند الإمكان</w:t>
            </w:r>
          </w:p>
        </w:tc>
        <w:tc>
          <w:tcPr>
            <w:tcW w:type="dxa" w:w="157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غير مطلوب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متطلبات خاصة بالبيانات الشخصية</w:t>
      </w:r>
    </w:p>
    <w:p>
      <w:pPr>
        <w:bidi/>
        <w:spacing w:after="60" w:before="0" w:line="300"/>
        <w:ind w:right="280"/>
        <w:jc w:val="start"/>
      </w:pPr>
      <w:r>
        <w:rPr>
          <w:rFonts w:ascii="Arial" w:cs="Arial" w:eastAsia="Arial" w:hAnsi="Arial"/>
          <w:b/>
          <w:bCs/>
          <w:color w:val="C9A227"/>
          <w:sz w:val="21"/>
          <w:szCs w:val="21"/>
          <w:rtl/>
        </w:rPr>
        <w:t xml:space="preserve">•  </w:t>
      </w: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تُعالَج البيانات الشخصية للمستفيدين بصفة الشركة معالجاً نيابةً عن الجهة العميلة المالكة لها، ولا تُستخدم لأي غرض خارج نطاق العقد.</w:t>
      </w:r>
    </w:p>
    <w:p>
      <w:pPr>
        <w:bidi/>
        <w:spacing w:after="60" w:before="0" w:line="300"/>
        <w:ind w:right="280"/>
        <w:jc w:val="start"/>
      </w:pPr>
      <w:r>
        <w:rPr>
          <w:rFonts w:ascii="Arial" w:cs="Arial" w:eastAsia="Arial" w:hAnsi="Arial"/>
          <w:b/>
          <w:bCs/>
          <w:color w:val="C9A227"/>
          <w:sz w:val="21"/>
          <w:szCs w:val="21"/>
          <w:rtl/>
        </w:rPr>
        <w:t xml:space="preserve">•  </w:t>
      </w: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تُستضاف داخل المملكة دون استثناء.</w:t>
      </w:r>
    </w:p>
    <w:p>
      <w:pPr>
        <w:bidi/>
        <w:spacing w:after="60" w:before="0" w:line="300"/>
        <w:ind w:right="280"/>
        <w:jc w:val="start"/>
      </w:pPr>
      <w:r>
        <w:rPr>
          <w:rFonts w:ascii="Arial" w:cs="Arial" w:eastAsia="Arial" w:hAnsi="Arial"/>
          <w:b/>
          <w:bCs/>
          <w:color w:val="C9A227"/>
          <w:sz w:val="21"/>
          <w:szCs w:val="21"/>
          <w:rtl/>
        </w:rPr>
        <w:t xml:space="preserve">•  </w:t>
      </w: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لا تُنسخ إلى بيئات التطوير والاختبار مطلقاً، وتُستخدم بيانات مقنَّعة بدلاً منها.</w:t>
      </w:r>
    </w:p>
    <w:p>
      <w:pPr>
        <w:bidi/>
        <w:spacing w:after="60" w:before="0" w:line="300"/>
        <w:ind w:right="280"/>
        <w:jc w:val="start"/>
      </w:pPr>
      <w:r>
        <w:rPr>
          <w:rFonts w:ascii="Arial" w:cs="Arial" w:eastAsia="Arial" w:hAnsi="Arial"/>
          <w:b/>
          <w:bCs/>
          <w:color w:val="C9A227"/>
          <w:sz w:val="21"/>
          <w:szCs w:val="21"/>
          <w:rtl/>
        </w:rPr>
        <w:t xml:space="preserve">•  </w:t>
      </w: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يُبلَّغ عن أي حادثة تمسّها وفق خطة الاستجابة CS-PRO-002 وتُشعَر الجهة المالكة خطياً.</w:t>
      </w:r>
    </w:p>
    <w:p>
      <w:pPr>
        <w:bidi/>
        <w:spacing w:after="60" w:before="0" w:line="300"/>
        <w:ind w:right="280"/>
        <w:jc w:val="start"/>
      </w:pPr>
      <w:r>
        <w:rPr>
          <w:rFonts w:ascii="Arial" w:cs="Arial" w:eastAsia="Arial" w:hAnsi="Arial"/>
          <w:b/>
          <w:bCs/>
          <w:color w:val="C9A227"/>
          <w:sz w:val="21"/>
          <w:szCs w:val="21"/>
          <w:rtl/>
        </w:rPr>
        <w:t xml:space="preserve">•  </w:t>
      </w: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تُعاد للجهة العميلة وتُتلف نسخ الشركة عند انتهاء العلاقة التعاقدية، بإفادة إتلاف موثقة.</w:t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مسؤوليات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2897"/>
        <w:gridCol w:w="6463"/>
      </w:tblGrid>
      <w:tr>
        <w:trPr>
          <w:tblHeader/>
        </w:trPr>
        <w:tc>
          <w:tcPr>
            <w:tcW w:type="dxa" w:w="2897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الدور</w:t>
            </w:r>
          </w:p>
        </w:tc>
        <w:tc>
          <w:tcPr>
            <w:tcW w:type="dxa" w:w="6463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المسؤولية</w:t>
            </w:r>
          </w:p>
        </w:tc>
      </w:tr>
      <w:tr>
        <w:trPr>
          <w:tblHeader w:val="false"/>
        </w:trPr>
        <w:tc>
          <w:tcPr>
            <w:tcW w:type="dxa" w:w="289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مالك البيانات</w:t>
            </w:r>
          </w:p>
        </w:tc>
        <w:tc>
          <w:tcPr>
            <w:tcW w:type="dxa" w:w="646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تصنيفها · اعتماد صلاحيات الوصول · اعتماد نقلها خارج الشركة</w:t>
            </w:r>
          </w:p>
        </w:tc>
      </w:tr>
      <w:tr>
        <w:trPr>
          <w:tblHeader w:val="false"/>
        </w:trPr>
        <w:tc>
          <w:tcPr>
            <w:tcW w:type="dxa" w:w="289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حائز البيانات</w:t>
            </w:r>
          </w:p>
        </w:tc>
        <w:tc>
          <w:tcPr>
            <w:tcW w:type="dxa" w:w="646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التعامل معها وفق ضوابط تصنيفها</w:t>
            </w:r>
          </w:p>
        </w:tc>
      </w:tr>
      <w:tr>
        <w:trPr>
          <w:tblHeader w:val="false"/>
        </w:trPr>
        <w:tc>
          <w:tcPr>
            <w:tcW w:type="dxa" w:w="289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إدارة العمليات السحابية</w:t>
            </w:r>
          </w:p>
        </w:tc>
        <w:tc>
          <w:tcPr>
            <w:tcW w:type="dxa" w:w="646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تطبيق الضوابط التقنية</w:t>
            </w:r>
          </w:p>
        </w:tc>
      </w:tr>
      <w:tr>
        <w:trPr>
          <w:tblHeader w:val="false"/>
        </w:trPr>
        <w:tc>
          <w:tcPr>
            <w:tcW w:type="dxa" w:w="289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إدارة الأمن السيبراني</w:t>
            </w:r>
          </w:p>
        </w:tc>
        <w:tc>
          <w:tcPr>
            <w:tcW w:type="dxa" w:w="646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المراقبة والتحقق من الالتزام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المراجعة والتحديث</w:t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تُراجَع هذه السياسة سنوياً على الأقل، وعند تغيّر المتطلبات التشريعية أو التنظيمية المتعلقة بحماية البيانات. وتُوثَّق التغييرات وتُعتمد من صاحب الصلاحية.</w:t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سجل التغييرات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الإصدار</w:t>
            </w:r>
          </w:p>
        </w:tc>
        <w:tc>
          <w:tcPr>
            <w:tcW w:type="dxa" w:w="234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التاريخ</w:t>
            </w:r>
          </w:p>
        </w:tc>
        <w:tc>
          <w:tcPr>
            <w:tcW w:type="dxa" w:w="234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التغيير</w:t>
            </w:r>
          </w:p>
        </w:tc>
        <w:tc>
          <w:tcPr>
            <w:tcW w:type="dxa" w:w="234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المعتمِد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١.٠</w:t>
            </w:r>
          </w:p>
        </w:tc>
        <w:tc>
          <w:tcPr>
            <w:tcW w:type="dxa" w:w="23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 ربيع الأول ١٤٤٨هـ</w:t>
            </w:r>
          </w:p>
        </w:tc>
        <w:tc>
          <w:tcPr>
            <w:tcW w:type="dxa" w:w="23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الإصدار الأول</w:t>
            </w:r>
          </w:p>
        </w:tc>
        <w:tc>
          <w:tcPr>
            <w:tcW w:type="dxa" w:w="23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الرئيس التنفيذي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الاعتماد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1829"/>
        <w:gridCol w:w="3870"/>
        <w:gridCol w:w="1829"/>
        <w:gridCol w:w="1832"/>
      </w:tblGrid>
      <w:tr>
        <w:trPr>
          <w:tblHeader/>
        </w:trPr>
        <w:tc>
          <w:tcPr>
            <w:tcW w:type="dxa" w:w="1829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الدور</w:t>
            </w:r>
          </w:p>
        </w:tc>
        <w:tc>
          <w:tcPr>
            <w:tcW w:type="dxa" w:w="387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الاسم</w:t>
            </w:r>
          </w:p>
        </w:tc>
        <w:tc>
          <w:tcPr>
            <w:tcW w:type="dxa" w:w="1829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التوقيع</w:t>
            </w:r>
          </w:p>
        </w:tc>
        <w:tc>
          <w:tcPr>
            <w:tcW w:type="dxa" w:w="1832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التاريخ</w:t>
            </w:r>
          </w:p>
        </w:tc>
      </w:tr>
      <w:tr>
        <w:trPr>
          <w:tblHeader w:val="false"/>
        </w:trPr>
        <w:tc>
          <w:tcPr>
            <w:tcW w:type="dxa" w:w="1829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أُعدّت بواسطة</w:t>
            </w:r>
          </w:p>
        </w:tc>
        <w:tc>
          <w:tcPr>
            <w:tcW w:type="dxa" w:w="387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وحدة الحوكمة والمخاطر والالتزام</w:t>
            </w:r>
          </w:p>
        </w:tc>
        <w:tc>
          <w:tcPr>
            <w:tcW w:type="dxa" w:w="1829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83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829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رُوجعت بواسطة</w:t>
            </w:r>
          </w:p>
        </w:tc>
        <w:tc>
          <w:tcPr>
            <w:tcW w:type="dxa" w:w="387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أ. ريم الشهري — رئيس الأمن السيبراني · الشؤون القانونية</w:t>
            </w:r>
          </w:p>
        </w:tc>
        <w:tc>
          <w:tcPr>
            <w:tcW w:type="dxa" w:w="1829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83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829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اعتُمدت بواسطة</w:t>
            </w:r>
          </w:p>
        </w:tc>
        <w:tc>
          <w:tcPr>
            <w:tcW w:type="dxa" w:w="387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م. بدر العتيبي — الرئيس التنفيذي · صاحب الصلاحية</w:t>
            </w:r>
          </w:p>
        </w:tc>
        <w:tc>
          <w:tcPr>
            <w:tcW w:type="dxa" w:w="1829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83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تنويه</w:t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شركة نَسَق وجميع البيانات والأسماء والأرقام الواردة في هذه الوثيقة افتراضية، وأُعدّت لأغراض التدريب على تطبيق الضوابط الأساسية للأمن السيبراني.</w:t>
      </w:r>
    </w:p>
    <w:sectPr>
      <w:headerReference w:type="default" r:id="rId9"/>
      <w:footerReference w:type="default" r:id="rId10"/>
      <w:pgSz w:w="11906" w:h="16838" w:orient="portrait"/>
      <w:pgMar w:top="10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start"/>
    </w:pPr>
    <w:r>
      <w:rPr>
        <w:rFonts w:ascii="Arial" w:cs="Arial" w:eastAsia="Arial" w:hAnsi="Arial"/>
        <w:b/>
        <w:bCs/>
        <w:color w:val="9E2A2B"/>
        <w:sz w:val="16"/>
        <w:szCs w:val="16"/>
        <w:rtl/>
      </w:rPr>
      <w:t xml:space="preserve">سري</w:t>
    </w:r>
    <w:r>
      <w:rPr>
        <w:rFonts w:ascii="Arial" w:cs="Arial" w:eastAsia="Arial" w:hAnsi="Arial"/>
        <w:b w:val="false"/>
        <w:bCs w:val="false"/>
        <w:color w:val="5A6672"/>
        <w:sz w:val="16"/>
        <w:szCs w:val="16"/>
        <w:rtl/>
      </w:rPr>
      <w:t xml:space="preserve">        صفحة </w:t>
    </w:r>
    <w:r>
      <w:rPr>
        <w:rFonts w:ascii="Arial" w:cs="Arial" w:eastAsia="Arial" w:hAnsi="Arial"/>
        <w:color w:val="5A66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color w:val="5A6672"/>
        <w:sz w:val="16"/>
        <w:szCs w:val="16"/>
        <w:rtl/>
      </w:rPr>
      <w:t xml:space="preserve"> من </w:t>
    </w:r>
    <w:r>
      <w:rPr>
        <w:rFonts w:ascii="Arial" w:cs="Arial" w:eastAsia="Arial" w:hAnsi="Arial"/>
        <w:color w:val="5A6672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5A6672"/>
        <w:sz w:val="16"/>
        <w:szCs w:val="16"/>
      </w:rPr>
      <w:t xml:space="preserve">	CS-POL-006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start"/>
    </w:pPr>
    <w:r>
      <w:rPr>
        <w:rFonts w:ascii="Arial" w:cs="Arial" w:eastAsia="Arial" w:hAnsi="Arial"/>
        <w:b/>
        <w:bCs/>
        <w:color w:val="9E2A2B"/>
        <w:sz w:val="16"/>
        <w:szCs w:val="16"/>
        <w:rtl/>
      </w:rPr>
      <w:t xml:space="preserve">سري</w:t>
    </w:r>
    <w:r>
      <w:rPr>
        <w:rFonts w:ascii="Arial" w:cs="Arial" w:eastAsia="Arial" w:hAnsi="Arial"/>
        <w:b w:val="false"/>
        <w:bCs w:val="false"/>
        <w:color w:val="5A6672"/>
        <w:sz w:val="16"/>
        <w:szCs w:val="16"/>
        <w:rtl/>
      </w:rPr>
      <w:t xml:space="preserve">        صفحة </w:t>
    </w:r>
    <w:r>
      <w:rPr>
        <w:rFonts w:ascii="Arial" w:cs="Arial" w:eastAsia="Arial" w:hAnsi="Arial"/>
        <w:color w:val="5A66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color w:val="5A6672"/>
        <w:sz w:val="16"/>
        <w:szCs w:val="16"/>
        <w:rtl/>
      </w:rPr>
      <w:t xml:space="preserve"> من </w:t>
    </w:r>
    <w:r>
      <w:rPr>
        <w:rFonts w:ascii="Arial" w:cs="Arial" w:eastAsia="Arial" w:hAnsi="Arial"/>
        <w:color w:val="5A6672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5A6672"/>
        <w:sz w:val="16"/>
        <w:szCs w:val="16"/>
      </w:rPr>
      <w:t xml:space="preserve">	CS-POL-006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E0E3" w:sz="2" w:space="6"/>
      </w:pBdr>
      <w:bidi/>
      <w:jc w:val="start"/>
    </w:pPr>
    <w:r>
      <w:rPr>
        <w:rFonts w:ascii="Arial" w:cs="Arial" w:eastAsia="Arial" w:hAnsi="Arial"/>
        <w:b/>
        <w:bCs/>
        <w:color w:val="15325C"/>
        <w:sz w:val="16"/>
        <w:szCs w:val="16"/>
        <w:rtl/>
      </w:rPr>
      <w:t xml:space="preserve">شركة نَسَق للحلول الرقمية — إدارة الأمن السيبراني</w:t>
    </w:r>
    <w:r>
      <w:rPr>
        <w:rFonts w:ascii="Arial" w:cs="Arial" w:eastAsia="Arial" w:hAnsi="Arial"/>
        <w:color w:val="5A6672"/>
        <w:sz w:val="16"/>
        <w:szCs w:val="16"/>
      </w:rPr>
      <w:t xml:space="preserve">	CS-POL-006 ·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2026-10-04T11:48:01.168Z</dcterms:created>
  <dcterms:modified xsi:type="dcterms:W3CDTF">2026-10-04T11:48:01.168Z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