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التشفير وإدارة مفاتيح التشفير</w:t>
            </w:r>
          </w:p>
          <w:p>
            <w:pPr>
              <w:bidi/>
              <w:spacing w:after="260" w:before="0" w:line="300"/>
              <w:jc w:val="start"/>
            </w:pPr>
            <w:r>
              <w:rPr>
                <w:rFonts w:ascii="Arial" w:cs="Arial" w:eastAsia="Arial" w:hAnsi="Arial"/>
                <w:b w:val="false"/>
                <w:bCs w:val="false"/>
                <w:color w:val="AFC4D4"/>
                <w:sz w:val="22"/>
                <w:szCs w:val="22"/>
                <w:rtl/>
              </w:rPr>
              <w:t xml:space="preserve">الخوارزميات المعتمدة · دورة حياة المفاتيح · التشفير أثناء النقل والتخزين</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CS-STD-004</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العمليات السحابية والبنية التحتية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2-8-3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التشفير وإدارة مفاتيح التشفير</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خوارزميات التشفير المعتمدة في شركة نَسَق للحلول الرقمية والقيود التقنية والتنظيمية المطبَّقة عليها، ومتطلبات الإدارة الآمنة لمفاتيح التشفير خلال دورة حياتها، وتشفير البيانات أثناء النقل وأثناء التخزين، ويُعدّ مخرَجاً من حزمة العمل WP-01.</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يسري هذا المعيار على جميع الأصول المعلوماتية والتقنية للشركة، وعلى الأنظمة الثلاثة والعشرين المستضافة للجهات العميلة، وعلى البيانات في جميع حالاتها.</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056"/>
        <w:gridCol w:w="3304"/>
      </w:tblGrid>
      <w:tr>
        <w:trPr>
          <w:tblHeader/>
        </w:trPr>
        <w:tc>
          <w:tcPr>
            <w:tcW w:type="dxa" w:w="60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6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٢-٨</w:t>
            </w:r>
          </w:p>
        </w:tc>
        <w:tc>
          <w:tcPr>
            <w:tcW w:type="dxa" w:w="3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المعيار</w:t>
            </w:r>
          </w:p>
        </w:tc>
      </w:tr>
      <w:tr>
        <w:trPr>
          <w:tblHeader w:val="false"/>
        </w:trPr>
        <w:tc>
          <w:tcPr>
            <w:tcW w:type="dxa" w:w="60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المعايير الوطنية للتشفير الصادرة عن الهيئة الوطنية للأمن السيبراني</w:t>
            </w:r>
          </w:p>
        </w:tc>
        <w:tc>
          <w:tcPr>
            <w:tcW w:type="dxa" w:w="3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الخوارزميات وأطوال المفاتيح المعتمدة</w:t>
            </w:r>
          </w:p>
        </w:tc>
      </w:tr>
      <w:tr>
        <w:trPr>
          <w:tblHeader w:val="false"/>
        </w:trPr>
        <w:tc>
          <w:tcPr>
            <w:tcW w:type="dxa" w:w="6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إدارة الأسرار وبيانات الاعتماد CS-PRO-004</w:t>
            </w:r>
          </w:p>
        </w:tc>
        <w:tc>
          <w:tcPr>
            <w:tcW w:type="dxa" w:w="3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حفظ المفاتيح وتدويرها</w:t>
            </w:r>
          </w:p>
        </w:tc>
      </w:tr>
      <w:tr>
        <w:trPr>
          <w:tblHeader w:val="false"/>
        </w:trPr>
        <w:tc>
          <w:tcPr>
            <w:tcW w:type="dxa" w:w="60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الحسابات ذات الصلاحيات الهامة CS-STD-003</w:t>
            </w:r>
          </w:p>
        </w:tc>
        <w:tc>
          <w:tcPr>
            <w:tcW w:type="dxa" w:w="3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ضبط الوصول إلى المفاتيح</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أولاً: المعايير التقنية المعتمدة</w:t>
      </w:r>
    </w:p>
    <w:p>
      <w:pPr>
        <w:bidi/>
        <w:spacing w:after="140" w:before="0" w:line="300"/>
        <w:jc w:val="start"/>
      </w:pPr>
      <w:r>
        <w:rPr>
          <w:rFonts w:ascii="Arial" w:cs="Arial" w:eastAsia="Arial" w:hAnsi="Arial"/>
          <w:b w:val="false"/>
          <w:bCs w:val="false"/>
          <w:color w:val="16202A"/>
          <w:sz w:val="21"/>
          <w:szCs w:val="21"/>
          <w:rtl/>
        </w:rPr>
        <w:t xml:space="preserve">تلتزم الشركة بمستوى التشفير المحدد في المعايير الوطنية للتشفير بحسب تصنيف البيانات، وبما لا يقل عن الجدول التالي.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20"/>
        <w:gridCol w:w="2818"/>
        <w:gridCol w:w="3422"/>
      </w:tblGrid>
      <w:tr>
        <w:trPr>
          <w:tblHeader/>
        </w:trPr>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الاستخدام</w:t>
            </w:r>
          </w:p>
        </w:tc>
        <w:tc>
          <w:tcPr>
            <w:tcW w:type="dxa" w:w="28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الخوارزمية المعتمدة</w:t>
            </w:r>
          </w:p>
        </w:tc>
        <w:tc>
          <w:tcPr>
            <w:tcW w:type="dxa" w:w="342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الحد الأدنى</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 المتماثل</w:t>
            </w:r>
          </w:p>
        </w:tc>
        <w:tc>
          <w:tcPr>
            <w:tcW w:type="dxa" w:w="28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AES في وضع GCM</w:t>
            </w:r>
          </w:p>
        </w:tc>
        <w:tc>
          <w:tcPr>
            <w:tcW w:type="dxa" w:w="34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مفتاح ٢٥٦ بت</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 غير المتماثل</w:t>
            </w:r>
          </w:p>
        </w:tc>
        <w:tc>
          <w:tcPr>
            <w:tcW w:type="dxa" w:w="28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RSA أو ECDSA</w:t>
            </w:r>
          </w:p>
        </w:tc>
        <w:tc>
          <w:tcPr>
            <w:tcW w:type="dxa" w:w="34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RSA ٣٠٧٢ بت · منحنى P-384</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تبادل المفاتيح</w:t>
            </w:r>
          </w:p>
        </w:tc>
        <w:tc>
          <w:tcPr>
            <w:tcW w:type="dxa" w:w="28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ECDHE</w:t>
            </w:r>
          </w:p>
        </w:tc>
        <w:tc>
          <w:tcPr>
            <w:tcW w:type="dxa" w:w="34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منحنى P-256 فأعلى</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دوال الاختزال</w:t>
            </w:r>
          </w:p>
        </w:tc>
        <w:tc>
          <w:tcPr>
            <w:tcW w:type="dxa" w:w="28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SAH-2 أو أحدث</w:t>
            </w:r>
          </w:p>
        </w:tc>
        <w:tc>
          <w:tcPr>
            <w:tcW w:type="dxa" w:w="34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SHA-256</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اشتقاق المفاتيح من كلمات المرور</w:t>
            </w:r>
          </w:p>
        </w:tc>
        <w:tc>
          <w:tcPr>
            <w:tcW w:type="dxa" w:w="28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خوارزمية اشتقاق بطيئة معتمدة</w:t>
            </w:r>
          </w:p>
        </w:tc>
        <w:tc>
          <w:tcPr>
            <w:tcW w:type="dxa" w:w="34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معاملات تكلفة محدَّثة سنوياً</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بروتوكول النقل الآمن</w:t>
            </w:r>
          </w:p>
        </w:tc>
        <w:tc>
          <w:tcPr>
            <w:tcW w:type="dxa" w:w="28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TLS</w:t>
            </w:r>
          </w:p>
        </w:tc>
        <w:tc>
          <w:tcPr>
            <w:tcW w:type="dxa" w:w="34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١.٢ كحد أدنى · يُفضَّل ١.٣</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القيود التقنية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تُمنع الخوارزميات والبروتوكولات المهجورة نهائياً، ومنها: DES و 3DES و RC4 و MD5 و SHA-1، وإصدارات SSL كافةً، وإصدارا TLS ١.٠ و ١.١.</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يُسمح باستخدام خوارزميات تشفير مطوَّرة داخلياً أو غير معتمدة في المعايير الوطنية.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تُستخدم مكتبات تشفير معتمدة ومحدَّثة فقط، ويُمنع تنفيذ عمليات تشفير يدوياً داخل كود التطبيقات.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تُولَّد المفاتيح والقيم العشوائية من مصدر عشوائية تشفيري معتمد.</w:t>
      </w:r>
    </w:p>
    <w:p>
      <w:pPr>
        <w:pStyle w:val="Heading3"/>
        <w:bidi/>
        <w:spacing w:after="90" w:before="200" w:line="300"/>
        <w:jc w:val="start"/>
      </w:pPr>
      <w:r>
        <w:rPr>
          <w:rFonts w:ascii="Arial" w:cs="Arial" w:eastAsia="Arial" w:hAnsi="Arial"/>
          <w:b/>
          <w:bCs/>
          <w:color w:val="0C1F3D"/>
          <w:sz w:val="23"/>
          <w:szCs w:val="23"/>
          <w:rtl/>
        </w:rPr>
        <w:t xml:space="preserve">القيود التنظيمية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يجوز تخزين بيانات الشركة أو الجهات العميلة مشفَّرة بمفاتيح يملكها طرف خارجي دون موافقة رئيس الأمن السيبراني.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يجوز تصدير أو نقل مفاتيح التشفير خارج المملكة.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يُعتمد استثناء أي نظام يتعذّر فيه تطبيق هذا المعيار من الرئيس التنفيذي لمدة محددة، ويُقيَّد في سجل الاستثناءات مع ضوابط تعويضية.</w:t>
      </w:r>
    </w:p>
    <w:p>
      <w:pPr>
        <w:pStyle w:val="Heading2"/>
        <w:bidi/>
        <w:spacing w:after="120" w:before="280" w:line="300"/>
        <w:jc w:val="start"/>
      </w:pPr>
      <w:r>
        <w:rPr>
          <w:rFonts w:ascii="Arial" w:cs="Arial" w:eastAsia="Arial" w:hAnsi="Arial"/>
          <w:b/>
          <w:bCs/>
          <w:color w:val="15325C"/>
          <w:sz w:val="27"/>
          <w:szCs w:val="27"/>
          <w:rtl/>
        </w:rPr>
        <w:t xml:space="preserve">ثانياً: شهادات خوادم الويب والتطبيقات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تُصدَر شهادات TLS لجميع الخدمات المنشورة على الإنترنت من جهة إصدار معتمدة وموثوقة.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استخدام الشهادات ذاتية التوقيع في بيئة الإنتاج.</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تُراقَب صلاحية الشهادات آلياً، ويُولَّد تنبيه قبل ثلاثين يوماً من انتهائها.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تُحفظ المفاتيح الخاصة للشهادات في خزنة الأسرار المركزية حصراً.</w:t>
      </w:r>
    </w:p>
    <w:p>
      <w:pPr>
        <w:pStyle w:val="Heading2"/>
        <w:bidi/>
        <w:spacing w:after="120" w:before="280" w:line="300"/>
        <w:jc w:val="start"/>
      </w:pPr>
      <w:r>
        <w:rPr>
          <w:rFonts w:ascii="Arial" w:cs="Arial" w:eastAsia="Arial" w:hAnsi="Arial"/>
          <w:b/>
          <w:bCs/>
          <w:color w:val="15325C"/>
          <w:sz w:val="27"/>
          <w:szCs w:val="27"/>
          <w:rtl/>
        </w:rPr>
        <w:t xml:space="preserve">ثالثاً: الإدارة الآمنة لمفاتيح التشفير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التوليد</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داخل وحدة إدارة مفاتيح معتمدة أو خزنة الأسرار، ولا تُولَّد على أجهزة المستخدمين</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التوزيع</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عبر قنوات مشفَّرة فقط، ولا تُرسل عبر البريد أو المحادثات أو تُكتب في تذاكر العمل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التخزين</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في خزنة الأسرار المركزية، معزولة عن البيانات التي تحميها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الاستخدام</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عبر واجهة الخزنة دون كشف المفتاح للتطبيق أو للمستخدم</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التدوير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اثني عشر شهراً كحد أقصى · فوراً عند الاشتباه في الكشف · عند مغادرة أي صاحب صلاحيات هامة تعامل معها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الاحتياطي</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نسخة مشفَّرة في موقع منفصل، تخضع لضوابط الوصول ذاتها</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الإتلاف</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إتلاف آمن موثَّق بعد التأكد من عدم الحاجة لفك تشفير بيانات محفوظة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فصل المهام في إدارة المفاتيح</w:t>
      </w:r>
    </w:p>
    <w:p>
      <w:pPr>
        <w:bidi/>
        <w:spacing w:after="140" w:before="0" w:line="300"/>
        <w:jc w:val="start"/>
      </w:pPr>
      <w:r>
        <w:rPr>
          <w:rFonts w:ascii="Arial" w:cs="Arial" w:eastAsia="Arial" w:hAnsi="Arial"/>
          <w:b w:val="false"/>
          <w:bCs w:val="false"/>
          <w:color w:val="16202A"/>
          <w:sz w:val="21"/>
          <w:szCs w:val="21"/>
          <w:rtl/>
        </w:rPr>
        <w:t xml:space="preserve">لا يجمع شخص واحد بين صلاحية إدارة المفاتيح وصلاحية الوصول إلى البيانات التي تحميها تلك المفاتيح.</w:t>
      </w:r>
    </w:p>
    <w:p>
      <w:pPr>
        <w:pStyle w:val="Heading2"/>
        <w:bidi/>
        <w:spacing w:after="120" w:before="280" w:line="300"/>
        <w:jc w:val="start"/>
      </w:pPr>
      <w:r>
        <w:rPr>
          <w:rFonts w:ascii="Arial" w:cs="Arial" w:eastAsia="Arial" w:hAnsi="Arial"/>
          <w:b/>
          <w:bCs/>
          <w:color w:val="15325C"/>
          <w:sz w:val="27"/>
          <w:szCs w:val="27"/>
          <w:rtl/>
        </w:rPr>
        <w:t xml:space="preserve">رابعاً: تشفير البيانات أثناء النقل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95"/>
        <w:gridCol w:w="5265"/>
      </w:tblGrid>
      <w:tr>
        <w:trPr>
          <w:tblHeader/>
        </w:trPr>
        <w:tc>
          <w:tcPr>
            <w:tcW w:type="dxa" w:w="409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c>
          <w:tcPr>
            <w:tcW w:type="dxa" w:w="52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40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الخدمات المنشورة على الإنترنت</w:t>
            </w:r>
          </w:p>
        </w:tc>
        <w:tc>
          <w:tcPr>
            <w:tcW w:type="dxa" w:w="52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TLS ١.٢ فأعلى إلزامي، مع إعادة التوجيه الإجباري من غير المشفَّر</w:t>
            </w:r>
          </w:p>
        </w:tc>
      </w:tr>
      <w:tr>
        <w:trPr>
          <w:tblHeader w:val="false"/>
        </w:trPr>
        <w:tc>
          <w:tcPr>
            <w:tcW w:type="dxa" w:w="40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الاتصالات بين الخدمات المصغّرة داخل منصة الحاويات</w:t>
            </w:r>
          </w:p>
        </w:tc>
        <w:tc>
          <w:tcPr>
            <w:tcW w:type="dxa" w:w="52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متبادل بين الطرفين</w:t>
            </w:r>
          </w:p>
        </w:tc>
      </w:tr>
      <w:tr>
        <w:trPr>
          <w:tblHeader w:val="false"/>
        </w:trPr>
        <w:tc>
          <w:tcPr>
            <w:tcW w:type="dxa" w:w="40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الاتصال بقواعد البيانات</w:t>
            </w:r>
          </w:p>
        </w:tc>
        <w:tc>
          <w:tcPr>
            <w:tcW w:type="dxa" w:w="52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إلزامي حتى داخل الشبكة الداخلية</w:t>
            </w:r>
          </w:p>
        </w:tc>
      </w:tr>
      <w:tr>
        <w:trPr>
          <w:tblHeader w:val="false"/>
        </w:trPr>
        <w:tc>
          <w:tcPr>
            <w:tcW w:type="dxa" w:w="40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التكامل مع الجهات العميلة والبوابات الخارجية</w:t>
            </w:r>
          </w:p>
        </w:tc>
        <w:tc>
          <w:tcPr>
            <w:tcW w:type="dxa" w:w="52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إلزامي مع تحقق متبادل من الهوية</w:t>
            </w:r>
          </w:p>
        </w:tc>
      </w:tr>
      <w:tr>
        <w:trPr>
          <w:tblHeader w:val="false"/>
        </w:trPr>
        <w:tc>
          <w:tcPr>
            <w:tcW w:type="dxa" w:w="40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الاحتياطية أثناء نقلها</w:t>
            </w:r>
          </w:p>
        </w:tc>
        <w:tc>
          <w:tcPr>
            <w:tcW w:type="dxa" w:w="52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إلزامي</w:t>
            </w:r>
          </w:p>
        </w:tc>
      </w:tr>
      <w:tr>
        <w:trPr>
          <w:tblHeader w:val="false"/>
        </w:trPr>
        <w:tc>
          <w:tcPr>
            <w:tcW w:type="dxa" w:w="40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الإدارة عن بُعد</w:t>
            </w:r>
          </w:p>
        </w:tc>
        <w:tc>
          <w:tcPr>
            <w:tcW w:type="dxa" w:w="52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قنوات مشفَّرة معتمدة فقط</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خامساً: تشفير البيانات أثناء التخزين</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التصنيف</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سري جداً</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على مستوى قاعدة البيانات أو الحقل، مع مفاتيح مستقلة لكل جهة عميلة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سري</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على مستوى قاعدة البيانات أو وحدة التخزين</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داخلي</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على مستوى وحدة التخزين</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عام</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مطلوب</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يشمل ذلك النسخ الاحتياطية والأرشيف وبيئات الاختبار التي تحتوي بيانات حقيقية. ويُفضَّل استبدال البيانات الحقيقية في بيئات الاختبار ببيانات مُقنَّعة بدلاً من الاعتماد على التشفير وحده.</w:t>
      </w:r>
    </w:p>
    <w:p>
      <w:pPr>
        <w:pStyle w:val="Heading2"/>
        <w:bidi/>
        <w:spacing w:after="120" w:before="280" w:line="300"/>
        <w:jc w:val="start"/>
      </w:pPr>
      <w:r>
        <w:rPr>
          <w:rFonts w:ascii="Arial" w:cs="Arial" w:eastAsia="Arial" w:hAnsi="Arial"/>
          <w:b/>
          <w:bCs/>
          <w:color w:val="15325C"/>
          <w:sz w:val="27"/>
          <w:szCs w:val="27"/>
          <w:rtl/>
        </w:rPr>
        <w:t xml:space="preserve">سادساً: مراجعة فعالية تقنيات إدارة المفاتيح</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952"/>
        <w:gridCol w:w="1802"/>
        <w:gridCol w:w="1802"/>
        <w:gridCol w:w="1804"/>
      </w:tblGrid>
      <w:tr>
        <w:trPr>
          <w:tblHeader/>
        </w:trPr>
        <w:tc>
          <w:tcPr>
            <w:tcW w:type="dxa" w:w="395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المراجعة</w:t>
            </w:r>
          </w:p>
        </w:tc>
        <w:tc>
          <w:tcPr>
            <w:tcW w:type="dxa" w:w="18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18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18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39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الخوارزميات وأطوال المفاتيح مقابل المعايير الوطنية</w:t>
            </w:r>
          </w:p>
        </w:tc>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18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مطابقة معتمد</w:t>
            </w:r>
          </w:p>
        </w:tc>
      </w:tr>
      <w:tr>
        <w:trPr>
          <w:tblHeader w:val="false"/>
        </w:trPr>
        <w:tc>
          <w:tcPr>
            <w:tcW w:type="dxa" w:w="39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فعالية تقنيات إدارة المفاتيح ودورة حياتها</w:t>
            </w:r>
          </w:p>
        </w:tc>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8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مراجعة</w:t>
            </w:r>
          </w:p>
        </w:tc>
      </w:tr>
      <w:tr>
        <w:trPr>
          <w:tblHeader w:val="false"/>
        </w:trPr>
        <w:tc>
          <w:tcPr>
            <w:tcW w:type="dxa" w:w="39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إعدادات TLS على الخدمات المنشورة</w:t>
            </w:r>
          </w:p>
        </w:tc>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c>
          <w:tcPr>
            <w:tcW w:type="dxa" w:w="18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فحص</w:t>
            </w:r>
          </w:p>
        </w:tc>
      </w:tr>
      <w:tr>
        <w:trPr>
          <w:tblHeader w:val="false"/>
        </w:trPr>
        <w:tc>
          <w:tcPr>
            <w:tcW w:type="dxa" w:w="39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تدوير المفاتيح المستحقة</w:t>
            </w:r>
          </w:p>
        </w:tc>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8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التدوير</w:t>
            </w:r>
          </w:p>
        </w:tc>
      </w:tr>
      <w:tr>
        <w:trPr>
          <w:tblHeader w:val="false"/>
        </w:trPr>
        <w:tc>
          <w:tcPr>
            <w:tcW w:type="dxa" w:w="39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سجل استثناءات التشفير</w:t>
            </w:r>
          </w:p>
        </w:tc>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18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محدَّث</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أدلة الالتزام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496"/>
        <w:gridCol w:w="2864"/>
      </w:tblGrid>
      <w:tr>
        <w:trPr>
          <w:tblHeader/>
        </w:trPr>
        <w:tc>
          <w:tcPr>
            <w:tcW w:type="dxa" w:w="649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c>
          <w:tcPr>
            <w:tcW w:type="dxa" w:w="28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r>
      <w:tr>
        <w:trPr>
          <w:tblHeader w:val="false"/>
        </w:trPr>
        <w:tc>
          <w:tcPr>
            <w:tcW w:type="dxa" w:w="6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هذا المعيار معتمداً من صاحب الصلاحية</w:t>
            </w:r>
          </w:p>
        </w:tc>
        <w:tc>
          <w:tcPr>
            <w:tcW w:type="dxa" w:w="2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4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تطبيق الخوارزميات المعتمدة على الأنظمة</w:t>
            </w:r>
          </w:p>
        </w:tc>
        <w:tc>
          <w:tcPr>
            <w:tcW w:type="dxa" w:w="28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حفظ المفاتيح في خزنة الأسرار وضبط صلاحيات الوصول إليها</w:t>
            </w:r>
          </w:p>
        </w:tc>
        <w:tc>
          <w:tcPr>
            <w:tcW w:type="dxa" w:w="2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4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فحص إعدادات TLS للخدمات المنشورة</w:t>
            </w:r>
          </w:p>
        </w:tc>
        <w:tc>
          <w:tcPr>
            <w:tcW w:type="dxa" w:w="28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r>
      <w:tr>
        <w:trPr>
          <w:tblHeader w:val="false"/>
        </w:trPr>
        <w:tc>
          <w:tcPr>
            <w:tcW w:type="dxa" w:w="6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تدوير المفاتيح</w:t>
            </w:r>
          </w:p>
        </w:tc>
        <w:tc>
          <w:tcPr>
            <w:tcW w:type="dxa" w:w="2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4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المطابقة السنوي مع المعايير الوطنية للتشفير</w:t>
            </w:r>
          </w:p>
        </w:tc>
        <w:tc>
          <w:tcPr>
            <w:tcW w:type="dxa" w:w="28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تحديث المعايير الوطنية للتشفير، أو عند ظهور ضعف في خوارزمية معتمدة.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80"/>
        <w:gridCol w:w="3120"/>
        <w:gridCol w:w="2080"/>
        <w:gridCol w:w="2080"/>
      </w:tblGrid>
      <w:tr>
        <w:trPr>
          <w:tblHeader/>
        </w:trPr>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 والبنية التحتية</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CS-STD-004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2026-10-04T11:47:59.652Z</dcterms:created>
  <dcterms:modified xsi:type="dcterms:W3CDTF">2026-10-04T11:47:59.652Z</dcterms:modified>
</cp:coreProperties>
</file>

<file path=docProps/custom.xml><?xml version="1.0" encoding="utf-8"?>
<Properties xmlns="http://schemas.openxmlformats.org/officeDocument/2006/custom-properties" xmlns:vt="http://schemas.openxmlformats.org/officeDocument/2006/docPropsVTypes"/>
</file>