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تقني</w:t>
            </w:r>
          </w:p>
          <w:p>
            <w:pPr>
              <w:bidi/>
              <w:spacing w:after="120" w:before="0" w:line="420"/>
              <w:jc w:val="start"/>
            </w:pPr>
            <w:r>
              <w:rPr>
                <w:rFonts w:ascii="Arial" w:cs="Arial" w:eastAsia="Arial" w:hAnsi="Arial"/>
                <w:b/>
                <w:bCs/>
                <w:color w:val="FFFFFF"/>
                <w:sz w:val="52"/>
                <w:szCs w:val="52"/>
                <w:rtl/>
              </w:rPr>
              <w:t xml:space="preserve">معيار النسخ الاحتياطية والاستعادة</w:t>
            </w:r>
          </w:p>
          <w:p>
            <w:pPr>
              <w:bidi/>
              <w:spacing w:after="260" w:before="0" w:line="300"/>
              <w:jc w:val="start"/>
            </w:pPr>
            <w:r>
              <w:rPr>
                <w:rFonts w:ascii="Arial" w:cs="Arial" w:eastAsia="Arial" w:hAnsi="Arial"/>
                <w:b w:val="false"/>
                <w:bCs w:val="false"/>
                <w:color w:val="AFC4D4"/>
                <w:sz w:val="22"/>
                <w:szCs w:val="22"/>
                <w:rtl/>
              </w:rPr>
              <w:t xml:space="preserve">ثلاث نسخ · وسيطان · موقع خارجي · نسخة غير قابلة للتعديل</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CS-STD-006</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العمليات السحابية والبنية التحتية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2-9-3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النسخ الاحتياطية والاستعادة</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المعيار نطاق النسخ الاحتياطية في شركة نَسَق للحلول الرقمية ودوريتها ومدة الاحتفاظ بها ومتطلبات عزلها وحمايتها واختبار استعادتها، بما يضمن قدرة الشركة على التعافي بعد حوادث الأمن السيبراني، ويُعدّ مخرَجاً من حزمة العمل WP-04.</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726"/>
        <w:gridCol w:w="3634"/>
      </w:tblGrid>
      <w:tr>
        <w:trPr>
          <w:tblHeader/>
        </w:trPr>
        <w:tc>
          <w:tcPr>
            <w:tcW w:type="dxa" w:w="572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6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7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٢-٩</w:t>
            </w:r>
          </w:p>
        </w:tc>
        <w:tc>
          <w:tcPr>
            <w:tcW w:type="dxa" w:w="36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يستوفيها هذا المعيار</w:t>
            </w:r>
          </w:p>
        </w:tc>
      </w:tr>
      <w:tr>
        <w:trPr>
          <w:tblHeader w:val="false"/>
        </w:trPr>
        <w:tc>
          <w:tcPr>
            <w:tcW w:type="dxa" w:w="57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التعافي من الكوارث واستمرارية الأعمال CS-PRO-005</w:t>
            </w:r>
          </w:p>
        </w:tc>
        <w:tc>
          <w:tcPr>
            <w:tcW w:type="dxa" w:w="36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أهداف زمن التعافي ونقطة التعافي</w:t>
            </w:r>
          </w:p>
        </w:tc>
      </w:tr>
      <w:tr>
        <w:trPr>
          <w:tblHeader w:val="false"/>
        </w:trPr>
        <w:tc>
          <w:tcPr>
            <w:tcW w:type="dxa" w:w="57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التشفير وإدارة مفاتيح التشفير CS-STD-004</w:t>
            </w:r>
          </w:p>
        </w:tc>
        <w:tc>
          <w:tcPr>
            <w:tcW w:type="dxa" w:w="36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النسخ الاحتياطية</w:t>
            </w:r>
          </w:p>
        </w:tc>
      </w:tr>
      <w:tr>
        <w:trPr>
          <w:tblHeader w:val="false"/>
        </w:trPr>
        <w:tc>
          <w:tcPr>
            <w:tcW w:type="dxa" w:w="57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مخاطر الأمن السيبراني CS-REG-001</w:t>
            </w:r>
          </w:p>
        </w:tc>
        <w:tc>
          <w:tcPr>
            <w:tcW w:type="dxa" w:w="36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المخاطرة R-04</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قاعدة التصميم</w:t>
      </w:r>
    </w:p>
    <w:p>
      <w:pPr>
        <w:bidi/>
        <w:spacing w:after="140" w:before="0" w:line="300"/>
        <w:jc w:val="start"/>
      </w:pPr>
      <w:r>
        <w:rPr>
          <w:rFonts w:ascii="Arial" w:cs="Arial" w:eastAsia="Arial" w:hAnsi="Arial"/>
          <w:b w:val="false"/>
          <w:bCs w:val="false"/>
          <w:color w:val="16202A"/>
          <w:sz w:val="21"/>
          <w:szCs w:val="21"/>
          <w:rtl/>
        </w:rPr>
        <w:t xml:space="preserve">تعتمد الشركة قاعدة </w:t>
      </w:r>
      <w:r>
        <w:rPr>
          <w:rFonts w:ascii="Arial" w:cs="Arial" w:eastAsia="Arial" w:hAnsi="Arial"/>
          <w:b/>
          <w:bCs/>
          <w:color w:val="15325C"/>
          <w:sz w:val="21"/>
          <w:szCs w:val="21"/>
          <w:rtl/>
        </w:rPr>
        <w:t xml:space="preserve">ثلاث نسخ · وسيطان · موقع خارجي · نسخة غير قابلة للتعديل</w:t>
      </w:r>
      <w:r>
        <w:rPr>
          <w:rFonts w:ascii="Arial" w:cs="Arial" w:eastAsia="Arial" w:hAnsi="Arial"/>
          <w:b w:val="false"/>
          <w:bCs w:val="false"/>
          <w:color w:val="16202A"/>
          <w:sz w:val="21"/>
          <w:szCs w:val="21"/>
          <w:rtl/>
        </w:rPr>
        <w:t xml:space="preserve">:</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588"/>
        <w:gridCol w:w="6772"/>
      </w:tblGrid>
      <w:tr>
        <w:trPr>
          <w:tblHeader/>
        </w:trPr>
        <w:tc>
          <w:tcPr>
            <w:tcW w:type="dxa" w:w="258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العنصر</w:t>
            </w:r>
          </w:p>
        </w:tc>
        <w:tc>
          <w:tcPr>
            <w:tcW w:type="dxa" w:w="67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التطبيق في نَسَق</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ثلاث نسخ من البيانات</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النسخة الحية · نسخة في مركز البيانات الرئيسي · نسخة في موقع التعافي بجدة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وسيطان مختلفان على الأقل</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تخزين قرصي سريع · تخزين كائني بارد</w:t>
            </w:r>
          </w:p>
        </w:tc>
      </w:tr>
      <w:tr>
        <w:trPr>
          <w:tblHeader w:val="false"/>
        </w:trPr>
        <w:tc>
          <w:tcPr>
            <w:tcW w:type="dxa" w:w="258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نسخة خارج الموقع</w:t>
            </w:r>
          </w:p>
        </w:tc>
        <w:tc>
          <w:tcPr>
            <w:tcW w:type="dxa" w:w="67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موقع التعافي بجدة</w:t>
            </w:r>
          </w:p>
        </w:tc>
      </w:tr>
      <w:tr>
        <w:trPr>
          <w:tblHeader w:val="false"/>
        </w:trPr>
        <w:tc>
          <w:tcPr>
            <w:tcW w:type="dxa" w:w="258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نسخة غير قابلة للتعديل</w:t>
            </w:r>
          </w:p>
        </w:tc>
        <w:tc>
          <w:tcPr>
            <w:tcW w:type="dxa" w:w="67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نسخة محمية من الحذف والتعديل طوال مدة الاحتفاظ</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السبب:</w:t>
      </w:r>
      <w:r>
        <w:rPr>
          <w:rFonts w:ascii="Arial" w:cs="Arial" w:eastAsia="Arial" w:hAnsi="Arial"/>
          <w:b w:val="false"/>
          <w:bCs w:val="false"/>
          <w:color w:val="16202A"/>
          <w:sz w:val="21"/>
          <w:szCs w:val="21"/>
          <w:rtl/>
        </w:rPr>
        <w:t xml:space="preserve"> برامج الفدية الحديثة تستهدف النسخ الاحتياطية قبل تشفير الأنظمة. النسخة القابلة للحذف من الشبكة ذاتها ليست نسخة احتياطية، بل هدف إضافي.</w:t>
      </w:r>
    </w:p>
    <w:p>
      <w:pPr>
        <w:pStyle w:val="Heading2"/>
        <w:bidi/>
        <w:spacing w:after="120" w:before="280" w:line="300"/>
        <w:jc w:val="start"/>
      </w:pPr>
      <w:r>
        <w:rPr>
          <w:rFonts w:ascii="Arial" w:cs="Arial" w:eastAsia="Arial" w:hAnsi="Arial"/>
          <w:b/>
          <w:bCs/>
          <w:color w:val="15325C"/>
          <w:sz w:val="27"/>
          <w:szCs w:val="27"/>
          <w:rtl/>
        </w:rPr>
        <w:t xml:space="preserve">نطاق النسخ الاحتياطية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28"/>
        <w:gridCol w:w="2886"/>
        <w:gridCol w:w="2028"/>
        <w:gridCol w:w="2418"/>
      </w:tblGrid>
      <w:tr>
        <w:trPr>
          <w:tblHeader/>
        </w:trPr>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288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الأصل</w:t>
            </w:r>
          </w:p>
        </w:tc>
        <w:tc>
          <w:tcPr>
            <w:tcW w:type="dxa" w:w="20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مشمول</w:t>
            </w:r>
          </w:p>
        </w:tc>
        <w:tc>
          <w:tcPr>
            <w:tcW w:type="dxa" w:w="241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الملاحظة</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بيانات الأنظمة الثلاثة والعشرين</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c>
          <w:tcPr>
            <w:tcW w:type="dxa" w:w="2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28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ملفات ومرفقات الأنظمة</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c>
          <w:tcPr>
            <w:tcW w:type="dxa" w:w="2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البنية التحتية والبنية ككود</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c>
          <w:tcPr>
            <w:tcW w:type="dxa" w:w="2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كان خارج النطاق قبل هذا المعيار</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8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مستودعات الكود المصدري</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c>
          <w:tcPr>
            <w:tcW w:type="dxa" w:w="2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كان خارج النطاق قبل هذا المعيار</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2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منصة الحاويات وسجل الصور</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c>
          <w:tcPr>
            <w:tcW w:type="dxa" w:w="2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كان خارج النطاق قبل هذا المعيار</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8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أجهزة الشبكة وجدران الحماية</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c>
          <w:tcPr>
            <w:tcW w:type="dxa" w:w="2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2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خزنة الأسرار المركزية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c>
          <w:tcPr>
            <w:tcW w:type="dxa" w:w="2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نسخة مشفَّرة بمفتاح منفصل</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28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 إدارة الأحداث والسجلات</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c>
          <w:tcPr>
            <w:tcW w:type="dxa" w:w="2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مدة الاحتفاظ في CS-STD-002</w:t>
            </w:r>
          </w:p>
        </w:tc>
      </w:tr>
      <w:tr>
        <w:trPr>
          <w:tblHeader w:val="false"/>
        </w:trPr>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288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الشركة الإدارية</w:t>
            </w:r>
          </w:p>
        </w:tc>
        <w:tc>
          <w:tcPr>
            <w:tcW w:type="dxa" w:w="20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نعم</w:t>
            </w:r>
          </w:p>
        </w:tc>
        <w:tc>
          <w:tcPr>
            <w:tcW w:type="dxa" w:w="24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إلزامي</w:t>
            </w:r>
          </w:p>
        </w:tc>
      </w:tr>
      <w:tr>
        <w:trPr>
          <w:tblHeader w:val="false"/>
        </w:trPr>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88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بيئات التطوير والاختبار</w:t>
            </w:r>
          </w:p>
        </w:tc>
        <w:tc>
          <w:tcPr>
            <w:tcW w:type="dxa" w:w="20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w:t>
            </w:r>
          </w:p>
        </w:tc>
        <w:tc>
          <w:tcPr>
            <w:tcW w:type="dxa" w:w="24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يُعاد بناؤها من البنية ككود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جدول النسخ والاحتفاظ</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172"/>
        <w:gridCol w:w="2062"/>
        <w:gridCol w:w="2062"/>
        <w:gridCol w:w="2064"/>
      </w:tblGrid>
      <w:tr>
        <w:trPr>
          <w:tblHeader/>
        </w:trPr>
        <w:tc>
          <w:tcPr>
            <w:tcW w:type="dxa" w:w="317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فئة النظام</w:t>
            </w:r>
          </w:p>
        </w:tc>
        <w:tc>
          <w:tcPr>
            <w:tcW w:type="dxa" w:w="20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دورية النسخ الكامل</w:t>
            </w:r>
          </w:p>
        </w:tc>
        <w:tc>
          <w:tcPr>
            <w:tcW w:type="dxa" w:w="20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دورية النسخ التزايدي</w:t>
            </w:r>
          </w:p>
        </w:tc>
        <w:tc>
          <w:tcPr>
            <w:tcW w:type="dxa" w:w="206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مدة الاحتفاظ</w:t>
            </w:r>
          </w:p>
        </w:tc>
      </w:tr>
      <w:tr>
        <w:trPr>
          <w:tblHeader w:val="false"/>
        </w:trPr>
        <w:tc>
          <w:tcPr>
            <w:tcW w:type="dxa" w:w="31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الفئة الأولى — الأنظمة الحساسة (٦ أنظمة)</w:t>
            </w:r>
          </w:p>
        </w:tc>
        <w:tc>
          <w:tcPr>
            <w:tcW w:type="dxa" w:w="2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أسبوعي</w:t>
            </w:r>
          </w:p>
        </w:tc>
        <w:tc>
          <w:tcPr>
            <w:tcW w:type="dxa" w:w="2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 ١٥ دقيقة</w:t>
            </w:r>
          </w:p>
        </w:tc>
        <w:tc>
          <w:tcPr>
            <w:tcW w:type="dxa" w:w="20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 شهراً</w:t>
            </w:r>
          </w:p>
        </w:tc>
      </w:tr>
      <w:tr>
        <w:trPr>
          <w:tblHeader w:val="false"/>
        </w:trPr>
        <w:tc>
          <w:tcPr>
            <w:tcW w:type="dxa" w:w="31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الفئة الثانية — الأنظمة المهمة (٩ أنظمة)</w:t>
            </w:r>
          </w:p>
        </w:tc>
        <w:tc>
          <w:tcPr>
            <w:tcW w:type="dxa" w:w="20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أسبوعي</w:t>
            </w:r>
          </w:p>
        </w:tc>
        <w:tc>
          <w:tcPr>
            <w:tcW w:type="dxa" w:w="20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كل ساعة</w:t>
            </w:r>
          </w:p>
        </w:tc>
        <w:tc>
          <w:tcPr>
            <w:tcW w:type="dxa" w:w="20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 أشهر</w:t>
            </w:r>
          </w:p>
        </w:tc>
      </w:tr>
      <w:tr>
        <w:trPr>
          <w:tblHeader w:val="false"/>
        </w:trPr>
        <w:tc>
          <w:tcPr>
            <w:tcW w:type="dxa" w:w="31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الفئة الثالثة — الأنظمة الأخرى (٨ أنظمة)</w:t>
            </w:r>
          </w:p>
        </w:tc>
        <w:tc>
          <w:tcPr>
            <w:tcW w:type="dxa" w:w="2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أسبوعي</w:t>
            </w:r>
          </w:p>
        </w:tc>
        <w:tc>
          <w:tcPr>
            <w:tcW w:type="dxa" w:w="2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يومي</w:t>
            </w:r>
          </w:p>
        </w:tc>
        <w:tc>
          <w:tcPr>
            <w:tcW w:type="dxa" w:w="20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 أشهر</w:t>
            </w:r>
          </w:p>
        </w:tc>
      </w:tr>
      <w:tr>
        <w:trPr>
          <w:tblHeader w:val="false"/>
        </w:trPr>
        <w:tc>
          <w:tcPr>
            <w:tcW w:type="dxa" w:w="317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البنية والشبكة</w:t>
            </w:r>
          </w:p>
        </w:tc>
        <w:tc>
          <w:tcPr>
            <w:tcW w:type="dxa" w:w="20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يومي</w:t>
            </w:r>
          </w:p>
        </w:tc>
        <w:tc>
          <w:tcPr>
            <w:tcW w:type="dxa" w:w="20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 كل تغيير</w:t>
            </w:r>
          </w:p>
        </w:tc>
        <w:tc>
          <w:tcPr>
            <w:tcW w:type="dxa" w:w="20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 شهراً</w:t>
            </w:r>
          </w:p>
        </w:tc>
      </w:tr>
      <w:tr>
        <w:trPr>
          <w:tblHeader w:val="false"/>
        </w:trPr>
        <w:tc>
          <w:tcPr>
            <w:tcW w:type="dxa" w:w="317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مستودعات الكود</w:t>
            </w:r>
          </w:p>
        </w:tc>
        <w:tc>
          <w:tcPr>
            <w:tcW w:type="dxa" w:w="2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يومي</w:t>
            </w:r>
          </w:p>
        </w:tc>
        <w:tc>
          <w:tcPr>
            <w:tcW w:type="dxa" w:w="2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20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 شهراً</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العزل والحماية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تُخزَّن النسخ في نطاق شبكي معزول لا يُوصل إليه من شبكات الإنتاج أو المستخدمين.</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الحسابات التي تكتب النسخ لا تملك صلاحية حذفها أو تعديلها.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تُفعَّل خاصية منع التعديل والحذف على التخزين طوال مدة الاحتفاظ.</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تُشفَّر النسخ أثناء النقل وأثناء التخزين، وتُحفظ مفاتيحها في خزنة منفصلة عن النسخ.</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المصادقة متعددة العناصر إلزامية للوصول إلى منصة النسخ الاحتياطية.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يُولَّد تنبيه فوري عند أي محاولة حذف أو تعديل نسخة أو تغيير سياسة الاحتفاظ.</w:t>
      </w:r>
    </w:p>
    <w:p>
      <w:pPr>
        <w:pStyle w:val="Heading2"/>
        <w:bidi/>
        <w:spacing w:after="120" w:before="280" w:line="300"/>
        <w:jc w:val="start"/>
      </w:pPr>
      <w:r>
        <w:rPr>
          <w:rFonts w:ascii="Arial" w:cs="Arial" w:eastAsia="Arial" w:hAnsi="Arial"/>
          <w:b/>
          <w:bCs/>
          <w:color w:val="15325C"/>
          <w:sz w:val="27"/>
          <w:szCs w:val="27"/>
          <w:rtl/>
        </w:rPr>
        <w:t xml:space="preserve">المراقبة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126"/>
        <w:gridCol w:w="2616"/>
        <w:gridCol w:w="2618"/>
      </w:tblGrid>
      <w:tr>
        <w:trPr>
          <w:tblHeader/>
        </w:trPr>
        <w:tc>
          <w:tcPr>
            <w:tcW w:type="dxa" w:w="412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c>
          <w:tcPr>
            <w:tcW w:type="dxa" w:w="261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261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r>
      <w:tr>
        <w:trPr>
          <w:tblHeader w:val="false"/>
        </w:trPr>
        <w:tc>
          <w:tcPr>
            <w:tcW w:type="dxa" w:w="41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نجاح عمليات النسخ</w:t>
            </w:r>
          </w:p>
        </w:tc>
        <w:tc>
          <w:tcPr>
            <w:tcW w:type="dxa" w:w="26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يومي آلي</w:t>
            </w:r>
          </w:p>
        </w:tc>
        <w:tc>
          <w:tcPr>
            <w:tcW w:type="dxa" w:w="26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41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حالة النسخ لجميع الأصول</w:t>
            </w:r>
          </w:p>
        </w:tc>
        <w:tc>
          <w:tcPr>
            <w:tcW w:type="dxa" w:w="26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أسبوعي</w:t>
            </w:r>
          </w:p>
        </w:tc>
        <w:tc>
          <w:tcPr>
            <w:tcW w:type="dxa" w:w="26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41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سلامة النسخ</w:t>
            </w:r>
          </w:p>
        </w:tc>
        <w:tc>
          <w:tcPr>
            <w:tcW w:type="dxa" w:w="26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شهري</w:t>
            </w:r>
          </w:p>
        </w:tc>
        <w:tc>
          <w:tcPr>
            <w:tcW w:type="dxa" w:w="261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41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مراجعة اكتمال نطاق النسخ مقابل سجل الأصول</w:t>
            </w:r>
          </w:p>
        </w:tc>
        <w:tc>
          <w:tcPr>
            <w:tcW w:type="dxa" w:w="26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61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فشل عملية نسخ لأصل من الفئة الأولى يُعامَل حدثاً يستوجب معالجة خلال أربع ساعات.</w:t>
      </w:r>
    </w:p>
    <w:p>
      <w:pPr>
        <w:pStyle w:val="Heading2"/>
        <w:bidi/>
        <w:spacing w:after="120" w:before="280" w:line="300"/>
        <w:jc w:val="start"/>
      </w:pPr>
      <w:r>
        <w:rPr>
          <w:rFonts w:ascii="Arial" w:cs="Arial" w:eastAsia="Arial" w:hAnsi="Arial"/>
          <w:b/>
          <w:bCs/>
          <w:color w:val="15325C"/>
          <w:sz w:val="27"/>
          <w:szCs w:val="27"/>
          <w:rtl/>
        </w:rPr>
        <w:t xml:space="preserve">اختبار الاستعادة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196"/>
        <w:gridCol w:w="1978"/>
        <w:gridCol w:w="2206"/>
        <w:gridCol w:w="1980"/>
      </w:tblGrid>
      <w:tr>
        <w:trPr>
          <w:tblHeader/>
        </w:trPr>
        <w:tc>
          <w:tcPr>
            <w:tcW w:type="dxa" w:w="319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نوع الاختبار</w:t>
            </w:r>
          </w:p>
        </w:tc>
        <w:tc>
          <w:tcPr>
            <w:tcW w:type="dxa" w:w="197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220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النطاق</w:t>
            </w:r>
          </w:p>
        </w:tc>
        <w:tc>
          <w:tcPr>
            <w:tcW w:type="dxa" w:w="19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المخرج</w:t>
            </w:r>
          </w:p>
        </w:tc>
      </w:tr>
      <w:tr>
        <w:trPr>
          <w:tblHeader w:val="false"/>
        </w:trPr>
        <w:tc>
          <w:tcPr>
            <w:tcW w:type="dxa" w:w="31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استعادة عينة ملفات</w:t>
            </w:r>
          </w:p>
        </w:tc>
        <w:tc>
          <w:tcPr>
            <w:tcW w:type="dxa" w:w="19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شهري</w:t>
            </w:r>
          </w:p>
        </w:tc>
        <w:tc>
          <w:tcPr>
            <w:tcW w:type="dxa" w:w="220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عينة عشوائية</w:t>
            </w:r>
          </w:p>
        </w:tc>
        <w:tc>
          <w:tcPr>
            <w:tcW w:type="dxa" w:w="19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مختصر</w:t>
            </w:r>
          </w:p>
        </w:tc>
      </w:tr>
      <w:tr>
        <w:trPr>
          <w:tblHeader w:val="false"/>
        </w:trPr>
        <w:tc>
          <w:tcPr>
            <w:tcW w:type="dxa" w:w="319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استعادة قاعدة بيانات كاملة إلى بيئة معزولة</w:t>
            </w:r>
          </w:p>
        </w:tc>
        <w:tc>
          <w:tcPr>
            <w:tcW w:type="dxa" w:w="19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220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 من الفئة الأولى بالتناوب</w:t>
            </w:r>
          </w:p>
        </w:tc>
        <w:tc>
          <w:tcPr>
            <w:tcW w:type="dxa" w:w="19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مفصّل</w:t>
            </w:r>
          </w:p>
        </w:tc>
      </w:tr>
      <w:tr>
        <w:trPr>
          <w:tblHeader w:val="false"/>
        </w:trPr>
        <w:tc>
          <w:tcPr>
            <w:tcW w:type="dxa" w:w="31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استعادة شاملة لنظام بكامل مكوّناته</w:t>
            </w:r>
          </w:p>
        </w:tc>
        <w:tc>
          <w:tcPr>
            <w:tcW w:type="dxa" w:w="197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220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 يُختار بالتناوب</w:t>
            </w:r>
          </w:p>
        </w:tc>
        <w:tc>
          <w:tcPr>
            <w:tcW w:type="dxa" w:w="19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مفصّل</w:t>
            </w:r>
          </w:p>
        </w:tc>
      </w:tr>
      <w:tr>
        <w:trPr>
          <w:tblHeader w:val="false"/>
        </w:trPr>
        <w:tc>
          <w:tcPr>
            <w:tcW w:type="dxa" w:w="319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تحويل الخدمة الفعلي لموقع التعافي</w:t>
            </w:r>
          </w:p>
        </w:tc>
        <w:tc>
          <w:tcPr>
            <w:tcW w:type="dxa" w:w="197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220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خطة التعافي CS-PRO-005</w:t>
            </w:r>
          </w:p>
        </w:tc>
        <w:tc>
          <w:tcPr>
            <w:tcW w:type="dxa" w:w="19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تقرير تحويل</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متطلب إلزامي:</w:t>
      </w:r>
      <w:r>
        <w:rPr>
          <w:rFonts w:ascii="Arial" w:cs="Arial" w:eastAsia="Arial" w:hAnsi="Arial"/>
          <w:b w:val="false"/>
          <w:bCs w:val="false"/>
          <w:color w:val="16202A"/>
          <w:sz w:val="21"/>
          <w:szCs w:val="21"/>
          <w:rtl/>
        </w:rPr>
        <w:t xml:space="preserve"> يوثّق كل تقرير اختبار </w:t>
      </w:r>
      <w:r>
        <w:rPr>
          <w:rFonts w:ascii="Arial" w:cs="Arial" w:eastAsia="Arial" w:hAnsi="Arial"/>
          <w:b/>
          <w:bCs/>
          <w:color w:val="15325C"/>
          <w:sz w:val="21"/>
          <w:szCs w:val="21"/>
          <w:rtl/>
        </w:rPr>
        <w:t xml:space="preserve">المدة المتوقعة للاستعادة والمدة الفعلية والفرق بينهما</w:t>
      </w:r>
      <w:r>
        <w:rPr>
          <w:rFonts w:ascii="Arial" w:cs="Arial" w:eastAsia="Arial" w:hAnsi="Arial"/>
          <w:b w:val="false"/>
          <w:bCs w:val="false"/>
          <w:color w:val="16202A"/>
          <w:sz w:val="21"/>
          <w:szCs w:val="21"/>
          <w:rtl/>
        </w:rPr>
        <w:t xml:space="preserve">، ويُعدّ الفارق المتكرر مؤشراً على عدم واقعية أهداف زمن التعافي المعتمدة، ويستوجب مراجعتها.</w:t>
      </w:r>
    </w:p>
    <w:p>
      <w:pPr>
        <w:pStyle w:val="Heading2"/>
        <w:bidi/>
        <w:spacing w:after="120" w:before="280" w:line="300"/>
        <w:jc w:val="start"/>
      </w:pPr>
      <w:r>
        <w:rPr>
          <w:rFonts w:ascii="Arial" w:cs="Arial" w:eastAsia="Arial" w:hAnsi="Arial"/>
          <w:b/>
          <w:bCs/>
          <w:color w:val="15325C"/>
          <w:sz w:val="27"/>
          <w:szCs w:val="27"/>
          <w:rtl/>
        </w:rPr>
        <w:t xml:space="preserve">أدلة الالتزام المطلوبة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714"/>
        <w:gridCol w:w="2646"/>
      </w:tblGrid>
      <w:tr>
        <w:trPr>
          <w:tblHeader/>
        </w:trPr>
        <w:tc>
          <w:tcPr>
            <w:tcW w:type="dxa" w:w="671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الدليل</w:t>
            </w:r>
          </w:p>
        </w:tc>
        <w:tc>
          <w:tcPr>
            <w:tcW w:type="dxa" w:w="264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r>
      <w:tr>
        <w:trPr>
          <w:tblHeader w:val="false"/>
        </w:trPr>
        <w:tc>
          <w:tcPr>
            <w:tcW w:type="dxa" w:w="6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هذا المعيار معتمداً من صاحب الصلاحية</w:t>
            </w:r>
          </w:p>
        </w:tc>
        <w:tc>
          <w:tcPr>
            <w:tcW w:type="dxa" w:w="26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w:t>
            </w:r>
          </w:p>
        </w:tc>
      </w:tr>
      <w:tr>
        <w:trPr>
          <w:tblHeader w:val="false"/>
        </w:trPr>
        <w:tc>
          <w:tcPr>
            <w:tcW w:type="dxa" w:w="67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من منصة النسخ يوضح أحدث النسخ وجدولها ونطاقها</w:t>
            </w:r>
          </w:p>
        </w:tc>
        <w:tc>
          <w:tcPr>
            <w:tcW w:type="dxa" w:w="26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دليل تفعيل منع التعديل والحذف على التخزين</w:t>
            </w:r>
          </w:p>
        </w:tc>
        <w:tc>
          <w:tcPr>
            <w:tcW w:type="dxa" w:w="26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7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تقارير النسخ الأسبوعية</w:t>
            </w:r>
          </w:p>
        </w:tc>
        <w:tc>
          <w:tcPr>
            <w:tcW w:type="dxa" w:w="26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r>
        <w:trPr>
          <w:tblHeader w:val="false"/>
        </w:trPr>
        <w:tc>
          <w:tcPr>
            <w:tcW w:type="dxa" w:w="67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تقارير اختبارات الاستعادة موضحةً الفرق بين المدة المتوقعة والفعلية</w:t>
            </w:r>
          </w:p>
        </w:tc>
        <w:tc>
          <w:tcPr>
            <w:tcW w:type="dxa" w:w="26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وعند إضافة أنظمة جديدة إلى بيئة الإنتاج، وعقب أي اختبار استعادة يُظهر انحرافاً جوهرياً.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80"/>
        <w:gridCol w:w="3120"/>
        <w:gridCol w:w="2080"/>
        <w:gridCol w:w="2080"/>
      </w:tblGrid>
      <w:tr>
        <w:trPr>
          <w:tblHeader/>
        </w:trPr>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 والبنية التحتية</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CS-STD-006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CS-STD-006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2026-10-04T11:47:59.928Z</dcterms:created>
  <dcterms:modified xsi:type="dcterms:W3CDTF">2026-10-04T11:47:59.928Z</dcterms:modified>
</cp:coreProperties>
</file>

<file path=docProps/custom.xml><?xml version="1.0" encoding="utf-8"?>
<Properties xmlns="http://schemas.openxmlformats.org/officeDocument/2006/custom-properties" xmlns:vt="http://schemas.openxmlformats.org/officeDocument/2006/docPropsVTypes"/>
</file>