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الصمود السيبراني ضمن إدارة استمرارية الأعمال</w:t>
            </w:r>
          </w:p>
          <w:p>
            <w:pPr>
              <w:bidi/>
              <w:spacing w:after="260" w:before="0" w:line="300"/>
              <w:jc w:val="start"/>
            </w:pPr>
            <w:r>
              <w:rPr>
                <w:rFonts w:ascii="Arial" w:cs="Arial" w:eastAsia="Arial" w:hAnsi="Arial"/>
                <w:b w:val="false"/>
                <w:bCs w:val="false"/>
                <w:color w:val="AFC4D4"/>
                <w:sz w:val="22"/>
                <w:szCs w:val="22"/>
                <w:rtl/>
              </w:rPr>
              <w:t xml:space="preserve">تحليل الأثر · خطط التعافي · الاختبار · التزامات الجهات العميلة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CS-POL-008</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3-1-1</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الصمود السيبراني ضمن إدارة استمرارية الأعمال</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السياسة متطلبات الأمن السيبراني ضمن إدارة استمرارية الأعمال في شركة نَسَق للحلول الرقمية، بما يضمن استمرار تقديم الخدمات للجهات العميلة عند وقوع حادثة سيبرانية أو عطل جسيم، ويُعدّ مخرَجاً من حزمة العمل WP-13.</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الأنظمة الثلاثة والعشرون المستضافة للجهات العميلة، والبنية التحتية الداعمة لها، وأنظمة الشركة الإدارية، وموقعا مركز البيانات والتعافي.</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348"/>
        <w:gridCol w:w="4012"/>
      </w:tblGrid>
      <w:tr>
        <w:trPr>
          <w:tblHeader/>
        </w:trPr>
        <w:tc>
          <w:tcPr>
            <w:tcW w:type="dxa" w:w="534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01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3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٣-١</w:t>
            </w:r>
          </w:p>
        </w:tc>
        <w:tc>
          <w:tcPr>
            <w:tcW w:type="dxa" w:w="40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السياسة</w:t>
            </w:r>
          </w:p>
        </w:tc>
      </w:tr>
      <w:tr>
        <w:trPr>
          <w:tblHeader w:val="false"/>
        </w:trPr>
        <w:tc>
          <w:tcPr>
            <w:tcW w:type="dxa" w:w="53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التعافي من الكوارث واستمرارية الأعمال CS-PRO-005</w:t>
            </w:r>
          </w:p>
        </w:tc>
        <w:tc>
          <w:tcPr>
            <w:tcW w:type="dxa" w:w="40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الخطة التنفيذية المنبثقة عن هذه السياسة</w:t>
            </w:r>
          </w:p>
        </w:tc>
      </w:tr>
      <w:tr>
        <w:trPr>
          <w:tblHeader w:val="false"/>
        </w:trPr>
        <w:tc>
          <w:tcPr>
            <w:tcW w:type="dxa" w:w="53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النسخ الاحتياطية والاستعادة CS-STD-006</w:t>
            </w:r>
          </w:p>
        </w:tc>
        <w:tc>
          <w:tcPr>
            <w:tcW w:type="dxa" w:w="40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مصدر البيانات المستخدم في التعافي</w:t>
            </w:r>
          </w:p>
        </w:tc>
      </w:tr>
      <w:tr>
        <w:trPr>
          <w:tblHeader w:val="false"/>
        </w:trPr>
        <w:tc>
          <w:tcPr>
            <w:tcW w:type="dxa" w:w="53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الاستجابة لحوادث الأمن السيبراني CS-PRO-002</w:t>
            </w:r>
          </w:p>
        </w:tc>
        <w:tc>
          <w:tcPr>
            <w:tcW w:type="dxa" w:w="40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التعامل مع الحادثة المسببة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المبادئ</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المبدأ</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المعنى</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الصمود جزء من الاستمرارية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يُدار التعافي من الحوادث السيبرانية بمعزل عن إدارة استمرارية الأعمال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القدرة تُثبَت لا تُفترض</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هدف التعافي غير المختبَر لا يُعدّ التزاماً</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التعافي الآمن</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تُستعاد الخدمة إلا من مصدر مؤكد السلامة ولو تأخر ذلك</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أولوية الجهات العميلة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تُستعاد الأنظمة المستضافة قبل أنظمة الشركة الإدارية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المتطلبات</w:t>
      </w:r>
    </w:p>
    <w:p>
      <w:pPr>
        <w:pStyle w:val="Heading3"/>
        <w:bidi/>
        <w:spacing w:after="90" w:before="200" w:line="300"/>
        <w:jc w:val="start"/>
      </w:pPr>
      <w:r>
        <w:rPr>
          <w:rFonts w:ascii="Arial" w:cs="Arial" w:eastAsia="Arial" w:hAnsi="Arial"/>
          <w:b/>
          <w:bCs/>
          <w:color w:val="0C1F3D"/>
          <w:sz w:val="23"/>
          <w:szCs w:val="23"/>
          <w:rtl/>
        </w:rPr>
        <w:t xml:space="preserve">أولاً: تحليل الأثر على الأعمال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يُجرى تحليل أثر على الأعمال لجميع الأنظمة ويُحدَّث سنوياً وعند إضافة نظام جديد.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يُحدَّد لكل نظام زمن تعافٍ مستهدف ونقطة تعافٍ مستهدفة معتمدان.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تُصنَّف الأنظمة بحسب أثر انقطاعها على المستفيدين والجهات العميلة.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يدخل نظام بيئة الإنتاج قبل تحديد أهداف تعافيه.</w:t>
      </w:r>
    </w:p>
    <w:p>
      <w:pPr>
        <w:pStyle w:val="Heading3"/>
        <w:bidi/>
        <w:spacing w:after="90" w:before="200" w:line="300"/>
        <w:jc w:val="start"/>
      </w:pPr>
      <w:r>
        <w:rPr>
          <w:rFonts w:ascii="Arial" w:cs="Arial" w:eastAsia="Arial" w:hAnsi="Arial"/>
          <w:b/>
          <w:bCs/>
          <w:color w:val="0C1F3D"/>
          <w:sz w:val="23"/>
          <w:szCs w:val="23"/>
          <w:rtl/>
        </w:rPr>
        <w:t xml:space="preserve">ثانياً: خطط الاستمرارية والتعافي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تُعتمد خطة تعافٍ موثقة تغطي سيناريوهات: العطل الجزئي · فقدان مركز البيانات · هجوم الفدية · الإخلال بسلامة البيانات · فقدان مزوّد.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تتضمن كل خطة أدواراً محددة بالاسم وخطوات تنفيذية بمدد مستهدفة.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تُحدَّث قوائم الاتصال ومسارات التصعيد ربع سنوياً.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تُتاح الخطط في صيغة يمكن الوصول إليها حتى عند تعطل الأنظمة الداخلية.</w:t>
      </w:r>
    </w:p>
    <w:p>
      <w:pPr>
        <w:pStyle w:val="Heading3"/>
        <w:bidi/>
        <w:spacing w:after="90" w:before="200" w:line="300"/>
        <w:jc w:val="start"/>
      </w:pPr>
      <w:r>
        <w:rPr>
          <w:rFonts w:ascii="Arial" w:cs="Arial" w:eastAsia="Arial" w:hAnsi="Arial"/>
          <w:b/>
          <w:bCs/>
          <w:color w:val="0C1F3D"/>
          <w:sz w:val="23"/>
          <w:szCs w:val="23"/>
          <w:rtl/>
        </w:rPr>
        <w:t xml:space="preserve">ثالثاً: معالجة آثار الحوادث السيبرانية على الاستمرارية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تُقدَّر آثار كل حادثة على استمرارية الخدمة ضمن تقرير الحادثة.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تُفعَّل خطة التعافي عند تجاوز الأثر حدوداً معتمدة دون انتظار انتهاء التحقيق.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يُشترط التحقق من نظافة البيئة قبل الاستعادة في حوادث الاختراق، ولا تُستعاد الخدمة فوق بيئة مشتبه بها.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تُدوَّر جميع بيانات الاعتماد بافتراض كشفها عند التعافي من اختراق.</w:t>
      </w:r>
    </w:p>
    <w:p>
      <w:pPr>
        <w:pStyle w:val="Heading3"/>
        <w:bidi/>
        <w:spacing w:after="90" w:before="200" w:line="300"/>
        <w:jc w:val="start"/>
      </w:pPr>
      <w:r>
        <w:rPr>
          <w:rFonts w:ascii="Arial" w:cs="Arial" w:eastAsia="Arial" w:hAnsi="Arial"/>
          <w:b/>
          <w:bCs/>
          <w:color w:val="0C1F3D"/>
          <w:sz w:val="23"/>
          <w:szCs w:val="23"/>
          <w:rtl/>
        </w:rPr>
        <w:t xml:space="preserve">رابعاً: الاختبار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يُنفَّذ اختبار تحويل فعلي لموقع التعافي مرتين سنوياً على الأقل.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يُنفَّذ تمرين محاكاة لحادثة سيبرانية مرتين سنوياً.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تُقارن نتائج كل اختبار بأهداف التعافي المعتمدة، ويُوثَّق الفارق ويُعالَج.</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تُحدَّث الخطة عقب كل اختبار بناءً على الدروس المستفادة.</w:t>
      </w:r>
    </w:p>
    <w:p>
      <w:pPr>
        <w:pStyle w:val="Heading3"/>
        <w:bidi/>
        <w:spacing w:after="90" w:before="200" w:line="300"/>
        <w:jc w:val="start"/>
      </w:pPr>
      <w:r>
        <w:rPr>
          <w:rFonts w:ascii="Arial" w:cs="Arial" w:eastAsia="Arial" w:hAnsi="Arial"/>
          <w:b/>
          <w:bCs/>
          <w:color w:val="0C1F3D"/>
          <w:sz w:val="23"/>
          <w:szCs w:val="23"/>
          <w:rtl/>
        </w:rPr>
        <w:t xml:space="preserve">خامساً: الالتزامات تجاه الجهات العميلة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يُعلَن تحقق أي هدف تعافٍ في تقرير لجهة عميلة قبل إثباته باختبار ناجح.</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تُشعَر الجهات العميلة عند تفعيل خطة التعافي لنظام يخصها خلال المهلة التعاقدية.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تُراجَع مستويات الخدمة المتعاقد عليها سنوياً مقابل القدرة الفعلية المثبتة.</w:t>
      </w:r>
    </w:p>
    <w:p>
      <w:pPr>
        <w:pStyle w:val="Heading2"/>
        <w:bidi/>
        <w:spacing w:after="120" w:before="280" w:line="300"/>
        <w:jc w:val="start"/>
      </w:pPr>
      <w:r>
        <w:rPr>
          <w:rFonts w:ascii="Arial" w:cs="Arial" w:eastAsia="Arial" w:hAnsi="Arial"/>
          <w:b/>
          <w:bCs/>
          <w:color w:val="15325C"/>
          <w:sz w:val="27"/>
          <w:szCs w:val="27"/>
          <w:rtl/>
        </w:rPr>
        <w:t xml:space="preserve">الأدوار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80"/>
        <w:gridCol w:w="6280"/>
      </w:tblGrid>
      <w:tr>
        <w:trPr>
          <w:tblHeader/>
        </w:trPr>
        <w:tc>
          <w:tcPr>
            <w:tcW w:type="dxa" w:w="3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62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المسؤولية</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حالة التعافي واعتماد قرار التحويل</w:t>
            </w:r>
          </w:p>
        </w:tc>
      </w:tr>
      <w:tr>
        <w:trPr>
          <w:tblHeader w:val="false"/>
        </w:trPr>
        <w:tc>
          <w:tcPr>
            <w:tcW w:type="dxa" w:w="3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62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الوضع والتوصية بالتحويل والتحقق من سلامة البيئة</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التحويل والاستعادة</w:t>
            </w:r>
          </w:p>
        </w:tc>
      </w:tr>
      <w:tr>
        <w:trPr>
          <w:tblHeader w:val="false"/>
        </w:trPr>
        <w:tc>
          <w:tcPr>
            <w:tcW w:type="dxa" w:w="3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الهندسة والتطوير</w:t>
            </w:r>
          </w:p>
        </w:tc>
        <w:tc>
          <w:tcPr>
            <w:tcW w:type="dxa" w:w="62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عمل التطبيقات بعد التعافي</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مالكو الأنظمة</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تحديد أهداف التعافي والمشاركة في تحليل الأثر</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السياسة سنوياً على الأقل، وعقب كل اختبار تحويل، وعقب أي حادثة أثّرت على الاستمرارية.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CS-POL-008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2026-10-04T11:48:01.393Z</dcterms:created>
  <dcterms:modified xsi:type="dcterms:W3CDTF">2026-10-04T11:48:01.393Z</dcterms:modified>
</cp:coreProperties>
</file>

<file path=docProps/custom.xml><?xml version="1.0" encoding="utf-8"?>
<Properties xmlns="http://schemas.openxmlformats.org/officeDocument/2006/custom-properties" xmlns:vt="http://schemas.openxmlformats.org/officeDocument/2006/docPropsVTypes"/>
</file>