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خطة معتمدة</w:t>
            </w:r>
          </w:p>
          <w:p>
            <w:pPr>
              <w:bidi/>
              <w:spacing w:after="120" w:before="0" w:line="420"/>
              <w:jc w:val="start"/>
            </w:pPr>
            <w:r>
              <w:rPr>
                <w:rFonts w:ascii="Arial" w:cs="Arial" w:eastAsia="Arial" w:hAnsi="Arial"/>
                <w:b/>
                <w:bCs/>
                <w:color w:val="FFFFFF"/>
                <w:sz w:val="52"/>
                <w:szCs w:val="52"/>
                <w:rtl/>
              </w:rPr>
              <w:t xml:space="preserve">خطة التعافي من الكوارث واستمرارية الأعمال</w:t>
            </w:r>
          </w:p>
          <w:p>
            <w:pPr>
              <w:bidi/>
              <w:spacing w:after="260" w:before="0" w:line="300"/>
              <w:jc w:val="start"/>
            </w:pPr>
            <w:r>
              <w:rPr>
                <w:rFonts w:ascii="Arial" w:cs="Arial" w:eastAsia="Arial" w:hAnsi="Arial"/>
                <w:b w:val="false"/>
                <w:bCs w:val="false"/>
                <w:color w:val="AFC4D4"/>
                <w:sz w:val="22"/>
                <w:szCs w:val="22"/>
                <w:rtl/>
              </w:rPr>
              <w:t xml:space="preserve">تحليل الأثر على الأعمال · أهداف التعافي · سيناريوهات التحويل</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CS-PRO-005</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3-1-2 · 3-1-3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خطة التعافي من الكوارث واستمرارية الأعمال</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الخطة قدرة شركة نَسَق للحلول الرقمية على مواصلة تقديم خدماتها للجهات العميلة عند وقوع حادثة سيبرانية أو عطل جسيم، وتوثّق تحليل الأثر على الأعمال وأهداف التعافي وإجراءات تحويل الخدمة إلى موقع التعافي، ويُعدّ مخرَجاً من حزمة العمل WP-04.</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431"/>
        <w:gridCol w:w="3929"/>
      </w:tblGrid>
      <w:tr>
        <w:trPr>
          <w:tblHeader/>
        </w:trPr>
        <w:tc>
          <w:tcPr>
            <w:tcW w:type="dxa" w:w="54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9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4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٣-١</w:t>
            </w:r>
          </w:p>
        </w:tc>
        <w:tc>
          <w:tcPr>
            <w:tcW w:type="dxa" w:w="39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الخطة</w:t>
            </w:r>
          </w:p>
        </w:tc>
      </w:tr>
      <w:tr>
        <w:trPr>
          <w:tblHeader w:val="false"/>
        </w:trPr>
        <w:tc>
          <w:tcPr>
            <w:tcW w:type="dxa" w:w="54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النسخ الاحتياطية والاستعادة CS-STD-006</w:t>
            </w:r>
          </w:p>
        </w:tc>
        <w:tc>
          <w:tcPr>
            <w:tcW w:type="dxa" w:w="39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مصدر البيانات المستخدمة في التعافي</w:t>
            </w:r>
          </w:p>
        </w:tc>
      </w:tr>
      <w:tr>
        <w:trPr>
          <w:tblHeader w:val="false"/>
        </w:trPr>
        <w:tc>
          <w:tcPr>
            <w:tcW w:type="dxa" w:w="54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الاستجابة لحوادث الأمن السيبراني CS-PRO-002</w:t>
            </w:r>
          </w:p>
        </w:tc>
        <w:tc>
          <w:tcPr>
            <w:tcW w:type="dxa" w:w="39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التعامل مع الحادثة المسببة</w:t>
            </w:r>
          </w:p>
        </w:tc>
      </w:tr>
      <w:tr>
        <w:trPr>
          <w:tblHeader w:val="false"/>
        </w:trPr>
        <w:tc>
          <w:tcPr>
            <w:tcW w:type="dxa" w:w="54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مخاطر الأمن السيبراني CS-REG-001</w:t>
            </w:r>
          </w:p>
        </w:tc>
        <w:tc>
          <w:tcPr>
            <w:tcW w:type="dxa" w:w="39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المخاطرتان R-04 و R-12</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تشمل هذه الخطة الأنظمة الثلاثة والعشرين المستضافة للجهات العميلة، والبنية التحتية الداعمة لها، والأنظمة الإدارية للشركة، وموقع التعافي بجدة.</w:t>
      </w:r>
    </w:p>
    <w:p>
      <w:pPr>
        <w:pStyle w:val="Heading2"/>
        <w:bidi/>
        <w:spacing w:after="120" w:before="280" w:line="300"/>
        <w:jc w:val="start"/>
      </w:pPr>
      <w:r>
        <w:rPr>
          <w:rFonts w:ascii="Arial" w:cs="Arial" w:eastAsia="Arial" w:hAnsi="Arial"/>
          <w:b/>
          <w:bCs/>
          <w:color w:val="15325C"/>
          <w:sz w:val="27"/>
          <w:szCs w:val="27"/>
          <w:rtl/>
        </w:rPr>
        <w:t xml:space="preserve">تحليل الأثر على الأعمال</w:t>
      </w:r>
    </w:p>
    <w:p>
      <w:pPr>
        <w:bidi/>
        <w:spacing w:after="140" w:before="0" w:line="300"/>
        <w:jc w:val="start"/>
      </w:pPr>
      <w:r>
        <w:rPr>
          <w:rFonts w:ascii="Arial" w:cs="Arial" w:eastAsia="Arial" w:hAnsi="Arial"/>
          <w:b w:val="false"/>
          <w:bCs w:val="false"/>
          <w:color w:val="16202A"/>
          <w:sz w:val="21"/>
          <w:szCs w:val="21"/>
          <w:rtl/>
        </w:rPr>
        <w:t xml:space="preserve">صُنّفت الأنظمة بحسب أثر انقطاعها على الجهات العميلة والمستفيدين.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423"/>
        <w:gridCol w:w="3667"/>
        <w:gridCol w:w="1423"/>
        <w:gridCol w:w="1423"/>
        <w:gridCol w:w="1424"/>
      </w:tblGrid>
      <w:tr>
        <w:trPr>
          <w:tblHeader/>
        </w:trPr>
        <w:tc>
          <w:tcPr>
            <w:tcW w:type="dxa" w:w="14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الفئة</w:t>
            </w:r>
          </w:p>
        </w:tc>
        <w:tc>
          <w:tcPr>
            <w:tcW w:type="dxa" w:w="366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المعيار</w:t>
            </w:r>
          </w:p>
        </w:tc>
        <w:tc>
          <w:tcPr>
            <w:tcW w:type="dxa" w:w="14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عدد الأنظمة</w:t>
            </w:r>
          </w:p>
        </w:tc>
        <w:tc>
          <w:tcPr>
            <w:tcW w:type="dxa" w:w="14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زمن التعافي المستهدف</w:t>
            </w:r>
          </w:p>
        </w:tc>
        <w:tc>
          <w:tcPr>
            <w:tcW w:type="dxa" w:w="14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نقطة التعافي المستهدفة</w:t>
            </w:r>
          </w:p>
        </w:tc>
      </w:tr>
      <w:tr>
        <w:trPr>
          <w:tblHeader w:val="false"/>
        </w:trPr>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الأولى</w:t>
            </w:r>
          </w:p>
        </w:tc>
        <w:tc>
          <w:tcPr>
            <w:tcW w:type="dxa" w:w="36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مصنّف حساساً · انقطاعه يوقف خدمة حكومية مباشرة للمستفيدين</w:t>
            </w:r>
          </w:p>
        </w:tc>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ساعات</w:t>
            </w:r>
          </w:p>
        </w:tc>
        <w:tc>
          <w:tcPr>
            <w:tcW w:type="dxa" w:w="14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 دقيقة</w:t>
            </w:r>
          </w:p>
        </w:tc>
      </w:tr>
      <w:tr>
        <w:trPr>
          <w:tblHeader w:val="false"/>
        </w:trPr>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الثانية</w:t>
            </w:r>
          </w:p>
        </w:tc>
        <w:tc>
          <w:tcPr>
            <w:tcW w:type="dxa" w:w="36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انقطاعه يعطّل عمليات داخلية لجهة عميلة دون أثر مباشر على المستفيدين</w:t>
            </w:r>
          </w:p>
        </w:tc>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 ساعة</w:t>
            </w:r>
          </w:p>
        </w:tc>
        <w:tc>
          <w:tcPr>
            <w:tcW w:type="dxa" w:w="14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ساعة واحدة</w:t>
            </w:r>
          </w:p>
        </w:tc>
      </w:tr>
      <w:tr>
        <w:trPr>
          <w:tblHeader w:val="false"/>
        </w:trPr>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الثالثة</w:t>
            </w:r>
          </w:p>
        </w:tc>
        <w:tc>
          <w:tcPr>
            <w:tcW w:type="dxa" w:w="36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انقطاعه يسبب تأخيراً محتملاً دون تعطيل</w:t>
            </w:r>
          </w:p>
        </w:tc>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14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٤٨ ساعة</w:t>
            </w:r>
          </w:p>
        </w:tc>
        <w:tc>
          <w:tcPr>
            <w:tcW w:type="dxa" w:w="14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 ساعة</w:t>
            </w:r>
          </w:p>
        </w:tc>
      </w:tr>
      <w:tr>
        <w:trPr>
          <w:tblHeader w:val="false"/>
        </w:trPr>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الشركة الإدارية</w:t>
            </w:r>
          </w:p>
        </w:tc>
        <w:tc>
          <w:tcPr>
            <w:tcW w:type="dxa" w:w="36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أثر على الجهات العميلة</w:t>
            </w:r>
          </w:p>
        </w:tc>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4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٧٢ ساعة</w:t>
            </w:r>
          </w:p>
        </w:tc>
        <w:tc>
          <w:tcPr>
            <w:tcW w:type="dxa" w:w="14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 ساعة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أهداف التعافي أعلاه لا تُعدّ نافذة إلا بعد إثباتها باختبار فعلي. والهدف غير المختبَر افتراض لا التزام.</w:t>
      </w:r>
    </w:p>
    <w:p>
      <w:pPr>
        <w:pStyle w:val="Heading2"/>
        <w:bidi/>
        <w:spacing w:after="120" w:before="280" w:line="300"/>
        <w:jc w:val="start"/>
      </w:pPr>
      <w:r>
        <w:rPr>
          <w:rFonts w:ascii="Arial" w:cs="Arial" w:eastAsia="Arial" w:hAnsi="Arial"/>
          <w:b/>
          <w:bCs/>
          <w:color w:val="15325C"/>
          <w:sz w:val="27"/>
          <w:szCs w:val="27"/>
          <w:rtl/>
        </w:rPr>
        <w:t xml:space="preserve">سيناريوهات التعافي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216"/>
        <w:gridCol w:w="2955"/>
        <w:gridCol w:w="4189"/>
      </w:tblGrid>
      <w:tr>
        <w:trPr>
          <w:tblHeader/>
        </w:trPr>
        <w:tc>
          <w:tcPr>
            <w:tcW w:type="dxa" w:w="22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السيناريو</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418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الاستجابة</w:t>
            </w:r>
          </w:p>
        </w:tc>
      </w:tr>
      <w:tr>
        <w:trPr>
          <w:tblHeader w:val="false"/>
        </w:trPr>
        <w:tc>
          <w:tcPr>
            <w:tcW w:type="dxa" w:w="22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عطل في نظام واحد</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تعطل خدمة أو قاعدة بيانات واحدة</w:t>
            </w:r>
          </w:p>
        </w:tc>
        <w:tc>
          <w:tcPr>
            <w:tcW w:type="dxa" w:w="41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من النسخ الاحتياطية داخل الموقع الرئيسي</w:t>
            </w:r>
          </w:p>
        </w:tc>
      </w:tr>
      <w:tr>
        <w:trPr>
          <w:tblHeader w:val="false"/>
        </w:trPr>
        <w:tc>
          <w:tcPr>
            <w:tcW w:type="dxa" w:w="22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فقدان مركز البيانات الرئيسي</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حريق أو انقطاع ممتد أو عطل جسيم</w:t>
            </w:r>
          </w:p>
        </w:tc>
        <w:tc>
          <w:tcPr>
            <w:tcW w:type="dxa" w:w="41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الخدمة الكامل لموقع التعافي بجدة</w:t>
            </w:r>
          </w:p>
        </w:tc>
      </w:tr>
      <w:tr>
        <w:trPr>
          <w:tblHeader w:val="false"/>
        </w:trPr>
        <w:tc>
          <w:tcPr>
            <w:tcW w:type="dxa" w:w="22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هجوم برنامج فدية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أنظمة الإنتاج</w:t>
            </w:r>
          </w:p>
        </w:tc>
        <w:tc>
          <w:tcPr>
            <w:tcW w:type="dxa" w:w="41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كامل ثم إعادة بناء من النسخ غير القابلة للتعديل</w:t>
            </w:r>
          </w:p>
        </w:tc>
      </w:tr>
      <w:tr>
        <w:trPr>
          <w:tblHeader w:val="false"/>
        </w:trPr>
        <w:tc>
          <w:tcPr>
            <w:tcW w:type="dxa" w:w="22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اختراق يمسّ سلامة البيانات</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شك في تعديل غير مصرح به على البيانات</w:t>
            </w:r>
          </w:p>
        </w:tc>
        <w:tc>
          <w:tcPr>
            <w:tcW w:type="dxa" w:w="41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لنقطة زمنية سابقة مؤكدة السلامة</w:t>
            </w:r>
          </w:p>
        </w:tc>
      </w:tr>
      <w:tr>
        <w:trPr>
          <w:tblHeader w:val="false"/>
        </w:trPr>
        <w:tc>
          <w:tcPr>
            <w:tcW w:type="dxa" w:w="22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فقدان مزوّد سحابي</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انقطاع الخدمة السحابية</w:t>
            </w:r>
          </w:p>
        </w:tc>
        <w:tc>
          <w:tcPr>
            <w:tcW w:type="dxa" w:w="41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تشغيل الأحمال في مركز البيانات المملوك</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إجراء تحويل الخدمة إلى موقع التعافي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776"/>
        <w:gridCol w:w="2869"/>
        <w:gridCol w:w="2937"/>
        <w:gridCol w:w="1778"/>
      </w:tblGrid>
      <w:tr>
        <w:trPr>
          <w:tblHeader/>
        </w:trPr>
        <w:tc>
          <w:tcPr>
            <w:tcW w:type="dxa" w:w="17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8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29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7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المدة المستهدفة</w:t>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8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حالة التعافي واعتماد قرار التحويل</w:t>
            </w:r>
          </w:p>
        </w:tc>
        <w:tc>
          <w:tcPr>
            <w:tcW w:type="dxa" w:w="29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 بتوصية رئيس الأمن السيبراني</w:t>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r>
      <w:tr>
        <w:trPr>
          <w:tblHeader w:val="false"/>
        </w:trPr>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8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إشعار الجهات العميلة ببدء التحويل</w:t>
            </w:r>
          </w:p>
        </w:tc>
        <w:tc>
          <w:tcPr>
            <w:tcW w:type="dxa" w:w="29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الاتصال المؤسسي</w:t>
            </w:r>
          </w:p>
        </w:tc>
        <w:tc>
          <w:tcPr>
            <w:tcW w:type="dxa" w:w="17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8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سلامة البيانات في موقع التعافي</w:t>
            </w:r>
          </w:p>
        </w:tc>
        <w:tc>
          <w:tcPr>
            <w:tcW w:type="dxa" w:w="29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دقيقة</w:t>
            </w:r>
          </w:p>
        </w:tc>
      </w:tr>
      <w:tr>
        <w:trPr>
          <w:tblHeader w:val="false"/>
        </w:trPr>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8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تشغيل الأنظمة من الفئة الأولى</w:t>
            </w:r>
          </w:p>
        </w:tc>
        <w:tc>
          <w:tcPr>
            <w:tcW w:type="dxa" w:w="29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7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٩٠ دقيقة</w:t>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8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مسارات الشبكة وأسماء النطاقات</w:t>
            </w:r>
          </w:p>
        </w:tc>
        <w:tc>
          <w:tcPr>
            <w:tcW w:type="dxa" w:w="29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r>
      <w:tr>
        <w:trPr>
          <w:tblHeader w:val="false"/>
        </w:trPr>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8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الخدمات والتحقق من عملها</w:t>
            </w:r>
          </w:p>
        </w:tc>
        <w:tc>
          <w:tcPr>
            <w:tcW w:type="dxa" w:w="29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الهندسة والتطوير</w:t>
            </w:r>
          </w:p>
        </w:tc>
        <w:tc>
          <w:tcPr>
            <w:tcW w:type="dxa" w:w="17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دقيقة</w:t>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8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استئناف الخدمة وإشعار الجهات العميلة</w:t>
            </w:r>
          </w:p>
        </w:tc>
        <w:tc>
          <w:tcPr>
            <w:tcW w:type="dxa" w:w="29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الاتصال المؤسسي</w:t>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٢٠ دقيقة</w:t>
            </w:r>
          </w:p>
        </w:tc>
      </w:tr>
      <w:tr>
        <w:trPr>
          <w:tblHeader w:val="false"/>
        </w:trPr>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8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تشغيل الأنظمة من الفئتين الثانية والثالثة</w:t>
            </w:r>
          </w:p>
        </w:tc>
        <w:tc>
          <w:tcPr>
            <w:tcW w:type="dxa" w:w="29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7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حسب أهداف التعافي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إجراء التعافي من هجوم فدية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92"/>
        <w:gridCol w:w="4300"/>
        <w:gridCol w:w="2868"/>
      </w:tblGrid>
      <w:tr>
        <w:trPr>
          <w:tblHeader/>
        </w:trPr>
        <w:tc>
          <w:tcPr>
            <w:tcW w:type="dxa" w:w="21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3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286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الملاحظة</w:t>
            </w:r>
          </w:p>
        </w:tc>
      </w:tr>
      <w:tr>
        <w:trPr>
          <w:tblHeader w:val="false"/>
        </w:trPr>
        <w:tc>
          <w:tcPr>
            <w:tcW w:type="dxa" w:w="21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3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شبكي فوري للأنظمة المتأثرة</w:t>
            </w:r>
          </w:p>
        </w:tc>
        <w:tc>
          <w:tcPr>
            <w:tcW w:type="dxa" w:w="28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خطة الاستجابة CS-PRO-002</w:t>
            </w:r>
          </w:p>
        </w:tc>
      </w:tr>
      <w:tr>
        <w:trPr>
          <w:tblHeader w:val="false"/>
        </w:trPr>
        <w:tc>
          <w:tcPr>
            <w:tcW w:type="dxa" w:w="21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3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سلامة النسخ غير القابلة للتعديل</w:t>
            </w:r>
          </w:p>
        </w:tc>
        <w:tc>
          <w:tcPr>
            <w:tcW w:type="dxa" w:w="28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يُستعاد من نسخة قد تكون مصابة</w:t>
            </w:r>
          </w:p>
        </w:tc>
      </w:tr>
      <w:tr>
        <w:trPr>
          <w:tblHeader w:val="false"/>
        </w:trPr>
        <w:tc>
          <w:tcPr>
            <w:tcW w:type="dxa" w:w="21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3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تحديد آخر نقطة زمنية مؤكدة السلامة</w:t>
            </w:r>
          </w:p>
        </w:tc>
        <w:tc>
          <w:tcPr>
            <w:tcW w:type="dxa" w:w="28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بالاستناد إلى سجلات الأحداث</w:t>
            </w:r>
          </w:p>
        </w:tc>
      </w:tr>
      <w:tr>
        <w:trPr>
          <w:tblHeader w:val="false"/>
        </w:trPr>
        <w:tc>
          <w:tcPr>
            <w:tcW w:type="dxa" w:w="21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3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بناء البيئة من الصفر لا استعادتها فوق المصابة</w:t>
            </w:r>
          </w:p>
        </w:tc>
        <w:tc>
          <w:tcPr>
            <w:tcW w:type="dxa" w:w="28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البناء من البنية ككود</w:t>
            </w:r>
          </w:p>
        </w:tc>
      </w:tr>
      <w:tr>
        <w:trPr>
          <w:tblHeader w:val="false"/>
        </w:trPr>
        <w:tc>
          <w:tcPr>
            <w:tcW w:type="dxa" w:w="21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3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البيانات للنقطة الزمنية المحددة</w:t>
            </w:r>
          </w:p>
        </w:tc>
        <w:tc>
          <w:tcPr>
            <w:tcW w:type="dxa" w:w="28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بعد التأكد من نظافة البيئة الجديدة</w:t>
            </w:r>
          </w:p>
        </w:tc>
      </w:tr>
      <w:tr>
        <w:trPr>
          <w:tblHeader w:val="false"/>
        </w:trPr>
        <w:tc>
          <w:tcPr>
            <w:tcW w:type="dxa" w:w="21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3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تدوير جميع بيانات الاعتماد والأسرار</w:t>
            </w:r>
          </w:p>
        </w:tc>
        <w:tc>
          <w:tcPr>
            <w:tcW w:type="dxa" w:w="28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افتراض كشفها كاملةً</w:t>
            </w:r>
          </w:p>
        </w:tc>
      </w:tr>
      <w:tr>
        <w:trPr>
          <w:tblHeader w:val="false"/>
        </w:trPr>
        <w:tc>
          <w:tcPr>
            <w:tcW w:type="dxa" w:w="21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43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مراقبة مكثفة لأربعة عشر يوماً</w:t>
            </w:r>
          </w:p>
        </w:tc>
        <w:tc>
          <w:tcPr>
            <w:tcW w:type="dxa" w:w="28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للتحقق من عدم بقاء موطئ قدم</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لا يُدفع أي مبلغ فدية.</w:t>
      </w:r>
      <w:r>
        <w:rPr>
          <w:rFonts w:ascii="Arial" w:cs="Arial" w:eastAsia="Arial" w:hAnsi="Arial"/>
          <w:b w:val="false"/>
          <w:bCs w:val="false"/>
          <w:color w:val="16202A"/>
          <w:sz w:val="21"/>
          <w:szCs w:val="21"/>
          <w:rtl/>
        </w:rPr>
        <w:t xml:space="preserve"> القرار في هذا الشأن للرئيس التنفيذي وحده بالتنسيق مع الجهات المختصة.</w:t>
      </w:r>
    </w:p>
    <w:p>
      <w:pPr>
        <w:pStyle w:val="Heading2"/>
        <w:bidi/>
        <w:spacing w:after="120" w:before="280" w:line="300"/>
        <w:jc w:val="start"/>
      </w:pPr>
      <w:r>
        <w:rPr>
          <w:rFonts w:ascii="Arial" w:cs="Arial" w:eastAsia="Arial" w:hAnsi="Arial"/>
          <w:b/>
          <w:bCs/>
          <w:color w:val="15325C"/>
          <w:sz w:val="27"/>
          <w:szCs w:val="27"/>
          <w:rtl/>
        </w:rPr>
        <w:t xml:space="preserve">الأدوار والمسؤوليات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80"/>
        <w:gridCol w:w="6280"/>
      </w:tblGrid>
      <w:tr>
        <w:trPr>
          <w:tblHeader/>
        </w:trPr>
        <w:tc>
          <w:tcPr>
            <w:tcW w:type="dxa" w:w="3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62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المسؤولية</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حالة التعافي واعتماد قرار التحويل</w:t>
            </w:r>
          </w:p>
        </w:tc>
      </w:tr>
      <w:tr>
        <w:trPr>
          <w:tblHeader w:val="false"/>
        </w:trPr>
        <w:tc>
          <w:tcPr>
            <w:tcW w:type="dxa" w:w="3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62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الوضع والتوصية بالتحويل والتحقق من سلامة البيئة</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التحويل والاستعادة</w:t>
            </w:r>
          </w:p>
        </w:tc>
      </w:tr>
      <w:tr>
        <w:trPr>
          <w:tblHeader w:val="false"/>
        </w:trPr>
        <w:tc>
          <w:tcPr>
            <w:tcW w:type="dxa" w:w="3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الهندسة والتطوير</w:t>
            </w:r>
          </w:p>
        </w:tc>
        <w:tc>
          <w:tcPr>
            <w:tcW w:type="dxa" w:w="62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عمل التطبيقات بعد التعافي</w:t>
            </w:r>
          </w:p>
        </w:tc>
      </w:tr>
      <w:tr>
        <w:trPr>
          <w:tblHeader w:val="false"/>
        </w:trPr>
        <w:tc>
          <w:tcPr>
            <w:tcW w:type="dxa" w:w="3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الاتصال المؤسسي</w:t>
            </w:r>
          </w:p>
        </w:tc>
        <w:tc>
          <w:tcPr>
            <w:tcW w:type="dxa" w:w="62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إشعار الجهات العميلة والمستفيدين</w:t>
            </w:r>
          </w:p>
        </w:tc>
      </w:tr>
      <w:tr>
        <w:trPr>
          <w:tblHeader w:val="false"/>
        </w:trPr>
        <w:tc>
          <w:tcPr>
            <w:tcW w:type="dxa" w:w="3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c>
          <w:tcPr>
            <w:tcW w:type="dxa" w:w="62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الالتزامات التعاقدية ومستويات الخدمة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الاختبار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584"/>
        <w:gridCol w:w="2588"/>
        <w:gridCol w:w="3188"/>
      </w:tblGrid>
      <w:tr>
        <w:trPr>
          <w:tblHeader/>
        </w:trPr>
        <w:tc>
          <w:tcPr>
            <w:tcW w:type="dxa" w:w="358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الاختبار</w:t>
            </w:r>
          </w:p>
        </w:tc>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31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r>
      <w:tr>
        <w:trPr>
          <w:tblHeader w:val="false"/>
        </w:trPr>
        <w:tc>
          <w:tcPr>
            <w:tcW w:type="dxa" w:w="35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تمرين طاولة لسيناريو تعافٍ</w:t>
            </w:r>
          </w:p>
        </w:tc>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31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فريق التعافي كاملاً</w:t>
            </w:r>
          </w:p>
        </w:tc>
      </w:tr>
      <w:tr>
        <w:trPr>
          <w:tblHeader w:val="false"/>
        </w:trPr>
        <w:tc>
          <w:tcPr>
            <w:tcW w:type="dxa" w:w="35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فعلي للخدمة إلى موقع التعافي</w:t>
            </w:r>
          </w:p>
        </w:tc>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31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نظامان من الفئة الأولى على الأقل</w:t>
            </w:r>
          </w:p>
        </w:tc>
      </w:tr>
      <w:tr>
        <w:trPr>
          <w:tblHeader w:val="false"/>
        </w:trPr>
        <w:tc>
          <w:tcPr>
            <w:tcW w:type="dxa" w:w="35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إعادة البناء من البنية ككود</w:t>
            </w:r>
          </w:p>
        </w:tc>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31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بيئة كاملة</w:t>
            </w:r>
          </w:p>
        </w:tc>
      </w:tr>
      <w:tr>
        <w:trPr>
          <w:tblHeader w:val="false"/>
        </w:trPr>
        <w:tc>
          <w:tcPr>
            <w:tcW w:type="dxa" w:w="35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قوائم الاتصال ومسارات التصعيد</w:t>
            </w:r>
          </w:p>
        </w:tc>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31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الأدوار</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تُقارن نتائج كل اختبار بأهداف التعافي المعتمدة، ويُوثَّق الفارق ويُعالَج.</w:t>
      </w:r>
    </w:p>
    <w:p>
      <w:pPr>
        <w:pStyle w:val="Heading2"/>
        <w:bidi/>
        <w:spacing w:after="120" w:before="280" w:line="300"/>
        <w:jc w:val="start"/>
      </w:pPr>
      <w:r>
        <w:rPr>
          <w:rFonts w:ascii="Arial" w:cs="Arial" w:eastAsia="Arial" w:hAnsi="Arial"/>
          <w:b/>
          <w:bCs/>
          <w:color w:val="15325C"/>
          <w:sz w:val="27"/>
          <w:szCs w:val="27"/>
          <w:rtl/>
        </w:rPr>
        <w:t xml:space="preserve">مؤشرات القياس</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318"/>
        <w:gridCol w:w="3042"/>
      </w:tblGrid>
      <w:tr>
        <w:trPr>
          <w:tblHeader/>
        </w:trPr>
        <w:tc>
          <w:tcPr>
            <w:tcW w:type="dxa" w:w="63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30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المستهدف</w:t>
            </w:r>
          </w:p>
        </w:tc>
      </w:tr>
      <w:tr>
        <w:trPr>
          <w:tblHeader w:val="false"/>
        </w:trPr>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الأنظمة المحققة لأهداف التعافي في الاختبار الفعلي</w:t>
            </w:r>
          </w:p>
        </w:tc>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الفارق بين زمن التعافي المستهدف والفعلي للفئة الأولى</w:t>
            </w:r>
          </w:p>
        </w:tc>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يتجاوز ٢٥٪</w:t>
            </w:r>
          </w:p>
        </w:tc>
      </w:tr>
      <w:tr>
        <w:trPr>
          <w:tblHeader w:val="false"/>
        </w:trPr>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تنفيذ اختبارات التحويل في مواعيدها</w:t>
            </w:r>
          </w:p>
        </w:tc>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عدد الأنظمة بلا هدف تعافٍ معتمد</w:t>
            </w:r>
          </w:p>
        </w:tc>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الخطة سنوياً على الأقل، وعقب كل اختبار تحويل، وعند إضافة نظام جديد إلى بيئة الإنتاج، وعقب أي حادثة أثّرت على الاستمرارية.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3120"/>
        <w:gridCol w:w="2080"/>
        <w:gridCol w:w="208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 والبنية التحتية</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CS-PRO-005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2026-10-04T11:47:59.989Z</dcterms:created>
  <dcterms:modified xsi:type="dcterms:W3CDTF">2026-10-04T11:47:59.989Z</dcterms:modified>
</cp:coreProperties>
</file>

<file path=docProps/custom.xml><?xml version="1.0" encoding="utf-8"?>
<Properties xmlns="http://schemas.openxmlformats.org/officeDocument/2006/custom-properties" xmlns:vt="http://schemas.openxmlformats.org/officeDocument/2006/docPropsVTypes"/>
</file>