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1F3D" w:color="auto" w:val="clear"/>
            <w:tcMar>
              <w:top w:type="dxa" w:w="340"/>
              <w:left w:type="dxa" w:w="340"/>
              <w:bottom w:type="dxa" w:w="340"/>
              <w:right w:type="dxa" w:w="340"/>
            </w:tcMar>
          </w:tcPr>
          <w:p>
            <w:pPr>
              <w:bidi/>
              <w:spacing w:after="40" w:before="0" w:line="300"/>
              <w:jc w:val="start"/>
            </w:pPr>
            <w:r>
              <w:rPr>
                <w:rFonts w:ascii="Arial" w:cs="Arial" w:eastAsia="Arial" w:hAnsi="Arial"/>
                <w:b/>
                <w:bCs/>
                <w:color w:val="FFFFFF"/>
                <w:sz w:val="30"/>
                <w:szCs w:val="30"/>
                <w:rtl/>
              </w:rPr>
              <w:t xml:space="preserve">شركة نَسَق للحلول الرقمية</w:t>
            </w:r>
          </w:p>
          <w:p>
            <w:pPr>
              <w:bidi/>
              <w:spacing w:after="30" w:before="0" w:line="300"/>
              <w:jc w:val="start"/>
            </w:pPr>
            <w:r>
              <w:rPr>
                <w:rFonts w:ascii="Arial" w:cs="Arial" w:eastAsia="Arial" w:hAnsi="Arial"/>
                <w:b w:val="false"/>
                <w:bCs w:val="false"/>
                <w:color w:val="9FB6C9"/>
                <w:sz w:val="18"/>
                <w:szCs w:val="18"/>
                <w:rtl/>
              </w:rPr>
              <w:t xml:space="preserve">إدارة الأمن السيبراني</w:t>
            </w:r>
          </w:p>
          <w:p>
            <w:pPr>
              <w:bidi/>
              <w:spacing w:after="700" w:before="0" w:line="300"/>
              <w:jc w:val="start"/>
            </w:pPr>
            <w:r>
              <w:rPr>
                <w:rFonts w:ascii="Arial" w:cs="Arial" w:eastAsia="Arial" w:hAnsi="Arial"/>
                <w:color w:val="6E8CA6"/>
                <w:sz w:val="14"/>
                <w:szCs w:val="14"/>
              </w:rPr>
              <w:t xml:space="preserve">NASAQ DIGITAL SOLUTIONS CO</w:t>
            </w:r>
          </w:p>
          <w:p>
            <w:pPr>
              <w:bidi/>
              <w:spacing w:after="90" w:before="0" w:line="300"/>
              <w:jc w:val="start"/>
            </w:pPr>
            <w:r>
              <w:rPr>
                <w:rFonts w:ascii="Arial" w:cs="Arial" w:eastAsia="Arial" w:hAnsi="Arial"/>
                <w:b w:val="false"/>
                <w:bCs w:val="false"/>
                <w:color w:val="C9A227"/>
                <w:sz w:val="19"/>
                <w:szCs w:val="19"/>
                <w:rtl/>
              </w:rPr>
              <w:t xml:space="preserve">معيار معتمد</w:t>
            </w:r>
          </w:p>
          <w:p>
            <w:pPr>
              <w:bidi/>
              <w:spacing w:after="120" w:before="0" w:line="420"/>
              <w:jc w:val="start"/>
            </w:pPr>
            <w:r>
              <w:rPr>
                <w:rFonts w:ascii="Arial" w:cs="Arial" w:eastAsia="Arial" w:hAnsi="Arial"/>
                <w:b/>
                <w:bCs/>
                <w:color w:val="FFFFFF"/>
                <w:sz w:val="52"/>
                <w:szCs w:val="52"/>
                <w:rtl/>
              </w:rPr>
              <w:t xml:space="preserve">معيار تقييم الأطراف الخارجية وضبط وصولها</w:t>
            </w:r>
          </w:p>
          <w:p>
            <w:pPr>
              <w:bidi/>
              <w:spacing w:after="260" w:before="0" w:line="300"/>
              <w:jc w:val="start"/>
            </w:pPr>
            <w:r>
              <w:rPr>
                <w:rFonts w:ascii="Arial" w:cs="Arial" w:eastAsia="Arial" w:hAnsi="Arial"/>
                <w:b w:val="false"/>
                <w:bCs w:val="false"/>
                <w:color w:val="AFC4D4"/>
                <w:sz w:val="22"/>
                <w:szCs w:val="22"/>
                <w:rtl/>
              </w:rPr>
              <w:t xml:space="preserve">التصنيف · التقييم قبل التعاقد · المتطلبات التعاقدية الدنيا</w:t>
            </w:r>
          </w:p>
          <w:p>
            <w:pPr>
              <w:bidi/>
              <w:spacing w:after="0" w:before="0" w:line="300"/>
              <w:jc w:val="start"/>
            </w:pPr>
            <w:r>
              <w:rPr>
                <w:rFonts w:ascii="Arial" w:cs="Arial" w:eastAsia="Arial" w:hAnsi="Arial"/>
                <w:b/>
                <w:bCs/>
                <w:color w:val="C9A227"/>
                <w:sz w:val="18"/>
                <w:szCs w:val="18"/>
                <w:rtl/>
              </w:rPr>
              <w:t xml:space="preserve">تصنيف الوثيقة: سري</w:t>
            </w:r>
          </w:p>
        </w:tc>
      </w:tr>
    </w:tbl>
    <w:p>
      <w:pPr>
        <w:bidi/>
        <w:spacing w:after="260" w:before="0" w:line="300"/>
        <w:jc w:val="start"/>
      </w:pPr>
      <w:r>
        <w:rPr>
          <w:rFonts w:ascii="Arial" w:cs="Arial" w:eastAsia="Arial" w:hAnsi="Arial"/>
          <w:b w:val="false"/>
          <w:bCs w:val="false"/>
          <w:color w:val="16202A"/>
          <w:sz w:val="12"/>
          <w:szCs w:val="12"/>
          <w:rtl/>
        </w:rPr>
        <w:t xml:space="preserve"/>
      </w:r>
    </w:p>
    <w:tbl>
      <w:tblPr>
        <w:bidiVisual/>
        <w:tblW w:type="dxa" w:w="9360"/>
        <w:tblBorders>
          <w:top w:val="none"/>
          <w:left w:val="none"/>
          <w:bottom w:val="none"/>
          <w:right w:val="none"/>
          <w:insideH w:val="single" w:color="D8E0E3" w:sz="2"/>
          <w:insideV w:val="none"/>
        </w:tblBorders>
      </w:tblPr>
      <w:tblGrid>
        <w:gridCol w:w="3400"/>
        <w:gridCol w:w="5960"/>
      </w:tblGrid>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CS-STD-007</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الإصدار</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مالك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رئيس الأمن السيبراني</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جهة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الرئيس التنفيذي — صاحب الصلاحية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١٤٤٨هـ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المراجعة القادمة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١٤٤٩هـ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الضابط المرتبط</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ECC-2:2024 — 4-1-3</w:t>
            </w:r>
          </w:p>
        </w:tc>
      </w:tr>
    </w:tbl>
    <w:p>
      <w:pPr>
        <w:bidi/>
        <w:spacing w:after="360" w:before="0" w:line="300"/>
        <w:jc w:val="start"/>
      </w:pPr>
      <w:r>
        <w:rPr>
          <w:rFonts w:ascii="Arial" w:cs="Arial" w:eastAsia="Arial" w:hAnsi="Arial"/>
          <w:b w:val="false"/>
          <w:bCs w:val="false"/>
          <w:color w:val="16202A"/>
          <w:sz w:val="12"/>
          <w:szCs w:val="12"/>
          <w:rtl/>
        </w:rPr>
        <w:t xml:space="preserve"/>
      </w:r>
    </w:p>
    <w:p>
      <w:pPr>
        <w:bidi/>
        <w:spacing w:after="0" w:before="0" w:line="300"/>
        <w:jc w:val="start"/>
      </w:pPr>
      <w:r>
        <w:rPr>
          <w:rFonts w:ascii="Arial" w:cs="Arial" w:eastAsia="Arial" w:hAnsi="Arial"/>
          <w:b w:val="false"/>
          <w:bCs w:val="false"/>
          <w:color w:val="5A6672"/>
          <w:sz w:val="16"/>
          <w:szCs w:val="16"/>
          <w:rtl/>
        </w:rPr>
        <w:t xml:space="preserve">هذه الوثيقة ملكية فكرية لـ شركة نَسَق للحلول الرقمية، وتصنيفها «سري». لا يجوز نسخها أو تداولها خارج الشركة دون موافقة خطية من مالك الوثيقة.</w:t>
      </w:r>
    </w:p>
    <w:p>
      <w:pPr>
        <w:sectPr>
          <w:headerReference w:type="default" r:id="rId7"/>
          <w:footerReference w:type="default" r:id="rId8"/>
          <w:pgSz w:w="11906" w:h="16838" w:orient="portrait"/>
          <w:pgMar w:top="1000" w:right="1080" w:bottom="900" w:left="1080" w:header="708" w:footer="708" w:gutter="0"/>
          <w:pgNumType/>
          <w:docGrid w:linePitch="360"/>
        </w:sectPr>
      </w:pPr>
    </w:p>
    <w:p>
      <w:pPr>
        <w:pStyle w:val="Heading1"/>
        <w:bidi/>
        <w:spacing w:after="200" w:before="0" w:line="300"/>
        <w:jc w:val="start"/>
      </w:pPr>
      <w:r>
        <w:rPr>
          <w:rFonts w:ascii="Arial" w:cs="Arial" w:eastAsia="Arial" w:hAnsi="Arial"/>
          <w:b/>
          <w:bCs/>
          <w:color w:val="15325C"/>
          <w:sz w:val="32"/>
          <w:szCs w:val="32"/>
          <w:rtl/>
        </w:rPr>
        <w:t xml:space="preserve">معيار تقييم الأطراف الخارجية وضبط وصولها</w:t>
      </w:r>
    </w:p>
    <w:p>
      <w:pPr>
        <w:pStyle w:val="Heading2"/>
        <w:bidi/>
        <w:spacing w:after="120" w:before="280" w:line="300"/>
        <w:jc w:val="start"/>
      </w:pPr>
      <w:r>
        <w:rPr>
          <w:rFonts w:ascii="Arial" w:cs="Arial" w:eastAsia="Arial" w:hAnsi="Arial"/>
          <w:b/>
          <w:bCs/>
          <w:color w:val="15325C"/>
          <w:sz w:val="27"/>
          <w:szCs w:val="27"/>
          <w:rtl/>
        </w:rPr>
        <w:t xml:space="preserve">الغرض</w:t>
      </w:r>
    </w:p>
    <w:p>
      <w:pPr>
        <w:bidi/>
        <w:spacing w:after="140" w:before="0" w:line="300"/>
        <w:jc w:val="start"/>
      </w:pPr>
      <w:r>
        <w:rPr>
          <w:rFonts w:ascii="Arial" w:cs="Arial" w:eastAsia="Arial" w:hAnsi="Arial"/>
          <w:b w:val="false"/>
          <w:bCs w:val="false"/>
          <w:color w:val="16202A"/>
          <w:sz w:val="21"/>
          <w:szCs w:val="21"/>
          <w:rtl/>
        </w:rPr>
        <w:t xml:space="preserve">يحدد هذا المعيار كيفية تقييم مخاطر الأطراف الخارجية في شركة نَسَق للحلول الرقمية قبل التعاقد معها وخلال مدة الخدمة، وضوابط وصولها إلى أصول الشركة، والمتطلبات التعاقدية الدنيا الملزِمة لها، ويُعدّ مخرَجاً من حزمة العمل WP-07.</w:t>
      </w:r>
    </w:p>
    <w:p>
      <w:pPr>
        <w:pStyle w:val="Heading2"/>
        <w:bidi/>
        <w:spacing w:after="120" w:before="280" w:line="300"/>
        <w:jc w:val="start"/>
      </w:pPr>
      <w:r>
        <w:rPr>
          <w:rFonts w:ascii="Arial" w:cs="Arial" w:eastAsia="Arial" w:hAnsi="Arial"/>
          <w:b/>
          <w:bCs/>
          <w:color w:val="15325C"/>
          <w:sz w:val="27"/>
          <w:szCs w:val="27"/>
          <w:rtl/>
        </w:rPr>
        <w:t xml:space="preserve">النطاق</w:t>
      </w:r>
    </w:p>
    <w:p>
      <w:pPr>
        <w:bidi/>
        <w:spacing w:after="140" w:before="0" w:line="300"/>
        <w:jc w:val="start"/>
      </w:pPr>
      <w:r>
        <w:rPr>
          <w:rFonts w:ascii="Arial" w:cs="Arial" w:eastAsia="Arial" w:hAnsi="Arial"/>
          <w:b w:val="false"/>
          <w:bCs w:val="false"/>
          <w:color w:val="16202A"/>
          <w:sz w:val="21"/>
          <w:szCs w:val="21"/>
          <w:rtl/>
        </w:rPr>
        <w:t xml:space="preserve">يسري هذا المعيار على كل طرف خارجي يقدّم خدمة إسناد أو خدمة مُدارة أو يصل إلى أصول الشركة أو بياناتها، ويشمل: مزودي الخدمات السحابية، والمورّدين الفرعيين للمكتبات والخدمات البرمجية، وشركات التعاقد على الكوادر التقنية، ومقدّمي خدمات الأمن السيبراني المُدارة.</w:t>
      </w:r>
    </w:p>
    <w:p>
      <w:pPr>
        <w:pStyle w:val="Heading2"/>
        <w:bidi/>
        <w:spacing w:after="120" w:before="280" w:line="300"/>
        <w:jc w:val="start"/>
      </w:pPr>
      <w:r>
        <w:rPr>
          <w:rFonts w:ascii="Arial" w:cs="Arial" w:eastAsia="Arial" w:hAnsi="Arial"/>
          <w:b/>
          <w:bCs/>
          <w:color w:val="15325C"/>
          <w:sz w:val="27"/>
          <w:szCs w:val="27"/>
          <w:rtl/>
        </w:rPr>
        <w:t xml:space="preserve">المرجعية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914"/>
        <w:gridCol w:w="5446"/>
      </w:tblGrid>
      <w:tr>
        <w:trPr>
          <w:tblHeader/>
        </w:trPr>
        <w:tc>
          <w:tcPr>
            <w:tcW w:type="dxa" w:w="391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المرجع</w:t>
            </w:r>
          </w:p>
        </w:tc>
        <w:tc>
          <w:tcPr>
            <w:tcW w:type="dxa" w:w="544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العلاقة</w:t>
            </w:r>
          </w:p>
        </w:tc>
      </w:tr>
      <w:tr>
        <w:trPr>
          <w:tblHeader w:val="false"/>
        </w:trPr>
        <w:tc>
          <w:tcPr>
            <w:tcW w:type="dxa" w:w="39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ECC-2:2024 — الضابط ٤-١-٣</w:t>
            </w:r>
          </w:p>
        </w:tc>
        <w:tc>
          <w:tcPr>
            <w:tcW w:type="dxa" w:w="544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الضابط الذي يستوفيه هذا المعيار</w:t>
            </w:r>
          </w:p>
        </w:tc>
      </w:tr>
      <w:tr>
        <w:trPr>
          <w:tblHeader w:val="false"/>
        </w:trPr>
        <w:tc>
          <w:tcPr>
            <w:tcW w:type="dxa" w:w="39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ضوابط الأمن السيبراني لجهات القطاع الخاص</w:t>
            </w:r>
          </w:p>
        </w:tc>
        <w:tc>
          <w:tcPr>
            <w:tcW w:type="dxa" w:w="544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الحد الأدنى المطلوب من الأطراف الخارجية المؤثرة على أعمال الشركة</w:t>
            </w:r>
          </w:p>
        </w:tc>
      </w:tr>
      <w:tr>
        <w:trPr>
          <w:tblHeader w:val="false"/>
        </w:trPr>
        <w:tc>
          <w:tcPr>
            <w:tcW w:type="dxa" w:w="39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سجل مخاطر الأمن السيبراني CS-REG-001</w:t>
            </w:r>
          </w:p>
        </w:tc>
        <w:tc>
          <w:tcPr>
            <w:tcW w:type="dxa" w:w="544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المخاطرة R-05</w:t>
            </w:r>
          </w:p>
        </w:tc>
      </w:tr>
      <w:tr>
        <w:trPr>
          <w:tblHeader w:val="false"/>
        </w:trPr>
        <w:tc>
          <w:tcPr>
            <w:tcW w:type="dxa" w:w="39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إجراءات إدارة مخاطر الأمن السيبراني CS-PRO-001</w:t>
            </w:r>
          </w:p>
        </w:tc>
        <w:tc>
          <w:tcPr>
            <w:tcW w:type="dxa" w:w="544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الحالة الثالثة الإلزامية للتقييم</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تصنيف الأطراف الخارجية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287"/>
        <w:gridCol w:w="3367"/>
        <w:gridCol w:w="3367"/>
        <w:gridCol w:w="1339"/>
      </w:tblGrid>
      <w:tr>
        <w:trPr>
          <w:tblHeader/>
        </w:trPr>
        <w:tc>
          <w:tcPr>
            <w:tcW w:type="dxa" w:w="128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الفئة</w:t>
            </w:r>
          </w:p>
        </w:tc>
        <w:tc>
          <w:tcPr>
            <w:tcW w:type="dxa" w:w="336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المعيار</w:t>
            </w:r>
          </w:p>
        </w:tc>
        <w:tc>
          <w:tcPr>
            <w:tcW w:type="dxa" w:w="336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أمثلة</w:t>
            </w:r>
          </w:p>
        </w:tc>
        <w:tc>
          <w:tcPr>
            <w:tcW w:type="dxa" w:w="133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عمق التقييم</w:t>
            </w:r>
          </w:p>
        </w:tc>
      </w:tr>
      <w:tr>
        <w:trPr>
          <w:tblHeader w:val="false"/>
        </w:trPr>
        <w:tc>
          <w:tcPr>
            <w:tcW w:type="dxa" w:w="128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حرجة</w:t>
            </w:r>
          </w:p>
        </w:tc>
        <w:tc>
          <w:tcPr>
            <w:tcW w:type="dxa" w:w="336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وصول إلى بيانات إنتاج أو كود مصدري، أو خدمة انقطاعها يوقف أنظمة الجهات العميلة</w:t>
            </w:r>
          </w:p>
        </w:tc>
        <w:tc>
          <w:tcPr>
            <w:tcW w:type="dxa" w:w="336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مزود الخدمة السحابية · شركات التعاقد على المطوّرين · مقدّم خدمات الأمن المُدارة</w:t>
            </w:r>
          </w:p>
        </w:tc>
        <w:tc>
          <w:tcPr>
            <w:tcW w:type="dxa" w:w="133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تقييم شامل + زيارة أو تدقيق</w:t>
            </w:r>
          </w:p>
        </w:tc>
      </w:tr>
      <w:tr>
        <w:trPr>
          <w:tblHeader w:val="false"/>
        </w:trPr>
        <w:tc>
          <w:tcPr>
            <w:tcW w:type="dxa" w:w="128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عالية</w:t>
            </w:r>
          </w:p>
        </w:tc>
        <w:tc>
          <w:tcPr>
            <w:tcW w:type="dxa" w:w="336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وصول إلى بيئات غير إنتاجية أو بيانات داخلية، أو مكوّن برمجي مدمج في المنتجات</w:t>
            </w:r>
          </w:p>
        </w:tc>
        <w:tc>
          <w:tcPr>
            <w:tcW w:type="dxa" w:w="336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المكتبات والخدمات البرمجية المدمجة</w:t>
            </w:r>
          </w:p>
        </w:tc>
        <w:tc>
          <w:tcPr>
            <w:tcW w:type="dxa" w:w="133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تقييم مفصّل</w:t>
            </w:r>
          </w:p>
        </w:tc>
      </w:tr>
      <w:tr>
        <w:trPr>
          <w:tblHeader w:val="false"/>
        </w:trPr>
        <w:tc>
          <w:tcPr>
            <w:tcW w:type="dxa" w:w="128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متوسطة</w:t>
            </w:r>
          </w:p>
        </w:tc>
        <w:tc>
          <w:tcPr>
            <w:tcW w:type="dxa" w:w="336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وصول للبيانات، وأثر محدود على التشغيل</w:t>
            </w:r>
          </w:p>
        </w:tc>
        <w:tc>
          <w:tcPr>
            <w:tcW w:type="dxa" w:w="336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أدوات مراقبة الأداء</w:t>
            </w:r>
          </w:p>
        </w:tc>
        <w:tc>
          <w:tcPr>
            <w:tcW w:type="dxa" w:w="133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استبيان مختصر</w:t>
            </w:r>
          </w:p>
        </w:tc>
      </w:tr>
      <w:tr>
        <w:trPr>
          <w:tblHeader w:val="false"/>
        </w:trPr>
        <w:tc>
          <w:tcPr>
            <w:tcW w:type="dxa" w:w="128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منخفضة</w:t>
            </w:r>
          </w:p>
        </w:tc>
        <w:tc>
          <w:tcPr>
            <w:tcW w:type="dxa" w:w="336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وصول ولا أثر تقني</w:t>
            </w:r>
          </w:p>
        </w:tc>
        <w:tc>
          <w:tcPr>
            <w:tcW w:type="dxa" w:w="336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خدمات إدارية</w:t>
            </w:r>
          </w:p>
        </w:tc>
        <w:tc>
          <w:tcPr>
            <w:tcW w:type="dxa" w:w="133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تسجيل فقط</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التقييم قبل التعاقد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872"/>
        <w:gridCol w:w="1872"/>
        <w:gridCol w:w="3024"/>
        <w:gridCol w:w="2592"/>
      </w:tblGrid>
      <w:tr>
        <w:trPr>
          <w:tblHeader/>
        </w:trPr>
        <w:tc>
          <w:tcPr>
            <w:tcW w:type="dxa" w:w="18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w:t>
            </w:r>
          </w:p>
        </w:tc>
        <w:tc>
          <w:tcPr>
            <w:tcW w:type="dxa" w:w="18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المرحلة</w:t>
            </w:r>
          </w:p>
        </w:tc>
        <w:tc>
          <w:tcPr>
            <w:tcW w:type="dxa" w:w="302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الوصف</w:t>
            </w:r>
          </w:p>
        </w:tc>
        <w:tc>
          <w:tcPr>
            <w:tcW w:type="dxa" w:w="259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المسؤول</w:t>
            </w:r>
          </w:p>
        </w:tc>
      </w:tr>
      <w:tr>
        <w:trPr>
          <w:tblHeader w:val="false"/>
        </w:trPr>
        <w:tc>
          <w:tcPr>
            <w:tcW w:type="dxa" w:w="18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18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تحديد الفئة</w:t>
            </w:r>
          </w:p>
        </w:tc>
        <w:tc>
          <w:tcPr>
            <w:tcW w:type="dxa" w:w="302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بناءً على مستوى الوصول والأثر</w:t>
            </w:r>
          </w:p>
        </w:tc>
        <w:tc>
          <w:tcPr>
            <w:tcW w:type="dxa" w:w="259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r>
      <w:tr>
        <w:trPr>
          <w:tblHeader w:val="false"/>
        </w:trPr>
        <w:tc>
          <w:tcPr>
            <w:tcW w:type="dxa" w:w="18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18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جمع الأدلة</w:t>
            </w:r>
          </w:p>
        </w:tc>
        <w:tc>
          <w:tcPr>
            <w:tcW w:type="dxa" w:w="302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شهادات وتقارير تدقيق وسياسات الطرف الخارجي</w:t>
            </w:r>
          </w:p>
        </w:tc>
        <w:tc>
          <w:tcPr>
            <w:tcW w:type="dxa" w:w="259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المشتريات</w:t>
            </w:r>
          </w:p>
        </w:tc>
      </w:tr>
      <w:tr>
        <w:trPr>
          <w:tblHeader w:val="false"/>
        </w:trPr>
        <w:tc>
          <w:tcPr>
            <w:tcW w:type="dxa" w:w="18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18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التقييم الفني</w:t>
            </w:r>
          </w:p>
        </w:tc>
        <w:tc>
          <w:tcPr>
            <w:tcW w:type="dxa" w:w="302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ضوابط الطرف مقابل متطلبات الشركة</w:t>
            </w:r>
          </w:p>
        </w:tc>
        <w:tc>
          <w:tcPr>
            <w:tcW w:type="dxa" w:w="259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 بمشاركة الأمن السيبراني</w:t>
            </w:r>
          </w:p>
        </w:tc>
      </w:tr>
      <w:tr>
        <w:trPr>
          <w:tblHeader w:val="false"/>
        </w:trPr>
        <w:tc>
          <w:tcPr>
            <w:tcW w:type="dxa" w:w="18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18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تقدير المخاطر</w:t>
            </w:r>
          </w:p>
        </w:tc>
        <w:tc>
          <w:tcPr>
            <w:tcW w:type="dxa" w:w="302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وفق منهجية إدارة المخاطر CS-STD-001</w:t>
            </w:r>
          </w:p>
        </w:tc>
        <w:tc>
          <w:tcPr>
            <w:tcW w:type="dxa" w:w="259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r>
      <w:tr>
        <w:trPr>
          <w:tblHeader w:val="false"/>
        </w:trPr>
        <w:tc>
          <w:tcPr>
            <w:tcW w:type="dxa" w:w="18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18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التوصية</w:t>
            </w:r>
          </w:p>
        </w:tc>
        <w:tc>
          <w:tcPr>
            <w:tcW w:type="dxa" w:w="302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التعاقد · التعاقد بشروط · الرفض</w:t>
            </w:r>
          </w:p>
        </w:tc>
        <w:tc>
          <w:tcPr>
            <w:tcW w:type="dxa" w:w="259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رئيس الأمن السيبراني</w:t>
            </w:r>
          </w:p>
        </w:tc>
      </w:tr>
      <w:tr>
        <w:trPr>
          <w:tblHeader w:val="false"/>
        </w:trPr>
        <w:tc>
          <w:tcPr>
            <w:tcW w:type="dxa" w:w="18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18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اعتماد التقرير</w:t>
            </w:r>
          </w:p>
        </w:tc>
        <w:tc>
          <w:tcPr>
            <w:tcW w:type="dxa" w:w="302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قبل توقيع العقد</w:t>
            </w:r>
          </w:p>
        </w:tc>
        <w:tc>
          <w:tcPr>
            <w:tcW w:type="dxa" w:w="259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رئيس الأمن السيبراني</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قاعدة توقف:</w:t>
      </w:r>
      <w:r>
        <w:rPr>
          <w:rFonts w:ascii="Arial" w:cs="Arial" w:eastAsia="Arial" w:hAnsi="Arial"/>
          <w:b w:val="false"/>
          <w:bCs w:val="false"/>
          <w:color w:val="16202A"/>
          <w:sz w:val="21"/>
          <w:szCs w:val="21"/>
          <w:rtl/>
        </w:rPr>
        <w:t xml:space="preserve"> لا يُوقَّع عقد مع طرف مصنّف حرجاً قبل اعتماد تقرير تقييم المخاطر. ولا يُمنح أي وصول تقني قبل نفاذ العقد متضمناً الملحق الأمني.</w:t>
      </w:r>
    </w:p>
    <w:p>
      <w:pPr>
        <w:pStyle w:val="Heading2"/>
        <w:bidi/>
        <w:spacing w:after="120" w:before="280" w:line="300"/>
        <w:jc w:val="start"/>
      </w:pPr>
      <w:r>
        <w:rPr>
          <w:rFonts w:ascii="Arial" w:cs="Arial" w:eastAsia="Arial" w:hAnsi="Arial"/>
          <w:b/>
          <w:bCs/>
          <w:color w:val="15325C"/>
          <w:sz w:val="27"/>
          <w:szCs w:val="27"/>
          <w:rtl/>
        </w:rPr>
        <w:t xml:space="preserve">محاور التقييم للفئة الحرجة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588"/>
        <w:gridCol w:w="6772"/>
      </w:tblGrid>
      <w:tr>
        <w:trPr>
          <w:tblHeader/>
        </w:trPr>
        <w:tc>
          <w:tcPr>
            <w:tcW w:type="dxa" w:w="25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المحور</w:t>
            </w:r>
          </w:p>
        </w:tc>
        <w:tc>
          <w:tcPr>
            <w:tcW w:type="dxa" w:w="67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ما يُفحص</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الحوكمة</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وجود سياسات أمن سيبراني معتمدة ومسؤول محدد</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الوصول</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المصادقة متعددة العناصر وفصل الصلاحيات لدى الطرف</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حماية البيانات</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التشفير وموقع استضافة البيانات وإجراءات الحذف الآمن</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الحوادث</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وجود خطة استجابة والتزام بالإبلاغ خلال مهلة محددة</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سلسلة الإمداد</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مورّدو الطرف الخارجي وضوابطه عليهم</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استمرارية الأعمال</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أهداف التعافي وقدرة الطرف على الوفاء بمستوى الخدمة</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الالتزام النظامي</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الالتزام بضوابط الأمن السيبراني لجهات القطاع الخاص والمتطلبات التشريعية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المتطلبات التعاقدية الدنيا</w:t>
      </w:r>
    </w:p>
    <w:p>
      <w:pPr>
        <w:bidi/>
        <w:spacing w:after="140" w:before="0" w:line="300"/>
        <w:jc w:val="start"/>
      </w:pPr>
      <w:r>
        <w:rPr>
          <w:rFonts w:ascii="Arial" w:cs="Arial" w:eastAsia="Arial" w:hAnsi="Arial"/>
          <w:b w:val="false"/>
          <w:bCs w:val="false"/>
          <w:color w:val="16202A"/>
          <w:sz w:val="21"/>
          <w:szCs w:val="21"/>
          <w:rtl/>
        </w:rPr>
        <w:t xml:space="preserve">تُدرج البنود التالية إلزامياً في كل عقد مع طرف مصنّف حرجاً أو عالياً:</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588"/>
        <w:gridCol w:w="6772"/>
      </w:tblGrid>
      <w:tr>
        <w:trPr>
          <w:tblHeader/>
        </w:trPr>
        <w:tc>
          <w:tcPr>
            <w:tcW w:type="dxa" w:w="25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w:t>
            </w:r>
          </w:p>
        </w:tc>
        <w:tc>
          <w:tcPr>
            <w:tcW w:type="dxa" w:w="67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البند</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الالتزام بتطبيق متطلبات وسياسات الأمن السيبراني للشركة والمتطلبات التشريعية والتنظيمية ذات العلاقة، وبحد أدنى ضوابط الأمن السيبراني لجهات القطاع الخاص</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المحافظة على سرية المعلومات طوال مدة العقد وبعد انتهائه</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الحذف الآمن لبيانات الشركة عند انتهاء مدة العقد أو الخدمة، مع تقديم إفادة إتلاف موثقة</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إبلاغ الشركة عن أي حادثة أمن سيبراني قد تؤثر على بياناتها أو الخدمة المقدمة لها، خلال مهلة محددة في العقد</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حق الشركة في مراجعة وتدقيق التزام الطرف الخارجي</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استضافة بيانات الشركة داخل المملكة</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عدم التعاقد من الباطن دون موافقة خطية مسبقة</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٨</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إعادة بيانات الشركة بصيغة قابلة للاستخدام عند انتهاء العلاقة</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٩</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إلزام الطرف بإخطار الشركة عند انتهاء علاقة أي من منسوبيه الذين لديهم وصول لأصولها</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3"/>
        <w:bidi/>
        <w:spacing w:after="90" w:before="200" w:line="300"/>
        <w:jc w:val="start"/>
      </w:pPr>
      <w:r>
        <w:rPr>
          <w:rFonts w:ascii="Arial" w:cs="Arial" w:eastAsia="Arial" w:hAnsi="Arial"/>
          <w:b/>
          <w:bCs/>
          <w:color w:val="0C1F3D"/>
          <w:sz w:val="23"/>
          <w:szCs w:val="23"/>
          <w:rtl/>
        </w:rPr>
        <w:t xml:space="preserve">متطلب خاص بخدمات الأمن السيبراني المُدارة</w:t>
      </w:r>
    </w:p>
    <w:p>
      <w:pPr>
        <w:bidi/>
        <w:spacing w:after="140" w:before="0" w:line="300"/>
        <w:jc w:val="start"/>
      </w:pPr>
      <w:r>
        <w:rPr>
          <w:rFonts w:ascii="Arial" w:cs="Arial" w:eastAsia="Arial" w:hAnsi="Arial"/>
          <w:b/>
          <w:bCs/>
          <w:color w:val="15325C"/>
          <w:sz w:val="21"/>
          <w:szCs w:val="21"/>
          <w:rtl/>
        </w:rPr>
        <w:t xml:space="preserve">يجب أن تكون مراكز عمليات خدمات الأمن السيبراني المُدارة للتشغيل والمراقبة التي تستخدم الوصول عن بُعد موجودة بالكامل داخل المملكة العربية السعودية.</w:t>
      </w:r>
      <w:r>
        <w:rPr>
          <w:rFonts w:ascii="Arial" w:cs="Arial" w:eastAsia="Arial" w:hAnsi="Arial"/>
          <w:b w:val="false"/>
          <w:bCs w:val="false"/>
          <w:color w:val="16202A"/>
          <w:sz w:val="21"/>
          <w:szCs w:val="21"/>
          <w:rtl/>
        </w:rPr>
        <w:t xml:space="preserve"> ويُدرج هذا الشرط بنداً صريحاً في العقد، ويُتحقَّق منه قبل التعاقد وعند كل تجديد.</w:t>
      </w:r>
    </w:p>
    <w:p>
      <w:pPr>
        <w:pStyle w:val="Heading2"/>
        <w:bidi/>
        <w:spacing w:after="120" w:before="280" w:line="300"/>
        <w:jc w:val="start"/>
      </w:pPr>
      <w:r>
        <w:rPr>
          <w:rFonts w:ascii="Arial" w:cs="Arial" w:eastAsia="Arial" w:hAnsi="Arial"/>
          <w:b/>
          <w:bCs/>
          <w:color w:val="15325C"/>
          <w:sz w:val="27"/>
          <w:szCs w:val="27"/>
          <w:rtl/>
        </w:rPr>
        <w:t xml:space="preserve">ضبط وصول الأطراف الخارجية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588"/>
        <w:gridCol w:w="6772"/>
      </w:tblGrid>
      <w:tr>
        <w:trPr>
          <w:tblHeader/>
        </w:trPr>
        <w:tc>
          <w:tcPr>
            <w:tcW w:type="dxa" w:w="25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الضابط</w:t>
            </w:r>
          </w:p>
        </w:tc>
        <w:tc>
          <w:tcPr>
            <w:tcW w:type="dxa" w:w="67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المتطلب</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الحساب</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حساب شخصي باسم الفرد لدى الطرف الخارجي، لا حساب مشترك باسم الشركة المورّدة</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المدة</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صلاحية محددة بمدة العقد، تنتهي آلياً عند انتهائه</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النطاق</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وصول مقيَّد بالنطاق اللازم فقط، ويُمنع الوصول لبيئة الإنتاج ما لم يكن جوهر الخدمة</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المصادقة</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مصادقة متعددة العناصر إلزامية</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القناة</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عبر بوابة الوصول المُدارة حصراً، ولا يُسمح بالاتصال المباشر</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التسجيل</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تسجيل كامل للجلسات والأوامر المنفَّذة</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المراجعة</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ربع سنوية لحسابات الأطراف الخارجية وصلاحياتها</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3"/>
        <w:bidi/>
        <w:spacing w:after="90" w:before="200" w:line="300"/>
        <w:jc w:val="start"/>
      </w:pPr>
      <w:r>
        <w:rPr>
          <w:rFonts w:ascii="Arial" w:cs="Arial" w:eastAsia="Arial" w:hAnsi="Arial"/>
          <w:b/>
          <w:bCs/>
          <w:color w:val="0C1F3D"/>
          <w:sz w:val="23"/>
          <w:szCs w:val="23"/>
          <w:rtl/>
        </w:rPr>
        <w:t xml:space="preserve">ضبط وصول المطوّرين المتعاقدين</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734"/>
        <w:gridCol w:w="6626"/>
      </w:tblGrid>
      <w:tr>
        <w:trPr>
          <w:tblHeader/>
        </w:trPr>
        <w:tc>
          <w:tcPr>
            <w:tcW w:type="dxa" w:w="273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الضابط</w:t>
            </w:r>
          </w:p>
        </w:tc>
        <w:tc>
          <w:tcPr>
            <w:tcW w:type="dxa" w:w="662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المتطلب</w:t>
            </w:r>
          </w:p>
        </w:tc>
      </w:tr>
      <w:tr>
        <w:trPr>
          <w:tblHeader w:val="false"/>
        </w:trPr>
        <w:tc>
          <w:tcPr>
            <w:tcW w:type="dxa" w:w="27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الكود المصدري</w:t>
            </w:r>
          </w:p>
        </w:tc>
        <w:tc>
          <w:tcPr>
            <w:tcW w:type="dxa" w:w="662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وصول مقيَّد بالمستودعات اللازمة لمهامهم فقط</w:t>
            </w:r>
          </w:p>
        </w:tc>
      </w:tr>
      <w:tr>
        <w:trPr>
          <w:tblHeader w:val="false"/>
        </w:trPr>
        <w:tc>
          <w:tcPr>
            <w:tcW w:type="dxa" w:w="27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بيانات الإنتاج</w:t>
            </w:r>
          </w:p>
        </w:tc>
        <w:tc>
          <w:tcPr>
            <w:tcW w:type="dxa" w:w="662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ممنوع منعاً باتاً، وتُستخدم بيانات مقنَّعة في التطوير والاختبار</w:t>
            </w:r>
          </w:p>
        </w:tc>
      </w:tr>
      <w:tr>
        <w:trPr>
          <w:tblHeader w:val="false"/>
        </w:trPr>
        <w:tc>
          <w:tcPr>
            <w:tcW w:type="dxa" w:w="27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النشر للإنتاج</w:t>
            </w:r>
          </w:p>
        </w:tc>
        <w:tc>
          <w:tcPr>
            <w:tcW w:type="dxa" w:w="662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ممنوع، ويتم عبر موظفي الشركة حصراً</w:t>
            </w:r>
          </w:p>
        </w:tc>
      </w:tr>
      <w:tr>
        <w:trPr>
          <w:tblHeader w:val="false"/>
        </w:trPr>
        <w:tc>
          <w:tcPr>
            <w:tcW w:type="dxa" w:w="27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الأجهزة</w:t>
            </w:r>
          </w:p>
        </w:tc>
        <w:tc>
          <w:tcPr>
            <w:tcW w:type="dxa" w:w="662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العمل من أجهزة مُدارة من الشركة، أو من بيئة عمل افتراضية مُدارة</w:t>
            </w:r>
          </w:p>
        </w:tc>
      </w:tr>
      <w:tr>
        <w:trPr>
          <w:tblHeader w:val="false"/>
        </w:trPr>
        <w:tc>
          <w:tcPr>
            <w:tcW w:type="dxa" w:w="27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إخلاء الطرف</w:t>
            </w:r>
          </w:p>
        </w:tc>
        <w:tc>
          <w:tcPr>
            <w:tcW w:type="dxa" w:w="662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وفق الإجراء CS-PRO-003 عند انتهاء العقد</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المتابعة خلال مدة الخدمة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4050"/>
        <w:gridCol w:w="2340"/>
        <w:gridCol w:w="2970"/>
      </w:tblGrid>
      <w:tr>
        <w:trPr>
          <w:tblHeader/>
        </w:trPr>
        <w:tc>
          <w:tcPr>
            <w:tcW w:type="dxa" w:w="405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الإجراء</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الدورية</w:t>
            </w:r>
          </w:p>
        </w:tc>
        <w:tc>
          <w:tcPr>
            <w:tcW w:type="dxa" w:w="297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المسؤول</w:t>
            </w:r>
          </w:p>
        </w:tc>
      </w:tr>
      <w:tr>
        <w:trPr>
          <w:tblHeader w:val="false"/>
        </w:trPr>
        <w:tc>
          <w:tcPr>
            <w:tcW w:type="dxa" w:w="405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إعادة تقييم الأطراف المصنّفة حرجة</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سنوي وعند كل تجديد</w:t>
            </w:r>
          </w:p>
        </w:tc>
        <w:tc>
          <w:tcPr>
            <w:tcW w:type="dxa" w:w="297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r>
      <w:tr>
        <w:trPr>
          <w:tblHeader w:val="false"/>
        </w:trPr>
        <w:tc>
          <w:tcPr>
            <w:tcW w:type="dxa" w:w="405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حسابات الأطراف الخارجية وصلاحياتها</w:t>
            </w:r>
          </w:p>
        </w:tc>
        <w:tc>
          <w:tcPr>
            <w:tcW w:type="dxa" w:w="23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c>
          <w:tcPr>
            <w:tcW w:type="dxa" w:w="297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r>
      <w:tr>
        <w:trPr>
          <w:tblHeader w:val="false"/>
        </w:trPr>
        <w:tc>
          <w:tcPr>
            <w:tcW w:type="dxa" w:w="405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متابعة مستوى الخدمة والالتزام بالبنود الأمنية</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c>
          <w:tcPr>
            <w:tcW w:type="dxa" w:w="297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المشتريات بمشاركة الأمن السيبراني</w:t>
            </w:r>
          </w:p>
        </w:tc>
      </w:tr>
      <w:tr>
        <w:trPr>
          <w:tblHeader w:val="false"/>
        </w:trPr>
        <w:tc>
          <w:tcPr>
            <w:tcW w:type="dxa" w:w="405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المكتبات والمكوّنات البرمجية المدمجة</w:t>
            </w:r>
          </w:p>
        </w:tc>
        <w:tc>
          <w:tcPr>
            <w:tcW w:type="dxa" w:w="23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شهري آلي</w:t>
            </w:r>
          </w:p>
        </w:tc>
        <w:tc>
          <w:tcPr>
            <w:tcW w:type="dxa" w:w="297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الهندسة والتطوير</w:t>
            </w:r>
          </w:p>
        </w:tc>
      </w:tr>
      <w:tr>
        <w:trPr>
          <w:tblHeader w:val="false"/>
        </w:trPr>
        <w:tc>
          <w:tcPr>
            <w:tcW w:type="dxa" w:w="405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إعادة التقييم عند تغيّر المتطلبات التشريعية</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عند التغيّر</w:t>
            </w:r>
          </w:p>
        </w:tc>
        <w:tc>
          <w:tcPr>
            <w:tcW w:type="dxa" w:w="297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أدلة الالتزام المطلوبة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6427"/>
        <w:gridCol w:w="2933"/>
      </w:tblGrid>
      <w:tr>
        <w:trPr>
          <w:tblHeader/>
        </w:trPr>
        <w:tc>
          <w:tcPr>
            <w:tcW w:type="dxa" w:w="642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الدليل</w:t>
            </w:r>
          </w:p>
        </w:tc>
        <w:tc>
          <w:tcPr>
            <w:tcW w:type="dxa" w:w="293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المصدر</w:t>
            </w:r>
          </w:p>
        </w:tc>
      </w:tr>
      <w:tr>
        <w:trPr>
          <w:tblHeader w:val="false"/>
        </w:trPr>
        <w:tc>
          <w:tcPr>
            <w:tcW w:type="dxa" w:w="642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هذا المعيار معتمداً من صاحب الصلاحية</w:t>
            </w:r>
          </w:p>
        </w:tc>
        <w:tc>
          <w:tcPr>
            <w:tcW w:type="dxa" w:w="29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r>
      <w:tr>
        <w:trPr>
          <w:tblHeader w:val="false"/>
        </w:trPr>
        <w:tc>
          <w:tcPr>
            <w:tcW w:type="dxa" w:w="642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سجل الأطراف الخارجية وتصنيفها</w:t>
            </w:r>
          </w:p>
        </w:tc>
        <w:tc>
          <w:tcPr>
            <w:tcW w:type="dxa" w:w="293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المشتريات</w:t>
            </w:r>
          </w:p>
        </w:tc>
      </w:tr>
      <w:tr>
        <w:trPr>
          <w:tblHeader w:val="false"/>
        </w:trPr>
        <w:tc>
          <w:tcPr>
            <w:tcW w:type="dxa" w:w="642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عينة من تقرير تقييم مخاطر طرف خارجي قبل توقيع العقد</w:t>
            </w:r>
          </w:p>
        </w:tc>
        <w:tc>
          <w:tcPr>
            <w:tcW w:type="dxa" w:w="29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r>
      <w:tr>
        <w:trPr>
          <w:tblHeader w:val="false"/>
        </w:trPr>
        <w:tc>
          <w:tcPr>
            <w:tcW w:type="dxa" w:w="642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عينة موقعة من عقد يتضمن البنود الأمنية الدنيا</w:t>
            </w:r>
          </w:p>
        </w:tc>
        <w:tc>
          <w:tcPr>
            <w:tcW w:type="dxa" w:w="293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الشؤون القانونية</w:t>
            </w:r>
          </w:p>
        </w:tc>
      </w:tr>
      <w:tr>
        <w:trPr>
          <w:tblHeader w:val="false"/>
        </w:trPr>
        <w:tc>
          <w:tcPr>
            <w:tcW w:type="dxa" w:w="642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دليل إثبات وجود مركز عمليات الخدمات المُدارة داخل المملكة</w:t>
            </w:r>
          </w:p>
        </w:tc>
        <w:tc>
          <w:tcPr>
            <w:tcW w:type="dxa" w:w="29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المشتريات</w:t>
            </w:r>
          </w:p>
        </w:tc>
      </w:tr>
      <w:tr>
        <w:trPr>
          <w:tblHeader w:val="false"/>
        </w:trPr>
        <w:tc>
          <w:tcPr>
            <w:tcW w:type="dxa" w:w="642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المراجعة الربع سنوية لحسابات الأطراف الخارجية</w:t>
            </w:r>
          </w:p>
        </w:tc>
        <w:tc>
          <w:tcPr>
            <w:tcW w:type="dxa" w:w="293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المراجعة والتحديث</w:t>
      </w:r>
    </w:p>
    <w:p>
      <w:pPr>
        <w:bidi/>
        <w:spacing w:after="140" w:before="0" w:line="300"/>
        <w:jc w:val="start"/>
      </w:pPr>
      <w:r>
        <w:rPr>
          <w:rFonts w:ascii="Arial" w:cs="Arial" w:eastAsia="Arial" w:hAnsi="Arial"/>
          <w:b w:val="false"/>
          <w:bCs w:val="false"/>
          <w:color w:val="16202A"/>
          <w:sz w:val="21"/>
          <w:szCs w:val="21"/>
          <w:rtl/>
        </w:rPr>
        <w:t xml:space="preserve">يُراجَع هذا المعيار سنوياً على الأقل، وعند تغيّر المتطلبات التشريعية أو التنظيمية. وتُوثَّق التغييرات وتُعتمد من صاحب الصلاحية.</w:t>
      </w:r>
    </w:p>
    <w:p>
      <w:pPr>
        <w:pStyle w:val="Heading2"/>
        <w:bidi/>
        <w:spacing w:after="120" w:before="280" w:line="300"/>
        <w:jc w:val="start"/>
      </w:pPr>
      <w:r>
        <w:rPr>
          <w:rFonts w:ascii="Arial" w:cs="Arial" w:eastAsia="Arial" w:hAnsi="Arial"/>
          <w:b/>
          <w:bCs/>
          <w:color w:val="15325C"/>
          <w:sz w:val="27"/>
          <w:szCs w:val="27"/>
          <w:rtl/>
        </w:rPr>
        <w:t xml:space="preserve">سجل التغييرات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340"/>
        <w:gridCol w:w="2340"/>
        <w:gridCol w:w="2340"/>
        <w:gridCol w:w="2340"/>
      </w:tblGrid>
      <w:tr>
        <w:trPr>
          <w:tblHeader/>
        </w:trPr>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الإصدار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التغيير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المعتمِد</w:t>
            </w:r>
          </w:p>
        </w:tc>
      </w:tr>
      <w:tr>
        <w:trPr>
          <w:tblHeader w:val="false"/>
        </w:trPr>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 ربيع الأول ١٤٤٨هـ</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الإصدار الأول</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الرئيس التنفيذي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الاعتماد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134"/>
        <w:gridCol w:w="2955"/>
        <w:gridCol w:w="2134"/>
        <w:gridCol w:w="2137"/>
      </w:tblGrid>
      <w:tr>
        <w:trPr>
          <w:tblHeader/>
        </w:trPr>
        <w:tc>
          <w:tcPr>
            <w:tcW w:type="dxa" w:w="213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295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213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213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21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أُعدّ بواسطة</w:t>
            </w:r>
          </w:p>
        </w:tc>
        <w:tc>
          <w:tcPr>
            <w:tcW w:type="dxa" w:w="295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 والمخاطر والالتزام</w:t>
            </w:r>
          </w:p>
        </w:tc>
        <w:tc>
          <w:tcPr>
            <w:tcW w:type="dxa" w:w="21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13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1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رُوجع بواسطة</w:t>
            </w:r>
          </w:p>
        </w:tc>
        <w:tc>
          <w:tcPr>
            <w:tcW w:type="dxa" w:w="295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ريم الشهري — رئيس الأمن السيبراني</w:t>
            </w:r>
          </w:p>
        </w:tc>
        <w:tc>
          <w:tcPr>
            <w:tcW w:type="dxa" w:w="21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13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1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اعتُمد بواسطة</w:t>
            </w:r>
          </w:p>
        </w:tc>
        <w:tc>
          <w:tcPr>
            <w:tcW w:type="dxa" w:w="295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بدر العتيبي — الرئيس التنفيذي</w:t>
            </w:r>
          </w:p>
        </w:tc>
        <w:tc>
          <w:tcPr>
            <w:tcW w:type="dxa" w:w="21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13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تنويه</w:t>
      </w:r>
    </w:p>
    <w:p>
      <w:pPr>
        <w:bidi/>
        <w:spacing w:after="140" w:before="0" w:line="300"/>
        <w:jc w:val="start"/>
      </w:pPr>
      <w:r>
        <w:rPr>
          <w:rFonts w:ascii="Arial" w:cs="Arial" w:eastAsia="Arial" w:hAnsi="Arial"/>
          <w:b w:val="false"/>
          <w:bCs w:val="false"/>
          <w:color w:val="16202A"/>
          <w:sz w:val="21"/>
          <w:szCs w:val="21"/>
          <w:rtl/>
        </w:rPr>
        <w:t xml:space="preserve">شركة نَسَق وجميع البيانات والأسماء والأرقام الواردة في هذه الوثيقة افتراضية، وأُعدّت لأغراض التدريب على تطبيق الضوابط الأساسية للأمن السيبراني.</w:t>
      </w:r>
    </w:p>
    <w:sectPr>
      <w:headerReference w:type="default" r:id="rId9"/>
      <w:footerReference w:type="default" r:id="rId10"/>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CS-STD-007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CS-STD-007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3" w:sz="2" w:space="6"/>
      </w:pBdr>
      <w:bidi/>
      <w:jc w:val="start"/>
    </w:pPr>
    <w:r>
      <w:rPr>
        <w:rFonts w:ascii="Arial" w:cs="Arial" w:eastAsia="Arial" w:hAnsi="Arial"/>
        <w:b/>
        <w:bCs/>
        <w:color w:val="15325C"/>
        <w:sz w:val="16"/>
        <w:szCs w:val="16"/>
        <w:rtl/>
      </w:rPr>
      <w:t xml:space="preserve">شركة نَسَق للحلول الرقمية — إدارة الأمن السيبراني</w:t>
    </w:r>
    <w:r>
      <w:rPr>
        <w:rFonts w:ascii="Arial" w:cs="Arial" w:eastAsia="Arial" w:hAnsi="Arial"/>
        <w:color w:val="5A6672"/>
        <w:sz w:val="16"/>
        <w:szCs w:val="16"/>
      </w:rPr>
      <w:t xml:space="preserve">	CS-STD-007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2026-10-04T11:48:00.116Z</dcterms:created>
  <dcterms:modified xsi:type="dcterms:W3CDTF">2026-10-04T11:48:00.116Z</dcterms:modified>
</cp:coreProperties>
</file>

<file path=docProps/custom.xml><?xml version="1.0" encoding="utf-8"?>
<Properties xmlns="http://schemas.openxmlformats.org/officeDocument/2006/custom-properties" xmlns:vt="http://schemas.openxmlformats.org/officeDocument/2006/docPropsVTypes"/>
</file>